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23133F">
      <w:pPr>
        <w:jc w:val="center"/>
        <w:rPr>
          <w:rFonts w:hint="eastAsia" w:ascii="Times New Roman" w:hAnsi="Times New Roman" w:eastAsia="宋体" w:cs="Times New Roman"/>
          <w:color w:val="auto"/>
          <w:sz w:val="72"/>
          <w:szCs w:val="72"/>
          <w:highlight w:val="none"/>
          <w:lang w:eastAsia="zh-CN"/>
        </w:rPr>
      </w:pPr>
      <w:bookmarkStart w:id="0" w:name="_Toc27577"/>
      <w:bookmarkStart w:id="1" w:name="_Toc10516"/>
      <w:bookmarkStart w:id="2" w:name="_Toc18270"/>
    </w:p>
    <w:p w14:paraId="73CC0D45">
      <w:pPr>
        <w:jc w:val="center"/>
        <w:rPr>
          <w:rFonts w:hint="default" w:ascii="Times New Roman" w:hAnsi="Times New Roman" w:eastAsia="宋体" w:cs="Times New Roman"/>
          <w:color w:val="auto"/>
          <w:sz w:val="72"/>
          <w:szCs w:val="72"/>
          <w:highlight w:val="none"/>
        </w:rPr>
      </w:pPr>
      <w:r>
        <w:rPr>
          <w:rFonts w:hint="default" w:ascii="Times New Roman" w:hAnsi="Times New Roman" w:eastAsia="宋体" w:cs="Times New Roman"/>
          <w:color w:val="auto"/>
          <w:sz w:val="72"/>
          <w:szCs w:val="72"/>
          <w:highlight w:val="none"/>
        </w:rPr>
        <w:t>建设项目环境影响报告表</w:t>
      </w:r>
      <w:bookmarkEnd w:id="0"/>
      <w:bookmarkEnd w:id="1"/>
    </w:p>
    <w:p w14:paraId="640835AF">
      <w:pPr>
        <w:adjustRightInd w:val="0"/>
        <w:snapToGrid w:val="0"/>
        <w:spacing w:before="192" w:beforeLines="80"/>
        <w:jc w:val="center"/>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2F33A6C6">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03E3B028">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55ADD3B2">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3B36687E">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2A0FA040">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779E8B19">
      <w:pPr>
        <w:ind w:firstLine="1040"/>
        <w:rPr>
          <w:rFonts w:hint="default" w:ascii="Times New Roman" w:hAnsi="Times New Roman" w:eastAsia="宋体" w:cs="Times New Roman"/>
          <w:color w:val="auto"/>
          <w:sz w:val="44"/>
          <w:szCs w:val="44"/>
          <w:highlight w:val="none"/>
        </w:rPr>
      </w:pPr>
    </w:p>
    <w:p w14:paraId="05A802A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项目名称：</w:t>
      </w:r>
      <w:r>
        <w:rPr>
          <w:rFonts w:hint="default" w:ascii="Times New Roman" w:hAnsi="Times New Roman" w:eastAsia="宋体" w:cs="Times New Roman"/>
          <w:color w:val="auto"/>
          <w:sz w:val="36"/>
          <w:szCs w:val="36"/>
          <w:highlight w:val="none"/>
          <w:u w:val="single"/>
          <w:lang w:val="en-US" w:eastAsia="zh-CN"/>
        </w:rPr>
        <w:t>云南中发能源有限公司年处理300万吨</w:t>
      </w:r>
    </w:p>
    <w:p w14:paraId="737EDC4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eastAsia" w:cs="Times New Roman"/>
          <w:color w:val="auto"/>
          <w:sz w:val="36"/>
          <w:szCs w:val="36"/>
          <w:highlight w:val="none"/>
          <w:u w:val="single"/>
          <w:lang w:val="en-US" w:eastAsia="zh-CN"/>
        </w:rPr>
        <w:t xml:space="preserve">           褐</w:t>
      </w:r>
      <w:r>
        <w:rPr>
          <w:rFonts w:hint="default" w:ascii="Times New Roman" w:hAnsi="Times New Roman" w:eastAsia="宋体" w:cs="Times New Roman"/>
          <w:color w:val="auto"/>
          <w:sz w:val="36"/>
          <w:szCs w:val="36"/>
          <w:highlight w:val="none"/>
          <w:u w:val="single"/>
          <w:lang w:val="en-US" w:eastAsia="zh-CN"/>
        </w:rPr>
        <w:t>煤提质项目</w:t>
      </w:r>
      <w:r>
        <w:rPr>
          <w:rFonts w:hint="eastAsia" w:cs="Times New Roman"/>
          <w:color w:val="auto"/>
          <w:sz w:val="36"/>
          <w:szCs w:val="36"/>
          <w:highlight w:val="none"/>
          <w:u w:val="single"/>
          <w:lang w:val="en-US" w:eastAsia="zh-CN"/>
        </w:rPr>
        <w:t xml:space="preserve">           </w:t>
      </w:r>
    </w:p>
    <w:p w14:paraId="20CAB75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建设单位（盖章）：</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云南中发能源有限公司 </w:t>
      </w:r>
    </w:p>
    <w:p w14:paraId="3E6BB3C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rPr>
        <w:t xml:space="preserve"> 202</w:t>
      </w:r>
      <w:r>
        <w:rPr>
          <w:rFonts w:hint="eastAsia" w:cs="Times New Roman"/>
          <w:color w:val="auto"/>
          <w:sz w:val="36"/>
          <w:szCs w:val="36"/>
          <w:highlight w:val="none"/>
          <w:u w:val="single"/>
          <w:lang w:val="en-US" w:eastAsia="zh-CN"/>
        </w:rPr>
        <w:t>4</w:t>
      </w:r>
      <w:r>
        <w:rPr>
          <w:rFonts w:hint="default" w:ascii="Times New Roman" w:hAnsi="Times New Roman" w:eastAsia="宋体" w:cs="Times New Roman"/>
          <w:color w:val="auto"/>
          <w:sz w:val="36"/>
          <w:szCs w:val="36"/>
          <w:highlight w:val="none"/>
          <w:u w:val="single"/>
        </w:rPr>
        <w:t>年</w:t>
      </w:r>
      <w:r>
        <w:rPr>
          <w:rFonts w:hint="eastAsia" w:cs="Times New Roman"/>
          <w:color w:val="auto"/>
          <w:sz w:val="36"/>
          <w:szCs w:val="36"/>
          <w:highlight w:val="none"/>
          <w:u w:val="single"/>
          <w:lang w:val="en-US" w:eastAsia="zh-CN"/>
        </w:rPr>
        <w:t>01</w:t>
      </w:r>
      <w:r>
        <w:rPr>
          <w:rFonts w:hint="default" w:ascii="Times New Roman" w:hAnsi="Times New Roman" w:eastAsia="宋体" w:cs="Times New Roman"/>
          <w:color w:val="auto"/>
          <w:sz w:val="36"/>
          <w:szCs w:val="36"/>
          <w:highlight w:val="none"/>
          <w:u w:val="single"/>
        </w:rPr>
        <w:t>月</w:t>
      </w:r>
      <w:r>
        <w:rPr>
          <w:rFonts w:hint="default" w:ascii="Times New Roman" w:hAnsi="Times New Roman" w:eastAsia="宋体" w:cs="Times New Roman"/>
          <w:color w:val="auto"/>
          <w:sz w:val="36"/>
          <w:szCs w:val="36"/>
          <w:highlight w:val="none"/>
          <w:u w:val="single"/>
          <w:lang w:val="en-US" w:eastAsia="zh-CN"/>
        </w:rPr>
        <w:t xml:space="preserve"> </w:t>
      </w:r>
    </w:p>
    <w:p w14:paraId="15E0DAAE">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bookmarkStart w:id="3" w:name="_Hlk57884087"/>
    </w:p>
    <w:p w14:paraId="17C06601">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7FE32DC4">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1F0A6ECB">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14:paraId="1AE3C7A9">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14:paraId="701A0781">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14:paraId="084AE545">
      <w:pPr>
        <w:adjustRightInd w:val="0"/>
        <w:snapToGrid w:val="0"/>
        <w:spacing w:line="288" w:lineRule="auto"/>
        <w:ind w:firstLine="1040"/>
        <w:rPr>
          <w:rFonts w:hint="default" w:ascii="Times New Roman" w:hAnsi="Times New Roman" w:eastAsia="宋体" w:cs="Times New Roman"/>
          <w:color w:val="auto"/>
          <w:sz w:val="36"/>
          <w:szCs w:val="36"/>
          <w:highlight w:val="none"/>
        </w:rPr>
      </w:pPr>
    </w:p>
    <w:bookmarkEnd w:id="3"/>
    <w:p w14:paraId="68CC0E7B">
      <w:pPr>
        <w:adjustRightInd w:val="0"/>
        <w:snapToGrid w:val="0"/>
        <w:spacing w:line="288" w:lineRule="auto"/>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14:paraId="642EBBBD">
      <w:pPr>
        <w:adjustRightInd w:val="0"/>
        <w:snapToGrid w:val="0"/>
        <w:spacing w:line="288" w:lineRule="auto"/>
        <w:ind w:firstLine="1040"/>
        <w:rPr>
          <w:rFonts w:hint="default" w:ascii="Times New Roman" w:hAnsi="Times New Roman" w:eastAsia="宋体"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2677027B">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32"/>
          <w:szCs w:val="32"/>
          <w:highlight w:val="none"/>
          <w:lang w:val="en-US" w:eastAsia="zh-CN"/>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9DB6DAE">
      <w:pPr>
        <w:adjustRightInd w:val="0"/>
        <w:snapToGrid w:val="0"/>
        <w:spacing w:line="360" w:lineRule="auto"/>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目</w:t>
      </w:r>
      <w:r>
        <w:rPr>
          <w:rFonts w:hint="default"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录</w:t>
      </w:r>
    </w:p>
    <w:p w14:paraId="70B84FD2">
      <w:pPr>
        <w:pStyle w:val="20"/>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TOC \o "1-1" \h \u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_Toc20961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一、建设项目基本情况</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_Toc20961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14:paraId="05B6292B">
      <w:pPr>
        <w:pStyle w:val="20"/>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_Toc1587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二、建设项目工程分析</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_Toc1587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35</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14:paraId="1891CF4C">
      <w:pPr>
        <w:pStyle w:val="20"/>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_Toc7404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三、区域环境质量现状、环境保护目标及评价标准</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_Toc7404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69</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14:paraId="0E9B1449">
      <w:pPr>
        <w:pStyle w:val="20"/>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_Toc6112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四、主要环境影响和保护措施</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_Toc6112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79</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14:paraId="1D08B9C0">
      <w:pPr>
        <w:pStyle w:val="20"/>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_Toc6939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五、环境保护措施监督检查清单</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_Toc6939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79</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14:paraId="15FD0EBB">
      <w:pPr>
        <w:pStyle w:val="20"/>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_Toc24787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六、结论</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_Toc24787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153</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14:paraId="0D1BA0F6">
      <w:pPr>
        <w:pStyle w:val="20"/>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_Toc24156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附表</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_Toc24156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154</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14:paraId="7D93437A">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bCs/>
          <w:color w:val="auto"/>
          <w:sz w:val="28"/>
          <w:szCs w:val="28"/>
          <w:highlight w:val="none"/>
        </w:rPr>
        <w:fldChar w:fldCharType="end"/>
      </w:r>
    </w:p>
    <w:p w14:paraId="238554E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附件：</w:t>
      </w:r>
    </w:p>
    <w:p w14:paraId="4B8B29E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附件1：委托书</w:t>
      </w:r>
      <w:r>
        <w:rPr>
          <w:rFonts w:hint="default" w:ascii="Times New Roman" w:hAnsi="Times New Roman" w:eastAsia="宋体" w:cs="Times New Roman"/>
          <w:color w:val="auto"/>
          <w:sz w:val="24"/>
          <w:szCs w:val="24"/>
          <w:highlight w:val="none"/>
          <w:lang w:eastAsia="zh-CN"/>
        </w:rPr>
        <w:t>；</w:t>
      </w:r>
    </w:p>
    <w:p w14:paraId="3EF58C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附件2：营业执照；</w:t>
      </w:r>
    </w:p>
    <w:p w14:paraId="36489BE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法人身份证复印件；</w:t>
      </w:r>
    </w:p>
    <w:p w14:paraId="28F8F5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投资项目备案证</w:t>
      </w:r>
      <w:r>
        <w:rPr>
          <w:rFonts w:hint="default" w:ascii="Times New Roman" w:hAnsi="Times New Roman" w:eastAsia="宋体" w:cs="Times New Roman"/>
          <w:color w:val="auto"/>
          <w:sz w:val="24"/>
          <w:szCs w:val="24"/>
          <w:highlight w:val="none"/>
          <w:lang w:val="en-US" w:eastAsia="zh-CN"/>
        </w:rPr>
        <w:t>；</w:t>
      </w:r>
    </w:p>
    <w:p w14:paraId="0D0BF6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附件5：</w:t>
      </w:r>
      <w:r>
        <w:rPr>
          <w:rFonts w:hint="eastAsia" w:ascii="Times New Roman" w:hAnsi="Times New Roman" w:eastAsia="宋体" w:cs="Times New Roman"/>
          <w:bCs/>
          <w:color w:val="auto"/>
          <w:sz w:val="24"/>
          <w:szCs w:val="24"/>
          <w:highlight w:val="none"/>
          <w:lang w:val="en-US" w:eastAsia="zh-CN"/>
        </w:rPr>
        <w:t>原煤检测报告</w:t>
      </w:r>
      <w:r>
        <w:rPr>
          <w:rFonts w:hint="default" w:ascii="Times New Roman" w:hAnsi="Times New Roman" w:eastAsia="宋体" w:cs="Times New Roman"/>
          <w:bCs/>
          <w:color w:val="auto"/>
          <w:sz w:val="24"/>
          <w:szCs w:val="24"/>
          <w:highlight w:val="none"/>
          <w:lang w:val="en-US" w:eastAsia="zh-CN"/>
        </w:rPr>
        <w:t>；</w:t>
      </w:r>
    </w:p>
    <w:p w14:paraId="5B3E926A">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附件6：</w:t>
      </w:r>
      <w:r>
        <w:rPr>
          <w:rFonts w:hint="eastAsia" w:ascii="Times New Roman" w:hAnsi="Times New Roman" w:cs="Times New Roman"/>
          <w:bCs/>
          <w:color w:val="auto"/>
          <w:sz w:val="24"/>
          <w:szCs w:val="24"/>
          <w:highlight w:val="none"/>
          <w:lang w:val="en-US" w:eastAsia="zh-CN"/>
        </w:rPr>
        <w:t>入园同意书；</w:t>
      </w:r>
    </w:p>
    <w:p w14:paraId="36A63703">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附件7：用地手续；</w:t>
      </w:r>
    </w:p>
    <w:p w14:paraId="7672354B">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附件8：</w:t>
      </w:r>
      <w:r>
        <w:rPr>
          <w:rFonts w:hint="default" w:ascii="Times New Roman" w:hAnsi="Times New Roman" w:eastAsia="宋体" w:cs="Times New Roman"/>
          <w:bCs/>
          <w:color w:val="auto"/>
          <w:sz w:val="24"/>
          <w:szCs w:val="24"/>
          <w:highlight w:val="none"/>
          <w:lang w:val="en-US" w:eastAsia="zh-CN"/>
        </w:rPr>
        <w:t>引用环境质量现状监测报告；</w:t>
      </w:r>
    </w:p>
    <w:p w14:paraId="6BE456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昆明市人民政府关于云南寻甸产业园区总体规划修编（2021—2035年）的批复</w:t>
      </w:r>
      <w:r>
        <w:rPr>
          <w:rFonts w:hint="default" w:ascii="Times New Roman" w:hAnsi="Times New Roman" w:eastAsia="宋体" w:cs="Times New Roman"/>
          <w:bCs/>
          <w:color w:val="auto"/>
          <w:sz w:val="24"/>
          <w:szCs w:val="24"/>
          <w:highlight w:val="none"/>
          <w:lang w:val="en-US" w:eastAsia="zh-CN"/>
        </w:rPr>
        <w:t>；</w:t>
      </w:r>
    </w:p>
    <w:p w14:paraId="40ACEF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附件</w:t>
      </w:r>
      <w:r>
        <w:rPr>
          <w:rFonts w:hint="eastAsia" w:cs="Times New Roman"/>
          <w:color w:val="auto"/>
          <w:sz w:val="24"/>
          <w:szCs w:val="24"/>
          <w:highlight w:val="none"/>
          <w:lang w:val="en-US" w:eastAsia="zh-CN"/>
        </w:rPr>
        <w:t>10：</w:t>
      </w:r>
      <w:r>
        <w:rPr>
          <w:rFonts w:hint="eastAsia" w:cs="Times New Roman"/>
          <w:color w:val="auto"/>
          <w:sz w:val="24"/>
          <w:szCs w:val="24"/>
          <w:highlight w:val="none"/>
          <w:lang w:eastAsia="zh-CN"/>
        </w:rPr>
        <w:t>园区规划环评审查意见昆环审〔2023〕5号</w:t>
      </w:r>
    </w:p>
    <w:p w14:paraId="3B1781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附件1</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关于备案证情况说明</w:t>
      </w:r>
      <w:r>
        <w:rPr>
          <w:rFonts w:hint="eastAsia" w:cs="Times New Roman"/>
          <w:color w:val="auto"/>
          <w:sz w:val="24"/>
          <w:szCs w:val="24"/>
          <w:highlight w:val="none"/>
          <w:lang w:eastAsia="zh-CN"/>
        </w:rPr>
        <w:t>；</w:t>
      </w:r>
    </w:p>
    <w:p w14:paraId="38A128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附件1</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关于原料供应说明</w:t>
      </w:r>
      <w:r>
        <w:rPr>
          <w:rFonts w:hint="eastAsia" w:cs="Times New Roman"/>
          <w:color w:val="auto"/>
          <w:sz w:val="24"/>
          <w:szCs w:val="24"/>
          <w:highlight w:val="none"/>
          <w:lang w:eastAsia="zh-CN"/>
        </w:rPr>
        <w:t>；</w:t>
      </w:r>
    </w:p>
    <w:p w14:paraId="131E9C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eastAsia"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lang w:val="en-US" w:eastAsia="zh-CN"/>
        </w:rPr>
        <w:t>：热平衡计算</w:t>
      </w:r>
      <w:r>
        <w:rPr>
          <w:rFonts w:hint="eastAsia" w:cs="Times New Roman"/>
          <w:color w:val="auto"/>
          <w:sz w:val="24"/>
          <w:szCs w:val="24"/>
          <w:highlight w:val="none"/>
          <w:lang w:val="en-US" w:eastAsia="zh-CN"/>
        </w:rPr>
        <w:t>；</w:t>
      </w:r>
    </w:p>
    <w:p w14:paraId="56DC09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附件14</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褐煤燃烧特性实验报告</w:t>
      </w:r>
      <w:r>
        <w:rPr>
          <w:rFonts w:hint="eastAsia" w:cs="Times New Roman"/>
          <w:color w:val="auto"/>
          <w:sz w:val="24"/>
          <w:szCs w:val="24"/>
          <w:highlight w:val="none"/>
          <w:lang w:val="en-US" w:eastAsia="zh-CN"/>
        </w:rPr>
        <w:t>；</w:t>
      </w:r>
    </w:p>
    <w:p w14:paraId="5FD10F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附件15</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烟气露点及冷凝水计算结果</w:t>
      </w:r>
      <w:r>
        <w:rPr>
          <w:rFonts w:hint="eastAsia" w:cs="Times New Roman"/>
          <w:color w:val="auto"/>
          <w:sz w:val="24"/>
          <w:szCs w:val="24"/>
          <w:highlight w:val="none"/>
          <w:lang w:val="en-US" w:eastAsia="zh-CN"/>
        </w:rPr>
        <w:t>；</w:t>
      </w:r>
    </w:p>
    <w:p w14:paraId="1FA1FA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附件16：</w:t>
      </w:r>
      <w:r>
        <w:rPr>
          <w:rFonts w:hint="default" w:ascii="Times New Roman" w:hAnsi="Times New Roman" w:eastAsia="宋体" w:cs="Times New Roman"/>
          <w:color w:val="auto"/>
          <w:sz w:val="24"/>
          <w:szCs w:val="24"/>
          <w:highlight w:val="none"/>
          <w:lang w:val="en-US" w:eastAsia="zh-CN"/>
        </w:rPr>
        <w:t>合同、进度管理表、内审表；</w:t>
      </w:r>
    </w:p>
    <w:p w14:paraId="7E14F1A1">
      <w:pPr>
        <w:pStyle w:val="11"/>
        <w:keepNext w:val="0"/>
        <w:keepLines w:val="0"/>
        <w:pageBreakBefore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附件17</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生物质颗粒检测报告</w:t>
      </w:r>
      <w:r>
        <w:rPr>
          <w:rFonts w:hint="eastAsia" w:cs="Times New Roman"/>
          <w:color w:val="auto"/>
          <w:sz w:val="24"/>
          <w:szCs w:val="24"/>
          <w:highlight w:val="none"/>
          <w:lang w:val="en-US" w:eastAsia="zh-CN"/>
        </w:rPr>
        <w:t>；</w:t>
      </w:r>
    </w:p>
    <w:p w14:paraId="3A51E94D">
      <w:pPr>
        <w:pStyle w:val="11"/>
        <w:keepNext w:val="0"/>
        <w:keepLines w:val="0"/>
        <w:pageBreakBefore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评审意见</w:t>
      </w:r>
      <w:r>
        <w:rPr>
          <w:rFonts w:hint="eastAsia" w:cs="Times New Roman"/>
          <w:color w:val="auto"/>
          <w:sz w:val="24"/>
          <w:szCs w:val="24"/>
          <w:highlight w:val="none"/>
          <w:lang w:val="en-US" w:eastAsia="zh-CN"/>
        </w:rPr>
        <w:t>；</w:t>
      </w:r>
    </w:p>
    <w:p w14:paraId="19393E92">
      <w:pPr>
        <w:pStyle w:val="11"/>
        <w:keepNext w:val="0"/>
        <w:keepLines w:val="0"/>
        <w:pageBreakBefore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修改对照表</w:t>
      </w:r>
      <w:r>
        <w:rPr>
          <w:rFonts w:hint="eastAsia" w:cs="Times New Roman"/>
          <w:color w:val="auto"/>
          <w:sz w:val="24"/>
          <w:szCs w:val="24"/>
          <w:highlight w:val="none"/>
          <w:lang w:val="en-US" w:eastAsia="zh-CN"/>
        </w:rPr>
        <w:t>；</w:t>
      </w:r>
    </w:p>
    <w:p w14:paraId="61197904">
      <w:pPr>
        <w:pStyle w:val="11"/>
        <w:keepNext w:val="0"/>
        <w:keepLines w:val="0"/>
        <w:pageBreakBefore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：全本公示截图。</w:t>
      </w:r>
    </w:p>
    <w:p w14:paraId="62D4BF01">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
          <w:bCs w:val="0"/>
          <w:color w:val="auto"/>
          <w:sz w:val="24"/>
          <w:szCs w:val="24"/>
          <w:highlight w:val="none"/>
          <w:lang w:val="en-US" w:eastAsia="zh-CN"/>
        </w:rPr>
      </w:pPr>
    </w:p>
    <w:p w14:paraId="66B0876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附图：</w:t>
      </w:r>
    </w:p>
    <w:p w14:paraId="330F264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附图1：项目地理位置图</w:t>
      </w:r>
      <w:r>
        <w:rPr>
          <w:rFonts w:hint="default" w:ascii="Times New Roman" w:hAnsi="Times New Roman" w:eastAsia="宋体" w:cs="Times New Roman"/>
          <w:color w:val="auto"/>
          <w:sz w:val="24"/>
          <w:szCs w:val="24"/>
          <w:highlight w:val="none"/>
          <w:lang w:eastAsia="zh-CN"/>
        </w:rPr>
        <w:t>；</w:t>
      </w:r>
    </w:p>
    <w:p w14:paraId="7C5E5B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附图2：</w:t>
      </w:r>
      <w:r>
        <w:rPr>
          <w:rFonts w:hint="default" w:ascii="Times New Roman" w:hAnsi="Times New Roman" w:eastAsia="宋体" w:cs="Times New Roman"/>
          <w:color w:val="auto"/>
          <w:sz w:val="24"/>
          <w:szCs w:val="24"/>
          <w:highlight w:val="none"/>
          <w:lang w:val="en-US" w:eastAsia="zh-CN"/>
        </w:rPr>
        <w:t>项目区总平面布置图；</w:t>
      </w:r>
    </w:p>
    <w:p w14:paraId="509FFA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附图3：项目周边关系图</w:t>
      </w:r>
      <w:r>
        <w:rPr>
          <w:rFonts w:hint="default" w:ascii="Times New Roman" w:hAnsi="Times New Roman" w:eastAsia="宋体" w:cs="Times New Roman"/>
          <w:color w:val="auto"/>
          <w:sz w:val="24"/>
          <w:szCs w:val="24"/>
          <w:highlight w:val="none"/>
          <w:lang w:eastAsia="zh-CN"/>
        </w:rPr>
        <w:t>；</w:t>
      </w:r>
    </w:p>
    <w:p w14:paraId="490D73C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附图4：</w:t>
      </w:r>
      <w:r>
        <w:rPr>
          <w:rFonts w:hint="default" w:ascii="Times New Roman" w:hAnsi="Times New Roman" w:eastAsia="宋体" w:cs="Times New Roman"/>
          <w:color w:val="auto"/>
          <w:sz w:val="24"/>
          <w:highlight w:val="none"/>
        </w:rPr>
        <w:t>项目区域水系图；</w:t>
      </w:r>
    </w:p>
    <w:p w14:paraId="784AE2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附图5：项目与寻甸特色产业园区金所片区用地规划位置图；</w:t>
      </w:r>
    </w:p>
    <w:p w14:paraId="38FD9AB3">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本项目与牛栏江流域（云南段）的位置关系图</w:t>
      </w:r>
      <w:r>
        <w:rPr>
          <w:rFonts w:hint="default" w:ascii="Times New Roman" w:hAnsi="Times New Roman" w:eastAsia="宋体" w:cs="Times New Roman"/>
          <w:color w:val="auto"/>
          <w:sz w:val="24"/>
          <w:highlight w:val="none"/>
        </w:rPr>
        <w:t>；</w:t>
      </w:r>
    </w:p>
    <w:p w14:paraId="76C19925">
      <w:pPr>
        <w:adjustRightInd w:val="0"/>
        <w:snapToGrid w:val="0"/>
        <w:spacing w:line="360" w:lineRule="auto"/>
        <w:ind w:firstLine="480" w:firstLineChars="200"/>
        <w:rPr>
          <w:rFonts w:hint="eastAsia" w:cs="Times New Roman"/>
          <w:color w:val="auto"/>
          <w:sz w:val="24"/>
          <w:highlight w:val="none"/>
          <w:lang w:eastAsia="zh-CN"/>
        </w:rPr>
      </w:pPr>
      <w:r>
        <w:rPr>
          <w:rFonts w:hint="default" w:ascii="Times New Roman" w:hAnsi="Times New Roman" w:eastAsia="宋体" w:cs="Times New Roman"/>
          <w:color w:val="auto"/>
          <w:sz w:val="24"/>
          <w:highlight w:val="none"/>
        </w:rPr>
        <w:t>附图7</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环境风险保护目标图</w:t>
      </w:r>
      <w:r>
        <w:rPr>
          <w:rFonts w:hint="eastAsia" w:cs="Times New Roman"/>
          <w:color w:val="auto"/>
          <w:sz w:val="24"/>
          <w:highlight w:val="none"/>
          <w:lang w:eastAsia="zh-CN"/>
        </w:rPr>
        <w:t>；</w:t>
      </w:r>
    </w:p>
    <w:p w14:paraId="67FD968D">
      <w:pPr>
        <w:adjustRightInd w:val="0"/>
        <w:snapToGrid w:val="0"/>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附图8：引用现状监测数据与本项目关系图；</w:t>
      </w:r>
    </w:p>
    <w:p w14:paraId="4E951860">
      <w:pPr>
        <w:adjustRightInd w:val="0"/>
        <w:snapToGrid w:val="0"/>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附图9：项目区与牛栏江（寻甸段）水环境保护分区位置关系图。</w:t>
      </w:r>
    </w:p>
    <w:p w14:paraId="52DF1544">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p>
    <w:p w14:paraId="182BD35D">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pPr>
    </w:p>
    <w:p w14:paraId="4E9A9D14">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38DA16D8">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4" w:name="_Toc20961"/>
      <w:r>
        <w:rPr>
          <w:rFonts w:hint="default" w:ascii="Times New Roman" w:hAnsi="Times New Roman" w:eastAsia="宋体" w:cs="Times New Roman"/>
          <w:b/>
          <w:bCs/>
          <w:snapToGrid w:val="0"/>
          <w:color w:val="auto"/>
          <w:sz w:val="30"/>
          <w:szCs w:val="30"/>
          <w:highlight w:val="none"/>
        </w:rPr>
        <w:t>一、建设项目基本情况</w:t>
      </w:r>
      <w:bookmarkEnd w:id="2"/>
      <w:bookmarkEnd w:id="4"/>
    </w:p>
    <w:tbl>
      <w:tblPr>
        <w:tblStyle w:val="27"/>
        <w:tblW w:w="88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4"/>
        <w:gridCol w:w="1010"/>
        <w:gridCol w:w="2136"/>
        <w:gridCol w:w="1977"/>
        <w:gridCol w:w="2982"/>
      </w:tblGrid>
      <w:tr w14:paraId="70A2F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34" w:type="dxa"/>
            <w:gridSpan w:val="2"/>
            <w:tcMar>
              <w:top w:w="16" w:type="dxa"/>
              <w:left w:w="16" w:type="dxa"/>
              <w:right w:w="16" w:type="dxa"/>
            </w:tcMar>
            <w:vAlign w:val="center"/>
          </w:tcPr>
          <w:p w14:paraId="7972F96F">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095" w:type="dxa"/>
            <w:gridSpan w:val="3"/>
            <w:vAlign w:val="center"/>
          </w:tcPr>
          <w:p w14:paraId="112BCB45">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云南中发能源有限公司年处理300万吨</w:t>
            </w:r>
            <w:r>
              <w:rPr>
                <w:rFonts w:hint="eastAsia" w:ascii="Times New Roman" w:hAnsi="Times New Roman" w:eastAsia="宋体" w:cs="Times New Roman"/>
                <w:color w:val="auto"/>
                <w:sz w:val="24"/>
                <w:szCs w:val="24"/>
                <w:highlight w:val="none"/>
                <w:lang w:val="en-US" w:eastAsia="zh-CN"/>
              </w:rPr>
              <w:t>褐</w:t>
            </w:r>
            <w:r>
              <w:rPr>
                <w:rFonts w:hint="default" w:ascii="Times New Roman" w:hAnsi="Times New Roman" w:eastAsia="宋体" w:cs="Times New Roman"/>
                <w:color w:val="auto"/>
                <w:sz w:val="24"/>
                <w:szCs w:val="24"/>
                <w:highlight w:val="none"/>
                <w:lang w:val="en-US" w:eastAsia="zh-CN"/>
              </w:rPr>
              <w:t>煤提质项目</w:t>
            </w:r>
          </w:p>
        </w:tc>
      </w:tr>
      <w:tr w14:paraId="188EC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734" w:type="dxa"/>
            <w:gridSpan w:val="2"/>
            <w:tcMar>
              <w:top w:w="16" w:type="dxa"/>
              <w:left w:w="16" w:type="dxa"/>
              <w:right w:w="16" w:type="dxa"/>
            </w:tcMar>
            <w:vAlign w:val="center"/>
          </w:tcPr>
          <w:p w14:paraId="3D02F3D7">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095" w:type="dxa"/>
            <w:gridSpan w:val="3"/>
            <w:vAlign w:val="center"/>
          </w:tcPr>
          <w:p w14:paraId="09BC75E4">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220</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-530129-04-01-</w:t>
            </w:r>
            <w:r>
              <w:rPr>
                <w:rFonts w:hint="eastAsia" w:cs="Times New Roman"/>
                <w:color w:val="auto"/>
                <w:sz w:val="24"/>
                <w:szCs w:val="24"/>
                <w:highlight w:val="none"/>
                <w:lang w:val="en-US" w:eastAsia="zh-CN"/>
              </w:rPr>
              <w:t>264722</w:t>
            </w:r>
          </w:p>
        </w:tc>
      </w:tr>
      <w:tr w14:paraId="3B654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14:paraId="08D1611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136" w:type="dxa"/>
            <w:vAlign w:val="center"/>
          </w:tcPr>
          <w:p w14:paraId="26C8DCF8">
            <w:pPr>
              <w:adjustRightInd w:val="0"/>
              <w:snapToGrid w:val="0"/>
              <w:jc w:val="center"/>
              <w:rPr>
                <w:rFonts w:hint="default" w:ascii="Times New Roman" w:hAnsi="Times New Roman" w:eastAsia="宋体" w:cs="Times New Roman"/>
                <w:color w:val="auto"/>
                <w:sz w:val="24"/>
                <w:szCs w:val="24"/>
                <w:highlight w:val="none"/>
                <w:lang w:val="en-US" w:eastAsia="zh-CN"/>
              </w:rPr>
            </w:pPr>
          </w:p>
        </w:tc>
        <w:tc>
          <w:tcPr>
            <w:tcW w:w="1977" w:type="dxa"/>
            <w:vAlign w:val="center"/>
          </w:tcPr>
          <w:p w14:paraId="14A4FFA7">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2982" w:type="dxa"/>
            <w:vAlign w:val="center"/>
          </w:tcPr>
          <w:p w14:paraId="723F9C4D">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14:paraId="5715FC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14:paraId="0E6F37AD">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095" w:type="dxa"/>
            <w:gridSpan w:val="3"/>
            <w:vAlign w:val="center"/>
          </w:tcPr>
          <w:p w14:paraId="55E80AD1">
            <w:pPr>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u w:val="none"/>
                <w:lang w:val="en-US" w:eastAsia="zh-CN"/>
              </w:rPr>
              <w:t>云南寻甸产业园区金所片区金所组团内</w:t>
            </w:r>
          </w:p>
        </w:tc>
      </w:tr>
      <w:tr w14:paraId="43CB0E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14:paraId="36150365">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095" w:type="dxa"/>
            <w:gridSpan w:val="3"/>
            <w:vAlign w:val="center"/>
          </w:tcPr>
          <w:p w14:paraId="49C4661F">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lang w:val="en-US" w:eastAsia="zh-CN"/>
              </w:rPr>
              <w:t>103</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1</w:t>
            </w:r>
            <w:r>
              <w:rPr>
                <w:rFonts w:hint="eastAsia" w:cs="Times New Roman"/>
                <w:color w:val="auto"/>
                <w:sz w:val="24"/>
                <w:szCs w:val="24"/>
                <w:highlight w:val="none"/>
                <w:u w:val="single"/>
                <w:lang w:val="en-US" w:eastAsia="zh-CN"/>
              </w:rPr>
              <w:t>1</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4</w:t>
            </w:r>
            <w:r>
              <w:rPr>
                <w:rFonts w:hint="eastAsia" w:cs="Times New Roman"/>
                <w:color w:val="auto"/>
                <w:sz w:val="24"/>
                <w:szCs w:val="24"/>
                <w:highlight w:val="none"/>
                <w:u w:val="single"/>
                <w:lang w:val="en-US" w:eastAsia="zh-CN"/>
              </w:rPr>
              <w:t>4.826</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lang w:val="en-US" w:eastAsia="zh-CN"/>
              </w:rPr>
              <w:t>25</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3</w:t>
            </w:r>
            <w:r>
              <w:rPr>
                <w:rFonts w:hint="eastAsia" w:cs="Times New Roman"/>
                <w:color w:val="auto"/>
                <w:sz w:val="24"/>
                <w:szCs w:val="24"/>
                <w:highlight w:val="none"/>
                <w:u w:val="single"/>
                <w:lang w:val="en-US" w:eastAsia="zh-CN"/>
              </w:rPr>
              <w:t>3</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4</w:t>
            </w:r>
            <w:r>
              <w:rPr>
                <w:rFonts w:hint="eastAsia" w:cs="Times New Roman"/>
                <w:color w:val="auto"/>
                <w:sz w:val="24"/>
                <w:szCs w:val="24"/>
                <w:highlight w:val="none"/>
                <w:u w:val="single"/>
                <w:lang w:val="en-US" w:eastAsia="zh-CN"/>
              </w:rPr>
              <w:t>0.417</w:t>
            </w:r>
            <w:r>
              <w:rPr>
                <w:rFonts w:hint="default" w:ascii="Times New Roman" w:hAnsi="Times New Roman" w:eastAsia="宋体" w:cs="Times New Roman"/>
                <w:color w:val="auto"/>
                <w:sz w:val="24"/>
                <w:szCs w:val="24"/>
                <w:highlight w:val="none"/>
              </w:rPr>
              <w:t>秒）</w:t>
            </w:r>
          </w:p>
        </w:tc>
      </w:tr>
      <w:tr w14:paraId="2C881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14:paraId="3A16BECA">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14:paraId="345F34F0">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136" w:type="dxa"/>
            <w:vAlign w:val="center"/>
          </w:tcPr>
          <w:p w14:paraId="0E90A55E">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其他煤炭加工</w:t>
            </w:r>
            <w:r>
              <w:rPr>
                <w:rFonts w:hint="default" w:ascii="Times New Roman" w:hAnsi="Times New Roman" w:eastAsia="宋体" w:cs="Times New Roman"/>
                <w:color w:val="auto"/>
                <w:sz w:val="24"/>
                <w:szCs w:val="24"/>
                <w:highlight w:val="none"/>
                <w:lang w:val="en-US" w:eastAsia="zh-CN"/>
              </w:rPr>
              <w:t>（C</w:t>
            </w:r>
            <w:r>
              <w:rPr>
                <w:rFonts w:hint="eastAsia" w:cs="Times New Roman"/>
                <w:color w:val="auto"/>
                <w:sz w:val="24"/>
                <w:szCs w:val="24"/>
                <w:highlight w:val="none"/>
                <w:lang w:val="en-US" w:eastAsia="zh-CN"/>
              </w:rPr>
              <w:t>2529</w:t>
            </w:r>
            <w:r>
              <w:rPr>
                <w:rFonts w:hint="default" w:ascii="Times New Roman" w:hAnsi="Times New Roman" w:eastAsia="宋体" w:cs="Times New Roman"/>
                <w:color w:val="auto"/>
                <w:sz w:val="24"/>
                <w:szCs w:val="24"/>
                <w:highlight w:val="none"/>
                <w:lang w:val="en-US" w:eastAsia="zh-CN"/>
              </w:rPr>
              <w:t>）</w:t>
            </w:r>
          </w:p>
        </w:tc>
        <w:tc>
          <w:tcPr>
            <w:tcW w:w="1977" w:type="dxa"/>
            <w:vAlign w:val="center"/>
          </w:tcPr>
          <w:p w14:paraId="47A9B59E">
            <w:pPr>
              <w:adjustRightInd w:val="0"/>
              <w:snapToGrid w:val="0"/>
              <w:jc w:val="center"/>
              <w:rPr>
                <w:rFonts w:hint="default" w:ascii="Times New Roman" w:hAnsi="Times New Roman" w:eastAsia="宋体" w:cs="Times New Roman"/>
                <w:color w:val="auto"/>
                <w:sz w:val="24"/>
                <w:szCs w:val="24"/>
                <w:highlight w:val="none"/>
              </w:rPr>
            </w:pPr>
            <w:bookmarkStart w:id="5" w:name="_Hlk49843745"/>
            <w:r>
              <w:rPr>
                <w:rFonts w:hint="default" w:ascii="Times New Roman" w:hAnsi="Times New Roman" w:eastAsia="宋体" w:cs="Times New Roman"/>
                <w:color w:val="auto"/>
                <w:sz w:val="24"/>
                <w:szCs w:val="24"/>
                <w:highlight w:val="none"/>
              </w:rPr>
              <w:t>建设项目</w:t>
            </w:r>
          </w:p>
          <w:p w14:paraId="6E66105A">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5"/>
          </w:p>
        </w:tc>
        <w:tc>
          <w:tcPr>
            <w:tcW w:w="2982" w:type="dxa"/>
            <w:vAlign w:val="center"/>
          </w:tcPr>
          <w:p w14:paraId="3A557AE8">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二十二</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石油、煤炭及其他燃料加工业42煤炭加工252  其他煤炭加工</w:t>
            </w:r>
          </w:p>
        </w:tc>
      </w:tr>
      <w:tr w14:paraId="3328D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14:paraId="60E766E6">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136" w:type="dxa"/>
            <w:vAlign w:val="center"/>
          </w:tcPr>
          <w:p w14:paraId="0BA778E6">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14:paraId="52AEFDFC">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14:paraId="0FD6FE55">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14:paraId="5E810770">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1977" w:type="dxa"/>
            <w:vAlign w:val="center"/>
          </w:tcPr>
          <w:p w14:paraId="1669C250">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5EC5182F">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982" w:type="dxa"/>
            <w:vAlign w:val="center"/>
          </w:tcPr>
          <w:p w14:paraId="5F89EFF2">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14:paraId="086CA17E">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14:paraId="512FC4DE">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 xml:space="preserve">超五年重新审核项目     </w:t>
            </w:r>
          </w:p>
          <w:p w14:paraId="019CADAB">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14:paraId="35A7C5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14:paraId="4D5138CD">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5BD4E50A">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w:t>
            </w:r>
          </w:p>
        </w:tc>
        <w:tc>
          <w:tcPr>
            <w:tcW w:w="2136" w:type="dxa"/>
            <w:vAlign w:val="center"/>
          </w:tcPr>
          <w:p w14:paraId="7C2FE385">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寻甸回族彝族自治县发展和改革局</w:t>
            </w:r>
          </w:p>
        </w:tc>
        <w:tc>
          <w:tcPr>
            <w:tcW w:w="1977" w:type="dxa"/>
            <w:vAlign w:val="center"/>
          </w:tcPr>
          <w:p w14:paraId="5C07FF35">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35EAFE7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w:t>
            </w:r>
          </w:p>
        </w:tc>
        <w:tc>
          <w:tcPr>
            <w:tcW w:w="2982" w:type="dxa"/>
            <w:vAlign w:val="center"/>
          </w:tcPr>
          <w:p w14:paraId="509979D2">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220</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-530129-04-01-</w:t>
            </w:r>
            <w:r>
              <w:rPr>
                <w:rFonts w:hint="eastAsia" w:cs="Times New Roman"/>
                <w:color w:val="auto"/>
                <w:sz w:val="24"/>
                <w:szCs w:val="24"/>
                <w:highlight w:val="none"/>
                <w:lang w:val="en-US" w:eastAsia="zh-CN"/>
              </w:rPr>
              <w:t>264722</w:t>
            </w:r>
          </w:p>
        </w:tc>
      </w:tr>
      <w:tr w14:paraId="1E718C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734" w:type="dxa"/>
            <w:gridSpan w:val="2"/>
            <w:tcMar>
              <w:top w:w="16" w:type="dxa"/>
              <w:left w:w="16" w:type="dxa"/>
              <w:right w:w="16" w:type="dxa"/>
            </w:tcMar>
            <w:vAlign w:val="center"/>
          </w:tcPr>
          <w:p w14:paraId="4A7D0A64">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136" w:type="dxa"/>
            <w:vAlign w:val="center"/>
          </w:tcPr>
          <w:p w14:paraId="0095179A">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35000</w:t>
            </w:r>
          </w:p>
        </w:tc>
        <w:tc>
          <w:tcPr>
            <w:tcW w:w="1977" w:type="dxa"/>
            <w:tcMar>
              <w:top w:w="16" w:type="dxa"/>
              <w:left w:w="16" w:type="dxa"/>
              <w:right w:w="16" w:type="dxa"/>
            </w:tcMar>
            <w:vAlign w:val="center"/>
          </w:tcPr>
          <w:p w14:paraId="5338FB3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982" w:type="dxa"/>
            <w:vAlign w:val="center"/>
          </w:tcPr>
          <w:p w14:paraId="14A7C350">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highlight w:val="none"/>
                <w:lang w:val="en-US" w:eastAsia="zh-CN"/>
              </w:rPr>
              <w:t>2981</w:t>
            </w:r>
          </w:p>
        </w:tc>
      </w:tr>
      <w:tr w14:paraId="0BD64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1734" w:type="dxa"/>
            <w:gridSpan w:val="2"/>
            <w:tcMar>
              <w:top w:w="16" w:type="dxa"/>
              <w:left w:w="16" w:type="dxa"/>
              <w:right w:w="16" w:type="dxa"/>
            </w:tcMar>
            <w:vAlign w:val="center"/>
          </w:tcPr>
          <w:p w14:paraId="71AF220E">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136" w:type="dxa"/>
            <w:vAlign w:val="center"/>
          </w:tcPr>
          <w:p w14:paraId="3F89FE35">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8.52</w:t>
            </w:r>
          </w:p>
        </w:tc>
        <w:tc>
          <w:tcPr>
            <w:tcW w:w="1977" w:type="dxa"/>
            <w:tcMar>
              <w:top w:w="16" w:type="dxa"/>
              <w:left w:w="16" w:type="dxa"/>
              <w:right w:w="16" w:type="dxa"/>
            </w:tcMar>
            <w:vAlign w:val="center"/>
          </w:tcPr>
          <w:p w14:paraId="387A10DA">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982" w:type="dxa"/>
            <w:vAlign w:val="center"/>
          </w:tcPr>
          <w:p w14:paraId="6269DC70">
            <w:pPr>
              <w:adjustRightInd w:val="0"/>
              <w:snapToGrid w:val="0"/>
              <w:jc w:val="center"/>
              <w:rPr>
                <w:rFonts w:hint="eastAsia" w:eastAsia="宋体"/>
                <w:color w:val="auto"/>
                <w:highlight w:val="none"/>
                <w:lang w:val="en-US" w:eastAsia="zh-CN"/>
              </w:rPr>
            </w:pPr>
            <w:r>
              <w:rPr>
                <w:rFonts w:hint="eastAsia"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个月</w:t>
            </w:r>
          </w:p>
        </w:tc>
      </w:tr>
      <w:tr w14:paraId="200D4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27FFE41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136" w:type="dxa"/>
            <w:vAlign w:val="center"/>
          </w:tcPr>
          <w:p w14:paraId="16A4BA40">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14:paraId="53B7DD94">
            <w:pPr>
              <w:adjustRightInd w:val="0"/>
              <w:snapToGrid w:val="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lang w:val="en-US" w:eastAsia="zh-CN"/>
              </w:rPr>
              <w:t xml:space="preserve">            </w:t>
            </w:r>
          </w:p>
        </w:tc>
        <w:tc>
          <w:tcPr>
            <w:tcW w:w="1977" w:type="dxa"/>
            <w:tcMar>
              <w:top w:w="16" w:type="dxa"/>
              <w:left w:w="16" w:type="dxa"/>
              <w:right w:w="16" w:type="dxa"/>
            </w:tcMar>
            <w:vAlign w:val="center"/>
          </w:tcPr>
          <w:p w14:paraId="4FB1A562">
            <w:pP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14:paraId="642099A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982" w:type="dxa"/>
            <w:vAlign w:val="center"/>
          </w:tcPr>
          <w:p w14:paraId="6680FE46">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宋体"/>
                <w:color w:val="auto"/>
                <w:sz w:val="24"/>
                <w:highlight w:val="none"/>
                <w:lang w:val="en-US" w:eastAsia="zh-CN"/>
              </w:rPr>
              <w:t>48912</w:t>
            </w:r>
          </w:p>
        </w:tc>
      </w:tr>
      <w:tr w14:paraId="5F469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24" w:type="dxa"/>
            <w:vAlign w:val="center"/>
          </w:tcPr>
          <w:p w14:paraId="2AEDE5AC">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8105" w:type="dxa"/>
            <w:gridSpan w:val="4"/>
            <w:vAlign w:val="center"/>
          </w:tcPr>
          <w:p w14:paraId="6F9B4858">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项目专项评价判定情况如下表所示。</w:t>
            </w:r>
          </w:p>
          <w:p w14:paraId="71BB416F">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rPr>
              <w:t>表1-1   项目专项评价判定表</w:t>
            </w:r>
          </w:p>
          <w:tbl>
            <w:tblPr>
              <w:tblStyle w:val="28"/>
              <w:tblW w:w="787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3063"/>
              <w:gridCol w:w="3263"/>
              <w:gridCol w:w="783"/>
            </w:tblGrid>
            <w:tr w14:paraId="6DC7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14:paraId="089C44EA">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专项评价类比</w:t>
                  </w:r>
                </w:p>
              </w:tc>
              <w:tc>
                <w:tcPr>
                  <w:tcW w:w="3063" w:type="dxa"/>
                  <w:noWrap w:val="0"/>
                  <w:vAlign w:val="center"/>
                </w:tcPr>
                <w:p w14:paraId="0BD9F696">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设置原则</w:t>
                  </w:r>
                </w:p>
              </w:tc>
              <w:tc>
                <w:tcPr>
                  <w:tcW w:w="3263" w:type="dxa"/>
                  <w:noWrap w:val="0"/>
                  <w:vAlign w:val="center"/>
                </w:tcPr>
                <w:p w14:paraId="40B9312B">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本项目情况</w:t>
                  </w:r>
                </w:p>
              </w:tc>
              <w:tc>
                <w:tcPr>
                  <w:tcW w:w="783" w:type="dxa"/>
                  <w:noWrap w:val="0"/>
                  <w:vAlign w:val="center"/>
                </w:tcPr>
                <w:p w14:paraId="1C4706D5">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是否设置专项评价</w:t>
                  </w:r>
                </w:p>
              </w:tc>
            </w:tr>
            <w:tr w14:paraId="745D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14:paraId="33EA517F">
                  <w:pPr>
                    <w:tabs>
                      <w:tab w:val="left" w:pos="3255"/>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w:t>
                  </w:r>
                </w:p>
              </w:tc>
              <w:tc>
                <w:tcPr>
                  <w:tcW w:w="3063" w:type="dxa"/>
                  <w:noWrap w:val="0"/>
                  <w:vAlign w:val="center"/>
                </w:tcPr>
                <w:p w14:paraId="61241D4D">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排放废气含有毒有害污染物</w:t>
                  </w:r>
                  <w:r>
                    <w:rPr>
                      <w:rFonts w:hint="default" w:ascii="Times New Roman" w:hAnsi="Times New Roman" w:eastAsia="宋体" w:cs="Times New Roman"/>
                      <w:color w:val="auto"/>
                      <w:kern w:val="0"/>
                      <w:sz w:val="21"/>
                      <w:szCs w:val="21"/>
                      <w:highlight w:val="none"/>
                      <w:vertAlign w:val="superscript"/>
                      <w:lang w:val="en-US" w:eastAsia="zh-CN"/>
                    </w:rPr>
                    <w:t>1</w:t>
                  </w:r>
                  <w:r>
                    <w:rPr>
                      <w:rFonts w:hint="default" w:ascii="Times New Roman" w:hAnsi="Times New Roman" w:eastAsia="宋体" w:cs="Times New Roman"/>
                      <w:color w:val="auto"/>
                      <w:kern w:val="0"/>
                      <w:sz w:val="21"/>
                      <w:szCs w:val="21"/>
                      <w:highlight w:val="none"/>
                      <w:vertAlign w:val="baseline"/>
                      <w:lang w:val="en-US" w:eastAsia="zh-CN"/>
                    </w:rPr>
                    <w:t>、二噁英、苯并[a]芘、氰化物、氯气且厂界500m范围内有环境空气保护目标</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3263" w:type="dxa"/>
                  <w:noWrap w:val="0"/>
                  <w:vAlign w:val="center"/>
                </w:tcPr>
                <w:p w14:paraId="487173C5">
                  <w:pPr>
                    <w:autoSpaceDE w:val="0"/>
                    <w:autoSpaceDN w:val="0"/>
                    <w:adjustRightInd w:val="0"/>
                    <w:snapToGrid w:val="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项目排放废气主要为颗粒物</w:t>
                  </w:r>
                  <w:r>
                    <w:rPr>
                      <w:rFonts w:hint="eastAsia" w:cs="Times New Roman"/>
                      <w:b w:val="0"/>
                      <w:bCs w:val="0"/>
                      <w:color w:val="auto"/>
                      <w:kern w:val="0"/>
                      <w:sz w:val="21"/>
                      <w:szCs w:val="21"/>
                      <w:highlight w:val="none"/>
                      <w:vertAlign w:val="baseline"/>
                      <w:lang w:val="en-US" w:eastAsia="zh-CN"/>
                    </w:rPr>
                    <w:t>、SO</w:t>
                  </w:r>
                  <w:r>
                    <w:rPr>
                      <w:rFonts w:hint="eastAsia" w:cs="Times New Roman"/>
                      <w:b w:val="0"/>
                      <w:bCs w:val="0"/>
                      <w:color w:val="auto"/>
                      <w:kern w:val="0"/>
                      <w:sz w:val="21"/>
                      <w:szCs w:val="21"/>
                      <w:highlight w:val="none"/>
                      <w:vertAlign w:val="subscript"/>
                      <w:lang w:val="en-US" w:eastAsia="zh-CN"/>
                    </w:rPr>
                    <w:t>2</w:t>
                  </w:r>
                  <w:r>
                    <w:rPr>
                      <w:rFonts w:hint="eastAsia" w:cs="Times New Roman"/>
                      <w:b w:val="0"/>
                      <w:bCs w:val="0"/>
                      <w:color w:val="auto"/>
                      <w:kern w:val="0"/>
                      <w:sz w:val="21"/>
                      <w:szCs w:val="21"/>
                      <w:highlight w:val="none"/>
                      <w:vertAlign w:val="baseline"/>
                      <w:lang w:val="en-US" w:eastAsia="zh-CN"/>
                    </w:rPr>
                    <w:t>、NO</w:t>
                  </w:r>
                  <w:r>
                    <w:rPr>
                      <w:rFonts w:hint="eastAsia" w:cs="Times New Roman"/>
                      <w:b w:val="0"/>
                      <w:bCs w:val="0"/>
                      <w:color w:val="auto"/>
                      <w:kern w:val="0"/>
                      <w:sz w:val="21"/>
                      <w:szCs w:val="21"/>
                      <w:highlight w:val="none"/>
                      <w:vertAlign w:val="subscript"/>
                      <w:lang w:val="en-US" w:eastAsia="zh-CN"/>
                    </w:rPr>
                    <w:t>X</w:t>
                  </w:r>
                  <w:r>
                    <w:rPr>
                      <w:rFonts w:hint="eastAsia" w:cs="Times New Roman"/>
                      <w:b w:val="0"/>
                      <w:bCs w:val="0"/>
                      <w:color w:val="auto"/>
                      <w:kern w:val="0"/>
                      <w:sz w:val="21"/>
                      <w:szCs w:val="21"/>
                      <w:highlight w:val="none"/>
                      <w:vertAlign w:val="baseline"/>
                      <w:lang w:val="en-US" w:eastAsia="zh-CN"/>
                    </w:rPr>
                    <w:t>、氨</w:t>
                  </w:r>
                  <w:r>
                    <w:rPr>
                      <w:rFonts w:hint="default" w:ascii="Times New Roman" w:hAnsi="Times New Roman" w:eastAsia="宋体" w:cs="Times New Roman"/>
                      <w:b w:val="0"/>
                      <w:bCs w:val="0"/>
                      <w:color w:val="auto"/>
                      <w:kern w:val="0"/>
                      <w:sz w:val="21"/>
                      <w:szCs w:val="21"/>
                      <w:highlight w:val="none"/>
                      <w:vertAlign w:val="baseline"/>
                      <w:lang w:val="en-US" w:eastAsia="zh-CN"/>
                    </w:rPr>
                    <w:t>，不排放含有毒有害污染物、二噁英、苯并[a]芘、氰化物、氯气等废气。</w:t>
                  </w:r>
                </w:p>
              </w:tc>
              <w:tc>
                <w:tcPr>
                  <w:tcW w:w="783" w:type="dxa"/>
                  <w:noWrap w:val="0"/>
                  <w:vAlign w:val="center"/>
                </w:tcPr>
                <w:p w14:paraId="73832180">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否</w:t>
                  </w:r>
                </w:p>
              </w:tc>
            </w:tr>
            <w:tr w14:paraId="2658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14:paraId="2FA71A82">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地表水</w:t>
                  </w:r>
                </w:p>
              </w:tc>
              <w:tc>
                <w:tcPr>
                  <w:tcW w:w="3063" w:type="dxa"/>
                  <w:noWrap w:val="0"/>
                  <w:vAlign w:val="center"/>
                </w:tcPr>
                <w:p w14:paraId="597B5077">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新增工业废水直排建设项目（槽罐车外送污水处理厂的除外）；新增废水直排的污水集中处理厂。</w:t>
                  </w:r>
                </w:p>
              </w:tc>
              <w:tc>
                <w:tcPr>
                  <w:tcW w:w="3263" w:type="dxa"/>
                  <w:noWrap w:val="0"/>
                  <w:vAlign w:val="center"/>
                </w:tcPr>
                <w:p w14:paraId="77758AB9">
                  <w:pPr>
                    <w:widowControl/>
                    <w:adjustRightInd w:val="0"/>
                    <w:snapToGrid w:val="0"/>
                    <w:spacing w:line="240" w:lineRule="auto"/>
                    <w:ind w:firstLine="0" w:firstLineChars="0"/>
                    <w:jc w:val="center"/>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w:t>
                  </w:r>
                  <w:r>
                    <w:rPr>
                      <w:rFonts w:hint="default" w:cs="Times New Roman"/>
                      <w:color w:val="auto"/>
                      <w:kern w:val="0"/>
                      <w:sz w:val="21"/>
                      <w:szCs w:val="21"/>
                      <w:highlight w:val="none"/>
                      <w:lang w:val="en-US" w:eastAsia="zh-CN"/>
                    </w:rPr>
                    <w:t>项</w:t>
                  </w:r>
                  <w:r>
                    <w:rPr>
                      <w:rFonts w:hint="default" w:ascii="Times New Roman" w:hAnsi="Times New Roman" w:cs="Times New Roman"/>
                      <w:b w:val="0"/>
                      <w:bCs w:val="0"/>
                      <w:color w:val="auto"/>
                      <w:kern w:val="0"/>
                      <w:sz w:val="21"/>
                      <w:szCs w:val="21"/>
                      <w:highlight w:val="none"/>
                      <w:lang w:val="en-US" w:eastAsia="zh-CN"/>
                    </w:rPr>
                    <w:t>目排水采用雨污分流的排水方式，设备冷却废水经循环冷却池冷却后循环使用不外排；化验后的容器清洗废水通过投加絮凝剂、加入酸碱中和剂等方式对废水进行沉淀、中和等简易处理，处理后的废水排入厂内拟建的污水处理站统一处置；吸收氨气的清水浓度大于10%时直接作为脱硝使用喷入</w:t>
                  </w:r>
                </w:p>
                <w:p w14:paraId="13B9F845">
                  <w:pPr>
                    <w:pStyle w:val="21"/>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炉膛内，不外排；初期雨水经沉淀处理后回用于厂区洒水抑尘，不外排；办公生活污水排入化粪池处理后同化验废水一并进入地埋式一体化污水处理站处理达《城市污水再生利用 城市杂用水水质》（GB/T18920-2020）中的城市绿化、道路清扫、消防、建筑施工标准后，用于项目区内绿化及道路场地洒水降尘，不外排</w:t>
                  </w:r>
                  <w:r>
                    <w:rPr>
                      <w:rFonts w:hint="default" w:ascii="Times New Roman" w:hAnsi="Times New Roman" w:eastAsia="宋体" w:cs="Times New Roman"/>
                      <w:b w:val="0"/>
                      <w:bCs w:val="0"/>
                      <w:color w:val="auto"/>
                      <w:sz w:val="21"/>
                      <w:szCs w:val="21"/>
                      <w:highlight w:val="none"/>
                      <w:lang w:val="en-US" w:eastAsia="zh-CN"/>
                    </w:rPr>
                    <w:t>。</w:t>
                  </w:r>
                </w:p>
              </w:tc>
              <w:tc>
                <w:tcPr>
                  <w:tcW w:w="783" w:type="dxa"/>
                  <w:noWrap w:val="0"/>
                  <w:vAlign w:val="center"/>
                </w:tcPr>
                <w:p w14:paraId="27507362">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14:paraId="7EA9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14:paraId="3018065C">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环境风险</w:t>
                  </w:r>
                </w:p>
              </w:tc>
              <w:tc>
                <w:tcPr>
                  <w:tcW w:w="3063" w:type="dxa"/>
                  <w:noWrap w:val="0"/>
                  <w:vAlign w:val="center"/>
                </w:tcPr>
                <w:p w14:paraId="5FA09B3D">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3263" w:type="dxa"/>
                  <w:noWrap w:val="0"/>
                  <w:vAlign w:val="center"/>
                </w:tcPr>
                <w:p w14:paraId="25A6FEC7">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本项目有毒有害和易燃易</w:t>
                  </w:r>
                </w:p>
                <w:p w14:paraId="53C2813F">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爆危险物质存储量根据《建设项目环境风险评价技术导则》</w:t>
                  </w:r>
                </w:p>
                <w:p w14:paraId="40E623F9">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r>
                    <w:rPr>
                      <w:rFonts w:hint="default" w:ascii="Times New Roman" w:hAnsi="Times New Roman" w:eastAsia="宋体" w:cs="Times New Roman"/>
                      <w:color w:val="auto"/>
                      <w:kern w:val="0"/>
                      <w:sz w:val="21"/>
                      <w:szCs w:val="21"/>
                      <w:highlight w:val="none"/>
                      <w:vertAlign w:val="baseline"/>
                      <w:lang w:val="en-US" w:eastAsia="zh-CN"/>
                    </w:rPr>
                    <w:t>HJ169-2018</w:t>
                  </w:r>
                  <w:r>
                    <w:rPr>
                      <w:rFonts w:hint="eastAsia" w:ascii="Times New Roman" w:hAnsi="Times New Roman" w:eastAsia="宋体" w:cs="Times New Roman"/>
                      <w:color w:val="auto"/>
                      <w:kern w:val="0"/>
                      <w:sz w:val="21"/>
                      <w:szCs w:val="21"/>
                      <w:highlight w:val="none"/>
                      <w:vertAlign w:val="baseline"/>
                      <w:lang w:val="en-US" w:eastAsia="zh-CN"/>
                    </w:rPr>
                    <w:t>）计算，</w:t>
                  </w:r>
                  <w:r>
                    <w:rPr>
                      <w:rFonts w:hint="default" w:ascii="Times New Roman" w:hAnsi="Times New Roman" w:eastAsia="宋体" w:cs="Times New Roman"/>
                      <w:color w:val="auto"/>
                      <w:kern w:val="0"/>
                      <w:sz w:val="21"/>
                      <w:szCs w:val="21"/>
                      <w:highlight w:val="none"/>
                      <w:vertAlign w:val="baseline"/>
                      <w:lang w:val="en-US" w:eastAsia="zh-CN"/>
                    </w:rPr>
                    <w:t>Q=</w:t>
                  </w:r>
                  <w:r>
                    <w:rPr>
                      <w:rFonts w:hint="eastAsia" w:cs="Times New Roman"/>
                      <w:color w:val="auto"/>
                      <w:kern w:val="0"/>
                      <w:sz w:val="21"/>
                      <w:szCs w:val="21"/>
                      <w:highlight w:val="none"/>
                      <w:vertAlign w:val="baseline"/>
                      <w:lang w:val="en-US" w:eastAsia="zh-CN"/>
                    </w:rPr>
                    <w:t>2.1846</w:t>
                  </w:r>
                  <w:r>
                    <w:rPr>
                      <w:rFonts w:hint="eastAsia" w:ascii="Times New Roman" w:hAnsi="Times New Roman" w:eastAsia="宋体" w:cs="Times New Roman"/>
                      <w:color w:val="auto"/>
                      <w:kern w:val="0"/>
                      <w:sz w:val="21"/>
                      <w:szCs w:val="21"/>
                      <w:highlight w:val="none"/>
                      <w:vertAlign w:val="baseline"/>
                      <w:lang w:val="en-US" w:eastAsia="zh-CN"/>
                    </w:rPr>
                    <w:t>，存储量超过临界量，需开展风险专题评价，（详见环境风险影响专项评价。</w:t>
                  </w:r>
                </w:p>
                <w:p w14:paraId="5D1CD976">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783" w:type="dxa"/>
                  <w:noWrap w:val="0"/>
                  <w:vAlign w:val="center"/>
                </w:tcPr>
                <w:p w14:paraId="6F8F0F49">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是</w:t>
                  </w:r>
                </w:p>
              </w:tc>
            </w:tr>
            <w:tr w14:paraId="082C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14:paraId="4E4E47AE">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生态</w:t>
                  </w:r>
                </w:p>
              </w:tc>
              <w:tc>
                <w:tcPr>
                  <w:tcW w:w="3063" w:type="dxa"/>
                  <w:noWrap w:val="0"/>
                  <w:vAlign w:val="center"/>
                </w:tcPr>
                <w:p w14:paraId="618636CB">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取水口下游500米范围内有重要水生生物的自然产卵场、索饵场、越冬场和洄游通道的新增河道取水的污染类建设项目。</w:t>
                  </w:r>
                </w:p>
              </w:tc>
              <w:tc>
                <w:tcPr>
                  <w:tcW w:w="3263" w:type="dxa"/>
                  <w:noWrap w:val="0"/>
                  <w:vAlign w:val="center"/>
                </w:tcPr>
                <w:p w14:paraId="0D3D200E">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本项目不涉及此项情况。</w:t>
                  </w:r>
                </w:p>
              </w:tc>
              <w:tc>
                <w:tcPr>
                  <w:tcW w:w="783" w:type="dxa"/>
                  <w:noWrap w:val="0"/>
                  <w:vAlign w:val="center"/>
                </w:tcPr>
                <w:p w14:paraId="42A310AC">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14:paraId="58AF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14:paraId="2A5FE676">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海洋</w:t>
                  </w:r>
                </w:p>
              </w:tc>
              <w:tc>
                <w:tcPr>
                  <w:tcW w:w="3063" w:type="dxa"/>
                  <w:noWrap w:val="0"/>
                  <w:vAlign w:val="center"/>
                </w:tcPr>
                <w:p w14:paraId="1A9F347B">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直接向海排放污染物的海洋工程建设项目。</w:t>
                  </w:r>
                </w:p>
              </w:tc>
              <w:tc>
                <w:tcPr>
                  <w:tcW w:w="3263" w:type="dxa"/>
                  <w:noWrap w:val="0"/>
                  <w:vAlign w:val="center"/>
                </w:tcPr>
                <w:p w14:paraId="6DF11143">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项目不属于海洋工程建设项目，不向海洋排放污染物。</w:t>
                  </w:r>
                </w:p>
              </w:tc>
              <w:tc>
                <w:tcPr>
                  <w:tcW w:w="783" w:type="dxa"/>
                  <w:noWrap w:val="0"/>
                  <w:vAlign w:val="center"/>
                </w:tcPr>
                <w:p w14:paraId="47FD124C">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14:paraId="3A7F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76" w:type="dxa"/>
                  <w:gridSpan w:val="4"/>
                  <w:noWrap w:val="0"/>
                  <w:vAlign w:val="center"/>
                </w:tcPr>
                <w:p w14:paraId="4CD414F2">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注：1.废气中有毒有害污染物指纳入《有毒有害大气污染物名录》的污染物（不包括无排放标准的污染物）。</w:t>
                  </w:r>
                </w:p>
                <w:p w14:paraId="19FDBC21">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2.环境空气保护目标指自然保护区、风景名胜区、居住区、文化区和农村地区中人群较集中的区域。</w:t>
                  </w:r>
                </w:p>
                <w:p w14:paraId="629ABEC0">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3.临界量及其计算方法可参考《建设项目环境风险评价技术导则》（HJ 169）附录B、附录C.。</w:t>
                  </w:r>
                </w:p>
              </w:tc>
            </w:tr>
          </w:tbl>
          <w:p w14:paraId="76621673">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vertAlign w:val="baseline"/>
                <w:lang w:val="en-US" w:eastAsia="zh-CN"/>
              </w:rPr>
              <w:t>由上表可知，本项目设置</w:t>
            </w:r>
            <w:r>
              <w:rPr>
                <w:rFonts w:hint="eastAsia" w:cs="Times New Roman"/>
                <w:b w:val="0"/>
                <w:bCs w:val="0"/>
                <w:color w:val="auto"/>
                <w:kern w:val="0"/>
                <w:sz w:val="24"/>
                <w:szCs w:val="24"/>
                <w:highlight w:val="none"/>
                <w:vertAlign w:val="baseline"/>
                <w:lang w:val="en-US" w:eastAsia="zh-CN"/>
              </w:rPr>
              <w:t>环境风险</w:t>
            </w:r>
            <w:r>
              <w:rPr>
                <w:rFonts w:hint="default" w:ascii="Times New Roman" w:hAnsi="Times New Roman" w:eastAsia="宋体" w:cs="Times New Roman"/>
                <w:b w:val="0"/>
                <w:bCs w:val="0"/>
                <w:color w:val="auto"/>
                <w:kern w:val="0"/>
                <w:sz w:val="24"/>
                <w:szCs w:val="24"/>
                <w:highlight w:val="none"/>
                <w:vertAlign w:val="baseline"/>
                <w:lang w:val="en-US" w:eastAsia="zh-CN"/>
              </w:rPr>
              <w:t>专项评价。</w:t>
            </w:r>
          </w:p>
        </w:tc>
      </w:tr>
      <w:tr w14:paraId="3EF96C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Align w:val="center"/>
          </w:tcPr>
          <w:p w14:paraId="4C0FCDE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8105" w:type="dxa"/>
            <w:gridSpan w:val="4"/>
            <w:vAlign w:val="center"/>
          </w:tcPr>
          <w:p w14:paraId="738BDBB0">
            <w:pPr>
              <w:keepNext w:val="0"/>
              <w:keepLines w:val="0"/>
              <w:pageBreakBefore w:val="0"/>
              <w:widowControl w:val="0"/>
              <w:kinsoku/>
              <w:wordWrap/>
              <w:overflowPunct/>
              <w:topLinePunct w:val="0"/>
              <w:bidi w:val="0"/>
              <w:spacing w:line="360" w:lineRule="auto"/>
              <w:jc w:val="left"/>
              <w:textAlignment w:val="auto"/>
              <w:rPr>
                <w:rStyle w:val="75"/>
                <w:rFonts w:hint="default" w:ascii="Times New Roman" w:hAnsi="Times New Roman" w:eastAsia="宋体" w:cs="Times New Roman"/>
                <w:color w:val="auto"/>
                <w:sz w:val="24"/>
                <w:highlight w:val="none"/>
              </w:rPr>
            </w:pPr>
            <w:r>
              <w:rPr>
                <w:rStyle w:val="75"/>
                <w:rFonts w:hint="default" w:ascii="Times New Roman" w:hAnsi="Times New Roman" w:eastAsia="宋体" w:cs="Times New Roman"/>
                <w:b/>
                <w:bCs/>
                <w:color w:val="auto"/>
                <w:sz w:val="24"/>
                <w:highlight w:val="none"/>
                <w:lang w:val="en-US"/>
              </w:rPr>
              <w:t>1、</w:t>
            </w:r>
            <w:r>
              <w:rPr>
                <w:rStyle w:val="75"/>
                <w:rFonts w:hint="default" w:ascii="Times New Roman" w:hAnsi="Times New Roman" w:eastAsia="宋体" w:cs="Times New Roman"/>
                <w:b/>
                <w:bCs/>
                <w:color w:val="auto"/>
                <w:sz w:val="24"/>
                <w:highlight w:val="none"/>
              </w:rPr>
              <w:t>规划名称：</w:t>
            </w:r>
            <w:r>
              <w:rPr>
                <w:rFonts w:hint="default" w:ascii="Times New Roman" w:hAnsi="Times New Roman" w:eastAsia="宋体" w:cs="Times New Roman"/>
                <w:color w:val="auto"/>
                <w:sz w:val="24"/>
                <w:szCs w:val="24"/>
                <w:highlight w:val="none"/>
              </w:rPr>
              <w:t>《云南寻甸产业园区总体规划修编（2021-2035）》</w:t>
            </w:r>
            <w:r>
              <w:rPr>
                <w:rStyle w:val="75"/>
                <w:rFonts w:hint="default" w:ascii="Times New Roman" w:hAnsi="Times New Roman" w:eastAsia="宋体" w:cs="Times New Roman"/>
                <w:color w:val="auto"/>
                <w:sz w:val="24"/>
                <w:highlight w:val="none"/>
              </w:rPr>
              <w:t>；</w:t>
            </w:r>
          </w:p>
          <w:p w14:paraId="344D1CD0">
            <w:pPr>
              <w:keepNext w:val="0"/>
              <w:keepLines w:val="0"/>
              <w:pageBreakBefore w:val="0"/>
              <w:widowControl w:val="0"/>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val="0"/>
                <w:color w:val="auto"/>
                <w:sz w:val="24"/>
                <w:highlight w:val="none"/>
                <w:lang w:val="zh-CN"/>
              </w:rPr>
            </w:pPr>
            <w:r>
              <w:rPr>
                <w:rStyle w:val="75"/>
                <w:rFonts w:hint="default" w:ascii="Times New Roman" w:hAnsi="Times New Roman" w:eastAsia="宋体" w:cs="Times New Roman"/>
                <w:b/>
                <w:bCs/>
                <w:color w:val="auto"/>
                <w:sz w:val="24"/>
                <w:highlight w:val="none"/>
                <w:lang w:val="en-US"/>
              </w:rPr>
              <w:t>2、</w:t>
            </w:r>
            <w:r>
              <w:rPr>
                <w:rStyle w:val="75"/>
                <w:rFonts w:hint="default" w:ascii="Times New Roman" w:hAnsi="Times New Roman" w:eastAsia="宋体" w:cs="Times New Roman"/>
                <w:b/>
                <w:bCs/>
                <w:color w:val="auto"/>
                <w:sz w:val="24"/>
                <w:highlight w:val="none"/>
              </w:rPr>
              <w:t>审查机关：</w:t>
            </w:r>
            <w:r>
              <w:rPr>
                <w:rStyle w:val="75"/>
                <w:rFonts w:hint="default" w:ascii="Times New Roman" w:hAnsi="Times New Roman" w:eastAsia="宋体" w:cs="Times New Roman"/>
                <w:b w:val="0"/>
                <w:bCs w:val="0"/>
                <w:color w:val="auto"/>
                <w:sz w:val="24"/>
                <w:highlight w:val="none"/>
                <w:lang w:val="en-US"/>
              </w:rPr>
              <w:t>昆明市人民政府；</w:t>
            </w:r>
          </w:p>
          <w:p w14:paraId="0AE3A9BA">
            <w:pPr>
              <w:autoSpaceDE w:val="0"/>
              <w:autoSpaceDN w:val="0"/>
              <w:adjustRightInd w:val="0"/>
              <w:snapToGrid w:val="0"/>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sz w:val="24"/>
                <w:highlight w:val="none"/>
                <w:lang w:val="en-US" w:eastAsia="zh-CN"/>
              </w:rPr>
              <w:t>3、审查文件名称及文号：</w:t>
            </w:r>
            <w:r>
              <w:rPr>
                <w:rStyle w:val="75"/>
                <w:rFonts w:hint="default" w:ascii="Times New Roman" w:hAnsi="Times New Roman" w:eastAsia="宋体" w:cs="Times New Roman"/>
                <w:b w:val="0"/>
                <w:bCs w:val="0"/>
                <w:color w:val="auto"/>
                <w:sz w:val="24"/>
                <w:highlight w:val="none"/>
                <w:lang w:val="en-US"/>
              </w:rPr>
              <w:t>昆明市人民政府</w:t>
            </w:r>
            <w:r>
              <w:rPr>
                <w:rFonts w:hint="default" w:ascii="Times New Roman" w:hAnsi="Times New Roman" w:eastAsia="宋体" w:cs="Times New Roman"/>
                <w:b w:val="0"/>
                <w:bCs w:val="0"/>
                <w:color w:val="auto"/>
                <w:sz w:val="24"/>
                <w:szCs w:val="24"/>
                <w:highlight w:val="none"/>
                <w:lang w:val="en-US" w:eastAsia="zh-CN"/>
              </w:rPr>
              <w:t>关于</w:t>
            </w:r>
            <w:r>
              <w:rPr>
                <w:rFonts w:hint="default" w:ascii="Times New Roman" w:hAnsi="Times New Roman" w:eastAsia="宋体" w:cs="Times New Roman"/>
                <w:b w:val="0"/>
                <w:bCs/>
                <w:color w:val="auto"/>
                <w:sz w:val="24"/>
                <w:szCs w:val="24"/>
                <w:highlight w:val="none"/>
                <w:lang w:val="en-US" w:eastAsia="zh-CN"/>
              </w:rPr>
              <w:t>《云南寻甸产业园区总体规划修编（2021—2035年）》的批复（昆政复〔2023〕63号）</w:t>
            </w:r>
            <w:r>
              <w:rPr>
                <w:rFonts w:hint="default" w:ascii="Times New Roman" w:hAnsi="Times New Roman" w:eastAsia="宋体" w:cs="Times New Roman"/>
                <w:b w:val="0"/>
                <w:bCs w:val="0"/>
                <w:color w:val="auto"/>
                <w:sz w:val="24"/>
                <w:szCs w:val="24"/>
                <w:highlight w:val="none"/>
                <w:lang w:val="en-US" w:eastAsia="zh-CN"/>
              </w:rPr>
              <w:t>。</w:t>
            </w:r>
          </w:p>
        </w:tc>
      </w:tr>
      <w:tr w14:paraId="4D53D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24" w:type="dxa"/>
            <w:vAlign w:val="center"/>
          </w:tcPr>
          <w:p w14:paraId="7CA26EA6">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14:paraId="4DF4CDED">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8105" w:type="dxa"/>
            <w:gridSpan w:val="4"/>
            <w:vAlign w:val="center"/>
          </w:tcPr>
          <w:p w14:paraId="59C21737">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1、规划环境影响评价文件名称：</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w:t>
            </w:r>
          </w:p>
          <w:p w14:paraId="65E66030">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2、审查机关：</w:t>
            </w:r>
            <w:r>
              <w:rPr>
                <w:rStyle w:val="75"/>
                <w:rFonts w:hint="default" w:ascii="Times New Roman" w:hAnsi="Times New Roman" w:eastAsia="宋体" w:cs="Times New Roman"/>
                <w:color w:val="auto"/>
                <w:sz w:val="24"/>
                <w:highlight w:val="none"/>
              </w:rPr>
              <w:t>昆明市生态环境局</w:t>
            </w:r>
            <w:r>
              <w:rPr>
                <w:rFonts w:hint="default" w:ascii="Times New Roman" w:hAnsi="Times New Roman" w:eastAsia="宋体" w:cs="Times New Roman"/>
                <w:b w:val="0"/>
                <w:bCs w:val="0"/>
                <w:color w:val="auto"/>
                <w:sz w:val="24"/>
                <w:szCs w:val="24"/>
                <w:highlight w:val="none"/>
                <w:lang w:val="en-US" w:eastAsia="zh-CN"/>
              </w:rPr>
              <w:t>；</w:t>
            </w:r>
          </w:p>
          <w:p w14:paraId="5183C79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3、审查文件名称及文号：</w:t>
            </w:r>
            <w:r>
              <w:rPr>
                <w:rFonts w:hint="default" w:ascii="Times New Roman" w:hAnsi="Times New Roman" w:eastAsia="宋体" w:cs="Times New Roman"/>
                <w:b w:val="0"/>
                <w:bCs w:val="0"/>
                <w:color w:val="auto"/>
                <w:sz w:val="24"/>
                <w:szCs w:val="24"/>
                <w:highlight w:val="none"/>
                <w:lang w:val="en-US" w:eastAsia="zh-CN"/>
              </w:rPr>
              <w:t>昆明市生态环境局关于</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《云南寻甸产业园区总体规划修编（2021-2035）环境影响报告书》审查意见的函（昆环审[2023]5号）</w:t>
            </w:r>
            <w:r>
              <w:rPr>
                <w:rFonts w:hint="default" w:ascii="Times New Roman" w:hAnsi="Times New Roman" w:eastAsia="宋体" w:cs="Times New Roman"/>
                <w:b w:val="0"/>
                <w:bCs w:val="0"/>
                <w:color w:val="auto"/>
                <w:sz w:val="24"/>
                <w:szCs w:val="24"/>
                <w:highlight w:val="none"/>
                <w:lang w:val="en-US" w:eastAsia="zh-CN"/>
              </w:rPr>
              <w:t>。</w:t>
            </w:r>
          </w:p>
        </w:tc>
      </w:tr>
      <w:tr w14:paraId="6B7F1B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24" w:type="dxa"/>
            <w:vAlign w:val="center"/>
          </w:tcPr>
          <w:p w14:paraId="58444C7B">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8105" w:type="dxa"/>
            <w:gridSpan w:val="4"/>
            <w:vAlign w:val="center"/>
          </w:tcPr>
          <w:p w14:paraId="7B30059E">
            <w:pPr>
              <w:pStyle w:val="16"/>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1、与</w:t>
            </w:r>
            <w:r>
              <w:rPr>
                <w:rFonts w:hint="default" w:ascii="Times New Roman" w:hAnsi="Times New Roman" w:eastAsia="宋体" w:cs="Times New Roman"/>
                <w:b/>
                <w:bCs w:val="0"/>
                <w:color w:val="auto"/>
                <w:sz w:val="24"/>
                <w:szCs w:val="24"/>
                <w:highlight w:val="none"/>
                <w:lang w:val="zh-CN" w:eastAsia="zh-CN"/>
              </w:rPr>
              <w:t>《云南寻甸产业园区总体规划修编（2021-2035）》</w:t>
            </w:r>
            <w:r>
              <w:rPr>
                <w:rFonts w:hint="default" w:ascii="Times New Roman" w:hAnsi="Times New Roman" w:eastAsia="宋体" w:cs="Times New Roman"/>
                <w:b/>
                <w:bCs w:val="0"/>
                <w:color w:val="auto"/>
                <w:sz w:val="24"/>
                <w:szCs w:val="24"/>
                <w:highlight w:val="none"/>
                <w:lang w:val="en-US" w:eastAsia="zh-CN"/>
              </w:rPr>
              <w:t>的符合性分析</w:t>
            </w:r>
          </w:p>
          <w:p w14:paraId="2CAF06B5">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规划简介</w:t>
            </w:r>
          </w:p>
          <w:p w14:paraId="391D1BCD">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eastAsia="zh-CN"/>
              </w:rPr>
              <w:t>根据《规划》，修编后云南寻甸产业园区远期规划范围至2035年占地面积为1214.59公顷。总体布局规划为“一园三片”一园即云南寻甸产业园区；三片即羊街片区、金所片区(含金所组团、天生桥组团)、倘甸片区。金所片区(金所组团)占地522.60公顷，定位以先进装备制造产业区、非烟轻工产业区、绿色建材产业区、绿色化工产业区、公共服务配套区、中转物流区为主；金所片区(天生桥组团)占地158.92公顷，定位以绿色化工产业区、先进装备制造产业区为主；羊街片区占地263.39公顷，定位以先进装备制造产业区、非烟轻工产业区、商贸物流及冷链加工区为主；倘甸片区占地 269.69 公顷，定位以生物医疗产业区、先进装备制造产业区、非烟轻工产业区、公共服务配套区为主。</w:t>
            </w:r>
          </w:p>
          <w:p w14:paraId="0A498803">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eastAsia="zh-CN"/>
              </w:rPr>
              <w:t>本次《规划》与上版规划比较，调整了相关产业结构，新增了金所片区 (天生桥组团)和倘甸片区，但是总规划面积减小6.08km</w:t>
            </w:r>
            <w:r>
              <w:rPr>
                <w:rFonts w:hint="default" w:ascii="Times New Roman" w:hAnsi="Times New Roman" w:eastAsia="宋体" w:cs="Times New Roman"/>
                <w:b w:val="0"/>
                <w:bCs w:val="0"/>
                <w:color w:val="auto"/>
                <w:sz w:val="24"/>
                <w:szCs w:val="24"/>
                <w:highlight w:val="none"/>
                <w:vertAlign w:val="superscript"/>
                <w:lang w:val="zh-CN" w:eastAsia="zh-CN"/>
              </w:rPr>
              <w:t>2</w:t>
            </w:r>
            <w:r>
              <w:rPr>
                <w:rFonts w:hint="default" w:ascii="Times New Roman" w:hAnsi="Times New Roman" w:eastAsia="宋体" w:cs="Times New Roman"/>
                <w:b w:val="0"/>
                <w:bCs w:val="0"/>
                <w:color w:val="auto"/>
                <w:sz w:val="24"/>
                <w:szCs w:val="24"/>
                <w:highlight w:val="none"/>
                <w:lang w:val="zh-CN" w:eastAsia="zh-CN"/>
              </w:rPr>
              <w:t>，其中金所片区较原规划面积缩小2.77km，羊街片区较原规划面积缩小6.01km</w:t>
            </w:r>
            <w:r>
              <w:rPr>
                <w:rFonts w:hint="default" w:ascii="Times New Roman" w:hAnsi="Times New Roman" w:eastAsia="宋体" w:cs="Times New Roman"/>
                <w:b w:val="0"/>
                <w:bCs w:val="0"/>
                <w:color w:val="auto"/>
                <w:sz w:val="24"/>
                <w:szCs w:val="24"/>
                <w:highlight w:val="none"/>
                <w:vertAlign w:val="superscript"/>
                <w:lang w:val="zh-CN" w:eastAsia="zh-CN"/>
              </w:rPr>
              <w:t>2</w:t>
            </w:r>
            <w:r>
              <w:rPr>
                <w:rFonts w:hint="default" w:ascii="Times New Roman" w:hAnsi="Times New Roman" w:eastAsia="宋体" w:cs="Times New Roman"/>
                <w:b w:val="0"/>
                <w:bCs w:val="0"/>
                <w:color w:val="auto"/>
                <w:sz w:val="24"/>
                <w:szCs w:val="24"/>
                <w:highlight w:val="none"/>
                <w:lang w:val="zh-CN" w:eastAsia="zh-CN"/>
              </w:rPr>
              <w:t>。由寻甸特色产业园区管理委员会委托</w:t>
            </w:r>
            <w:r>
              <w:rPr>
                <w:rFonts w:hint="default" w:ascii="Times New Roman" w:hAnsi="Times New Roman" w:eastAsia="宋体" w:cs="Times New Roman"/>
                <w:b w:val="0"/>
                <w:bCs w:val="0"/>
                <w:color w:val="auto"/>
                <w:sz w:val="24"/>
                <w:szCs w:val="24"/>
                <w:highlight w:val="none"/>
                <w:lang w:val="en-US" w:eastAsia="zh-CN"/>
              </w:rPr>
              <w:t>云南保兴环境科技咨询有限公司</w:t>
            </w:r>
            <w:r>
              <w:rPr>
                <w:rFonts w:hint="default" w:ascii="Times New Roman" w:hAnsi="Times New Roman" w:eastAsia="宋体" w:cs="Times New Roman"/>
                <w:b w:val="0"/>
                <w:bCs w:val="0"/>
                <w:color w:val="auto"/>
                <w:sz w:val="24"/>
                <w:szCs w:val="24"/>
                <w:highlight w:val="none"/>
                <w:lang w:val="zh-CN" w:eastAsia="zh-CN"/>
              </w:rPr>
              <w:t>在《云南寻甸产业园区总体规划修编（2021-2035）》的基础上编制了《云南寻甸产业园区总体规划修编（2021-2035）</w:t>
            </w:r>
            <w:r>
              <w:rPr>
                <w:rFonts w:hint="default" w:ascii="Times New Roman" w:hAnsi="Times New Roman" w:eastAsia="宋体" w:cs="Times New Roman"/>
                <w:b w:val="0"/>
                <w:bCs w:val="0"/>
                <w:color w:val="auto"/>
                <w:sz w:val="24"/>
                <w:szCs w:val="24"/>
                <w:highlight w:val="none"/>
                <w:lang w:val="en-US" w:eastAsia="zh-CN"/>
              </w:rPr>
              <w:t>环境影响报告书</w:t>
            </w:r>
            <w:r>
              <w:rPr>
                <w:rFonts w:hint="default" w:ascii="Times New Roman" w:hAnsi="Times New Roman" w:eastAsia="宋体" w:cs="Times New Roman"/>
                <w:b w:val="0"/>
                <w:bCs w:val="0"/>
                <w:color w:val="auto"/>
                <w:sz w:val="24"/>
                <w:szCs w:val="24"/>
                <w:highlight w:val="none"/>
                <w:lang w:val="zh-CN" w:eastAsia="zh-CN"/>
              </w:rPr>
              <w:t>》。</w:t>
            </w:r>
          </w:p>
          <w:p w14:paraId="27FE43EF">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规划相关内容</w:t>
            </w:r>
          </w:p>
          <w:p w14:paraId="38AEABF5">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1）</w:t>
            </w:r>
            <w:r>
              <w:rPr>
                <w:rFonts w:hint="default" w:ascii="Times New Roman" w:hAnsi="Times New Roman" w:eastAsia="宋体" w:cs="Times New Roman"/>
                <w:b w:val="0"/>
                <w:bCs w:val="0"/>
                <w:color w:val="auto"/>
                <w:sz w:val="24"/>
                <w:szCs w:val="24"/>
                <w:highlight w:val="none"/>
                <w:lang w:val="en-US" w:eastAsia="zh-CN"/>
              </w:rPr>
              <w:t>园区总体布局规划</w:t>
            </w:r>
          </w:p>
          <w:p w14:paraId="49FB3382">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根据云南寻甸产业园现状工业的分布情况，统筹规划，形成“一园三片多组团”的总体格局。</w:t>
            </w:r>
          </w:p>
          <w:p w14:paraId="3A1FBED4">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一园：云南寻甸产业园区；</w:t>
            </w:r>
          </w:p>
          <w:p w14:paraId="55A94DAE">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三片：羊街片区、金所（天生桥）片区（其中天生桥拟设置为化工园</w:t>
            </w:r>
          </w:p>
          <w:p w14:paraId="68512B5F">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区）、倘甸片区；</w:t>
            </w:r>
          </w:p>
          <w:p w14:paraId="2E6F4BBD">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highlight w:val="none"/>
              </w:rPr>
              <w:t>多组团：依托昆明国际林业产业园、农特产品加工园区、先锋能源基地等园中园，促进产业集聚发展，形成</w:t>
            </w:r>
            <w:r>
              <w:rPr>
                <w:rFonts w:hint="eastAsia" w:cs="Times New Roman"/>
                <w:color w:val="auto"/>
                <w:sz w:val="24"/>
                <w:szCs w:val="24"/>
                <w:highlight w:val="none"/>
                <w:lang w:eastAsia="zh-CN"/>
              </w:rPr>
              <w:t>一二三产业融合</w:t>
            </w:r>
            <w:r>
              <w:rPr>
                <w:rFonts w:hint="default" w:ascii="Times New Roman" w:hAnsi="Times New Roman" w:eastAsia="宋体" w:cs="Times New Roman"/>
                <w:color w:val="auto"/>
                <w:sz w:val="24"/>
                <w:szCs w:val="24"/>
                <w:highlight w:val="none"/>
              </w:rPr>
              <w:t>发展的产业体系。</w:t>
            </w:r>
          </w:p>
          <w:p w14:paraId="6E55A12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2）规划时序</w:t>
            </w:r>
          </w:p>
          <w:p w14:paraId="040573C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本次规划的期限为2021～2035年。其中：近期为2021年~2025年，远期为2026年~2035年。</w:t>
            </w:r>
          </w:p>
          <w:p w14:paraId="5BA7DE9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rPr>
              <w:t>）规划范围</w:t>
            </w:r>
          </w:p>
          <w:p w14:paraId="610244C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①</w:t>
            </w:r>
            <w:r>
              <w:rPr>
                <w:rFonts w:hint="default" w:ascii="Times New Roman" w:hAnsi="Times New Roman" w:eastAsia="宋体" w:cs="Times New Roman"/>
                <w:b w:val="0"/>
                <w:bCs w:val="0"/>
                <w:color w:val="auto"/>
                <w:sz w:val="24"/>
                <w:szCs w:val="24"/>
                <w:highlight w:val="none"/>
              </w:rPr>
              <w:t>近期开发范围（2025年）</w:t>
            </w:r>
          </w:p>
          <w:p w14:paraId="0CD40AB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至2025年，近期开发范围根据园区实际发展需求，控制为1096.71公顷，包括三个工业发展片区，其中金所片区681.52公顷；羊街片区231.58公顷；倘甸片区183.62公顷。</w:t>
            </w:r>
          </w:p>
          <w:p w14:paraId="26F2B2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②</w:t>
            </w:r>
            <w:r>
              <w:rPr>
                <w:rFonts w:hint="default" w:ascii="Times New Roman" w:hAnsi="Times New Roman" w:eastAsia="宋体" w:cs="Times New Roman"/>
                <w:b w:val="0"/>
                <w:bCs w:val="0"/>
                <w:color w:val="auto"/>
                <w:sz w:val="24"/>
                <w:szCs w:val="24"/>
                <w:highlight w:val="none"/>
              </w:rPr>
              <w:t>园区远期规划范围（2035年）</w:t>
            </w:r>
          </w:p>
          <w:p w14:paraId="1244A7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至2035年，远期规划面积根据园区实际发展需求，控制为1214.59公顷，包括三个工业发展片区，其中金所片区681.52公顷；羊街片区263.39公顷；倘甸片区269.69 公顷。</w:t>
            </w:r>
          </w:p>
          <w:p w14:paraId="6D8D356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4）园区定位</w:t>
            </w:r>
          </w:p>
          <w:p w14:paraId="5BE5968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①总体定位</w:t>
            </w:r>
          </w:p>
          <w:p w14:paraId="5EB8D33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立足寻甸特色产业园区现状基础，把握新一轮科技革命和产业变革趋势，按照“增量优质、存量优化”的要求，发展壮大“一主两辅”三大支柱产业，即非烟轻工制造为主导，以绿色化工（是指在化工产品生产过程中，从工艺源头上就运用环保的理念，推行源削减、进行生产过程的优化集成，废物再利用与资源化，从而降低成本与消耗，减少废弃物的排放和毒性，减少产品全生命周期对环境的不良影响）、先进装备制造为辅导产业，巩固提升2大传统产业，即生物医疗、绿色建材传统产业，积极培育生产性服务业和生活性服务业，着力构建形成“3+2+2”的现代产业体系架构。</w:t>
            </w:r>
          </w:p>
          <w:p w14:paraId="30A8AF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“3”支柱产业包括：非烟轻工（一主）、绿色化工及先进装备制造（两辅）</w:t>
            </w:r>
            <w:r>
              <w:rPr>
                <w:rFonts w:hint="default" w:ascii="Times New Roman" w:hAnsi="Times New Roman" w:eastAsia="宋体" w:cs="Times New Roman"/>
                <w:color w:val="auto"/>
                <w:sz w:val="24"/>
                <w:szCs w:val="24"/>
                <w:highlight w:val="none"/>
                <w:lang w:eastAsia="zh-CN"/>
              </w:rPr>
              <w:t>；</w:t>
            </w:r>
          </w:p>
          <w:p w14:paraId="694C61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“2”传统产业包括：生物医药、绿色建材；</w:t>
            </w:r>
          </w:p>
          <w:p w14:paraId="71279DC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“2”服务业：生产性服务、生活性服务。</w:t>
            </w:r>
          </w:p>
          <w:p w14:paraId="73D7DCE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②分园定位</w:t>
            </w:r>
          </w:p>
          <w:p w14:paraId="6759CB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金所片区金所组团（</w:t>
            </w:r>
            <w:r>
              <w:rPr>
                <w:rFonts w:hint="default" w:ascii="Times New Roman" w:hAnsi="Times New Roman" w:eastAsia="宋体" w:cs="Times New Roman"/>
                <w:b/>
                <w:color w:val="auto"/>
                <w:sz w:val="24"/>
                <w:szCs w:val="24"/>
                <w:highlight w:val="none"/>
              </w:rPr>
              <w:t>6</w:t>
            </w:r>
            <w:r>
              <w:rPr>
                <w:rFonts w:hint="default" w:ascii="Times New Roman" w:hAnsi="Times New Roman" w:eastAsia="宋体" w:cs="Times New Roman"/>
                <w:color w:val="auto"/>
                <w:sz w:val="24"/>
                <w:szCs w:val="24"/>
                <w:highlight w:val="none"/>
              </w:rPr>
              <w:t>分区）：先进装备制造产业区、非烟轻工产业区、绿色建材产业区、绿色化工产业区、公共服务配套区、中转物流区；</w:t>
            </w:r>
          </w:p>
          <w:p w14:paraId="505122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金所片区天生桥组团（本次拟设置为化工园区）（</w:t>
            </w: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color w:val="auto"/>
                <w:sz w:val="24"/>
                <w:szCs w:val="24"/>
                <w:highlight w:val="none"/>
              </w:rPr>
              <w:t>分区）：绿色化工产业区、先进装备制造产业区；</w:t>
            </w:r>
          </w:p>
          <w:p w14:paraId="56E3D4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羊街片区（</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color w:val="auto"/>
                <w:sz w:val="24"/>
                <w:szCs w:val="24"/>
                <w:highlight w:val="none"/>
              </w:rPr>
              <w:t>分区）：先进装备制造产业区、非烟轻工产业区、商贸物流及冷链加工区；</w:t>
            </w:r>
          </w:p>
          <w:p w14:paraId="700E803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highlight w:val="none"/>
              </w:rPr>
              <w:t>倘甸片区（</w:t>
            </w:r>
            <w:r>
              <w:rPr>
                <w:rFonts w:hint="default" w:ascii="Times New Roman" w:hAnsi="Times New Roman" w:eastAsia="宋体" w:cs="Times New Roman"/>
                <w:b/>
                <w:color w:val="auto"/>
                <w:sz w:val="24"/>
                <w:szCs w:val="24"/>
                <w:highlight w:val="none"/>
              </w:rPr>
              <w:t>4</w:t>
            </w:r>
            <w:r>
              <w:rPr>
                <w:rFonts w:hint="default" w:ascii="Times New Roman" w:hAnsi="Times New Roman" w:eastAsia="宋体" w:cs="Times New Roman"/>
                <w:color w:val="auto"/>
                <w:sz w:val="24"/>
                <w:szCs w:val="24"/>
                <w:highlight w:val="none"/>
              </w:rPr>
              <w:t>分区）：生物医疗产业区、先进装备制造产业区、非烟轻工产业区、公共服务配套区。</w:t>
            </w:r>
          </w:p>
          <w:p w14:paraId="48705ACC">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）相符性分析</w:t>
            </w:r>
          </w:p>
          <w:p w14:paraId="127C41C7">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本项目为</w:t>
            </w:r>
            <w:r>
              <w:rPr>
                <w:rFonts w:hint="eastAsia" w:cs="Times New Roman"/>
                <w:color w:val="auto"/>
                <w:sz w:val="24"/>
                <w:szCs w:val="24"/>
                <w:highlight w:val="none"/>
                <w:lang w:val="en-US" w:eastAsia="zh-CN"/>
              </w:rPr>
              <w:t>其他煤炭加工</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zh-CN"/>
              </w:rPr>
              <w:t>，</w:t>
            </w:r>
            <w:r>
              <w:rPr>
                <w:rFonts w:hint="eastAsia" w:cs="Times New Roman"/>
                <w:color w:val="auto"/>
                <w:sz w:val="24"/>
                <w:szCs w:val="24"/>
                <w:highlight w:val="none"/>
                <w:lang w:val="zh-CN"/>
              </w:rPr>
              <w:t>根据</w:t>
            </w:r>
            <w:r>
              <w:rPr>
                <w:rFonts w:hint="default" w:ascii="Times New Roman" w:hAnsi="Times New Roman" w:eastAsia="宋体" w:cs="Times New Roman"/>
                <w:color w:val="auto"/>
                <w:sz w:val="24"/>
                <w:szCs w:val="24"/>
                <w:highlight w:val="none"/>
                <w:lang w:val="zh-CN" w:eastAsia="zh-CN"/>
              </w:rPr>
              <w:t>《云南寻甸产业园区总体规划修编（2021-2035）》</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zh-CN"/>
              </w:rPr>
              <w:t>的</w:t>
            </w:r>
            <w:r>
              <w:rPr>
                <w:rFonts w:hint="default" w:ascii="Times New Roman" w:hAnsi="Times New Roman" w:eastAsia="宋体" w:cs="Times New Roman"/>
                <w:color w:val="auto"/>
                <w:sz w:val="24"/>
                <w:szCs w:val="24"/>
                <w:highlight w:val="none"/>
                <w:lang w:val="en-US" w:eastAsia="zh-CN"/>
              </w:rPr>
              <w:t>金所</w:t>
            </w:r>
            <w:r>
              <w:rPr>
                <w:rFonts w:hint="default" w:ascii="Times New Roman" w:hAnsi="Times New Roman" w:eastAsia="宋体" w:cs="Times New Roman"/>
                <w:color w:val="auto"/>
                <w:sz w:val="24"/>
                <w:szCs w:val="24"/>
                <w:highlight w:val="none"/>
                <w:lang w:val="zh-CN"/>
              </w:rPr>
              <w:t>片区</w:t>
            </w:r>
            <w:r>
              <w:rPr>
                <w:rFonts w:hint="eastAsia" w:cs="Times New Roman"/>
                <w:color w:val="auto"/>
                <w:sz w:val="24"/>
                <w:szCs w:val="24"/>
                <w:highlight w:val="none"/>
                <w:lang w:val="zh-CN"/>
              </w:rPr>
              <w:t>土地利用</w:t>
            </w:r>
            <w:r>
              <w:rPr>
                <w:rFonts w:hint="default" w:ascii="Times New Roman" w:hAnsi="Times New Roman" w:eastAsia="宋体" w:cs="Times New Roman"/>
                <w:color w:val="auto"/>
                <w:sz w:val="24"/>
                <w:szCs w:val="24"/>
                <w:highlight w:val="none"/>
                <w:lang w:val="zh-CN"/>
              </w:rPr>
              <w:t>规划叠图分析，项目用地规划为工业用地。</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lang w:val="en-US" w:eastAsia="zh-CN"/>
              </w:rPr>
              <w:t>日已取得寻甸特色产业园区管理委员会出具的云南</w:t>
            </w:r>
            <w:r>
              <w:rPr>
                <w:rFonts w:hint="eastAsia" w:cs="Times New Roman"/>
                <w:color w:val="auto"/>
                <w:sz w:val="24"/>
                <w:szCs w:val="24"/>
                <w:highlight w:val="none"/>
                <w:lang w:val="en-US" w:eastAsia="zh-CN"/>
              </w:rPr>
              <w:t>中发能源</w:t>
            </w:r>
            <w:r>
              <w:rPr>
                <w:rFonts w:hint="default" w:ascii="Times New Roman" w:hAnsi="Times New Roman" w:eastAsia="宋体" w:cs="Times New Roman"/>
                <w:color w:val="auto"/>
                <w:sz w:val="24"/>
                <w:szCs w:val="24"/>
                <w:highlight w:val="none"/>
                <w:lang w:val="en-US" w:eastAsia="zh-CN"/>
              </w:rPr>
              <w:t>有限公司</w:t>
            </w:r>
            <w:r>
              <w:rPr>
                <w:rFonts w:hint="eastAsia" w:cs="Times New Roman"/>
                <w:color w:val="auto"/>
                <w:sz w:val="24"/>
                <w:szCs w:val="24"/>
                <w:highlight w:val="none"/>
                <w:lang w:val="en-US" w:eastAsia="zh-CN"/>
              </w:rPr>
              <w:t>年处理300万吨褐煤提质项目</w:t>
            </w:r>
            <w:r>
              <w:rPr>
                <w:rFonts w:hint="default" w:ascii="Times New Roman" w:hAnsi="Times New Roman" w:eastAsia="宋体" w:cs="Times New Roman"/>
                <w:color w:val="auto"/>
                <w:sz w:val="24"/>
                <w:szCs w:val="24"/>
                <w:highlight w:val="none"/>
                <w:lang w:val="en-US" w:eastAsia="zh-CN"/>
              </w:rPr>
              <w:t>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同意书中明确“项目符合本园区产业发展要求，同意云南</w:t>
            </w:r>
            <w:r>
              <w:rPr>
                <w:rFonts w:hint="eastAsia" w:cs="Times New Roman"/>
                <w:color w:val="auto"/>
                <w:sz w:val="24"/>
                <w:szCs w:val="24"/>
                <w:highlight w:val="none"/>
                <w:lang w:val="en-US" w:eastAsia="zh-CN"/>
              </w:rPr>
              <w:t>中发能源</w:t>
            </w:r>
            <w:r>
              <w:rPr>
                <w:rFonts w:hint="default" w:ascii="Times New Roman" w:hAnsi="Times New Roman" w:eastAsia="宋体" w:cs="Times New Roman"/>
                <w:color w:val="auto"/>
                <w:sz w:val="24"/>
                <w:szCs w:val="24"/>
                <w:highlight w:val="none"/>
                <w:lang w:val="en-US" w:eastAsia="zh-CN"/>
              </w:rPr>
              <w:t>有限公司</w:t>
            </w:r>
            <w:r>
              <w:rPr>
                <w:rFonts w:hint="eastAsia" w:cs="Times New Roman"/>
                <w:color w:val="auto"/>
                <w:sz w:val="24"/>
                <w:szCs w:val="24"/>
                <w:highlight w:val="none"/>
                <w:lang w:val="en-US" w:eastAsia="zh-CN"/>
              </w:rPr>
              <w:t>年处理300万吨褐煤提质项目</w:t>
            </w:r>
            <w:r>
              <w:rPr>
                <w:rFonts w:hint="default" w:ascii="Times New Roman" w:hAnsi="Times New Roman" w:eastAsia="宋体" w:cs="Times New Roman"/>
                <w:color w:val="auto"/>
                <w:sz w:val="24"/>
                <w:szCs w:val="24"/>
                <w:highlight w:val="none"/>
                <w:lang w:val="en-US" w:eastAsia="zh-CN"/>
              </w:rPr>
              <w:t>入驻寻甸特色产业园区金所片区”。</w:t>
            </w:r>
          </w:p>
          <w:p w14:paraId="099DF831">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bookmarkStart w:id="6" w:name="_Toc31449"/>
            <w:r>
              <w:rPr>
                <w:rFonts w:hint="default" w:ascii="Times New Roman" w:hAnsi="Times New Roman" w:eastAsia="宋体" w:cs="Times New Roman"/>
                <w:color w:val="auto"/>
                <w:sz w:val="24"/>
                <w:szCs w:val="24"/>
                <w:highlight w:val="none"/>
                <w:lang w:val="en-US" w:eastAsia="zh-CN"/>
              </w:rPr>
              <w:t>综上分析，本项目位于</w:t>
            </w:r>
            <w:r>
              <w:rPr>
                <w:rFonts w:hint="default" w:ascii="Times New Roman" w:hAnsi="Times New Roman" w:eastAsia="宋体" w:cs="Times New Roman"/>
                <w:color w:val="auto"/>
                <w:sz w:val="24"/>
                <w:szCs w:val="24"/>
                <w:highlight w:val="none"/>
                <w:u w:val="none"/>
                <w:lang w:val="en-US" w:eastAsia="zh-CN"/>
              </w:rPr>
              <w:t>云南寻甸产业园区金所片区金所组团内，</w:t>
            </w:r>
            <w:r>
              <w:rPr>
                <w:rFonts w:hint="default" w:ascii="Times New Roman" w:hAnsi="Times New Roman" w:eastAsia="宋体" w:cs="Times New Roman"/>
                <w:color w:val="auto"/>
                <w:sz w:val="24"/>
                <w:szCs w:val="24"/>
                <w:highlight w:val="none"/>
                <w:lang w:val="zh-CN"/>
              </w:rPr>
              <w:t>项目建设</w:t>
            </w:r>
            <w:r>
              <w:rPr>
                <w:rFonts w:hint="default" w:ascii="Times New Roman" w:hAnsi="Times New Roman" w:eastAsia="宋体" w:cs="Times New Roman"/>
                <w:color w:val="auto"/>
                <w:sz w:val="24"/>
                <w:szCs w:val="24"/>
                <w:highlight w:val="none"/>
                <w:lang w:val="en-US" w:eastAsia="zh-CN"/>
              </w:rPr>
              <w:t>与</w:t>
            </w:r>
            <w:r>
              <w:rPr>
                <w:rFonts w:hint="default" w:ascii="Times New Roman" w:hAnsi="Times New Roman" w:eastAsia="宋体" w:cs="Times New Roman"/>
                <w:b w:val="0"/>
                <w:bCs w:val="0"/>
                <w:color w:val="auto"/>
                <w:sz w:val="24"/>
                <w:szCs w:val="24"/>
                <w:highlight w:val="none"/>
                <w:lang w:val="zh-CN" w:eastAsia="zh-CN"/>
              </w:rPr>
              <w:t>《云南寻甸产业园区总体规划修编（2021-2035）》</w:t>
            </w:r>
            <w:r>
              <w:rPr>
                <w:rFonts w:hint="default" w:ascii="Times New Roman" w:hAnsi="Times New Roman" w:eastAsia="宋体" w:cs="Times New Roman"/>
                <w:b w:val="0"/>
                <w:bCs w:val="0"/>
                <w:color w:val="auto"/>
                <w:sz w:val="24"/>
                <w:szCs w:val="24"/>
                <w:highlight w:val="none"/>
                <w:lang w:val="en-US" w:eastAsia="zh-CN"/>
              </w:rPr>
              <w:t>不冲突</w:t>
            </w:r>
            <w:r>
              <w:rPr>
                <w:rFonts w:hint="default" w:ascii="Times New Roman" w:hAnsi="Times New Roman" w:eastAsia="宋体" w:cs="Times New Roman"/>
                <w:color w:val="auto"/>
                <w:sz w:val="24"/>
                <w:szCs w:val="24"/>
                <w:highlight w:val="none"/>
                <w:lang w:val="zh-CN"/>
              </w:rPr>
              <w:t>。</w:t>
            </w:r>
          </w:p>
          <w:p w14:paraId="6E4A31F2">
            <w:pPr>
              <w:pStyle w:val="16"/>
              <w:keepNext w:val="0"/>
              <w:keepLines w:val="0"/>
              <w:pageBreakBefore w:val="0"/>
              <w:widowControl w:val="0"/>
              <w:numPr>
                <w:ilvl w:val="0"/>
                <w:numId w:val="2"/>
              </w:numPr>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zh-CN" w:bidi="ar"/>
              </w:rPr>
              <w:t>与《云南寻甸产业园区总体规划修编（2021-2035）环境影响报告书》</w:t>
            </w:r>
            <w:r>
              <w:rPr>
                <w:rFonts w:hint="default" w:ascii="Times New Roman" w:hAnsi="Times New Roman" w:eastAsia="宋体" w:cs="Times New Roman"/>
                <w:b/>
                <w:bCs w:val="0"/>
                <w:color w:val="auto"/>
                <w:sz w:val="24"/>
                <w:szCs w:val="24"/>
                <w:highlight w:val="none"/>
                <w:lang w:val="en-US" w:eastAsia="zh-CN" w:bidi="ar"/>
              </w:rPr>
              <w:t>及</w:t>
            </w:r>
            <w:r>
              <w:rPr>
                <w:rFonts w:hint="default" w:ascii="Times New Roman" w:hAnsi="Times New Roman" w:eastAsia="宋体" w:cs="Times New Roman"/>
                <w:b/>
                <w:bCs w:val="0"/>
                <w:color w:val="auto"/>
                <w:sz w:val="24"/>
                <w:szCs w:val="24"/>
                <w:highlight w:val="none"/>
                <w:lang w:val="zh-CN" w:bidi="ar"/>
              </w:rPr>
              <w:t>审查意见（昆环审[2023]5号）</w:t>
            </w:r>
            <w:r>
              <w:rPr>
                <w:rFonts w:hint="default" w:ascii="Times New Roman" w:hAnsi="Times New Roman" w:eastAsia="宋体" w:cs="Times New Roman"/>
                <w:b/>
                <w:bCs w:val="0"/>
                <w:color w:val="auto"/>
                <w:sz w:val="24"/>
                <w:szCs w:val="24"/>
                <w:highlight w:val="none"/>
                <w:lang w:val="en-US" w:eastAsia="zh-CN" w:bidi="ar"/>
              </w:rPr>
              <w:t>的</w:t>
            </w:r>
            <w:r>
              <w:rPr>
                <w:rFonts w:hint="default" w:ascii="Times New Roman" w:hAnsi="Times New Roman" w:eastAsia="宋体" w:cs="Times New Roman"/>
                <w:b/>
                <w:bCs w:val="0"/>
                <w:color w:val="auto"/>
                <w:sz w:val="24"/>
                <w:szCs w:val="24"/>
                <w:highlight w:val="none"/>
                <w:lang w:val="zh-CN" w:bidi="ar"/>
              </w:rPr>
              <w:t>符合性分析</w:t>
            </w:r>
            <w:bookmarkEnd w:id="6"/>
          </w:p>
          <w:p w14:paraId="5483EB95">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）主要环境影响减缓措施</w:t>
            </w:r>
            <w:r>
              <w:rPr>
                <w:rFonts w:hint="default" w:ascii="Times New Roman" w:hAnsi="Times New Roman" w:eastAsia="宋体" w:cs="Times New Roman"/>
                <w:b/>
                <w:bCs/>
                <w:color w:val="auto"/>
                <w:sz w:val="24"/>
                <w:szCs w:val="24"/>
                <w:highlight w:val="none"/>
                <w:lang w:val="en-US" w:eastAsia="zh-CN"/>
              </w:rPr>
              <w:t>符合性分析</w:t>
            </w:r>
          </w:p>
          <w:p w14:paraId="438DBF91">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根据《云南寻甸产业园区总体规划修编（2021-2035）环境影响报告书》及其环评审查意见，</w:t>
            </w:r>
            <w:r>
              <w:rPr>
                <w:rFonts w:hint="default" w:ascii="Times New Roman" w:hAnsi="Times New Roman" w:eastAsia="宋体" w:cs="Times New Roman"/>
                <w:color w:val="auto"/>
                <w:sz w:val="24"/>
                <w:szCs w:val="24"/>
                <w:highlight w:val="none"/>
                <w:lang w:val="en-US" w:eastAsia="zh-CN"/>
              </w:rPr>
              <w:t>本项目与</w:t>
            </w:r>
            <w:r>
              <w:rPr>
                <w:rFonts w:hint="default" w:ascii="Times New Roman" w:hAnsi="Times New Roman" w:eastAsia="宋体" w:cs="Times New Roman"/>
                <w:color w:val="auto"/>
                <w:sz w:val="24"/>
                <w:szCs w:val="24"/>
                <w:highlight w:val="none"/>
                <w:lang w:val="zh-CN"/>
              </w:rPr>
              <w:t>园区的主要环境影响减缓措施</w:t>
            </w:r>
            <w:r>
              <w:rPr>
                <w:rFonts w:hint="default" w:ascii="Times New Roman" w:hAnsi="Times New Roman" w:eastAsia="宋体" w:cs="Times New Roman"/>
                <w:color w:val="auto"/>
                <w:sz w:val="24"/>
                <w:szCs w:val="24"/>
                <w:highlight w:val="none"/>
                <w:lang w:val="en-US" w:eastAsia="zh-CN"/>
              </w:rPr>
              <w:t>符合性分析</w:t>
            </w:r>
            <w:r>
              <w:rPr>
                <w:rFonts w:hint="default" w:ascii="Times New Roman" w:hAnsi="Times New Roman" w:eastAsia="宋体" w:cs="Times New Roman"/>
                <w:color w:val="auto"/>
                <w:sz w:val="24"/>
                <w:szCs w:val="24"/>
                <w:highlight w:val="none"/>
                <w:lang w:val="zh-CN"/>
              </w:rPr>
              <w:t>如下</w:t>
            </w:r>
            <w:r>
              <w:rPr>
                <w:rFonts w:hint="default" w:ascii="Times New Roman" w:hAnsi="Times New Roman" w:eastAsia="宋体" w:cs="Times New Roman"/>
                <w:color w:val="auto"/>
                <w:sz w:val="24"/>
                <w:szCs w:val="24"/>
                <w:highlight w:val="none"/>
                <w:lang w:val="en-US" w:eastAsia="zh-CN"/>
              </w:rPr>
              <w:t>表所示。</w:t>
            </w:r>
          </w:p>
          <w:p w14:paraId="6AFE3D9F">
            <w:pPr>
              <w:shd w:val="clear"/>
              <w:adjustRightInd w:val="0"/>
              <w:snapToGrid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表1-</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 xml:space="preserve"> 项目与规划环评</w:t>
            </w:r>
            <w:r>
              <w:rPr>
                <w:rFonts w:hint="default" w:ascii="Times New Roman" w:hAnsi="Times New Roman" w:eastAsia="宋体" w:cs="Times New Roman"/>
                <w:b/>
                <w:bCs/>
                <w:color w:val="auto"/>
                <w:highlight w:val="none"/>
                <w:lang w:val="en-US" w:eastAsia="zh-CN"/>
              </w:rPr>
              <w:t>中环境影响减缓措施</w:t>
            </w:r>
            <w:r>
              <w:rPr>
                <w:rFonts w:hint="default" w:ascii="Times New Roman" w:hAnsi="Times New Roman" w:eastAsia="宋体" w:cs="Times New Roman"/>
                <w:b/>
                <w:bCs/>
                <w:color w:val="auto"/>
                <w:highlight w:val="none"/>
              </w:rPr>
              <w:t>相符性对比分析表</w:t>
            </w:r>
          </w:p>
          <w:tbl>
            <w:tblPr>
              <w:tblStyle w:val="27"/>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4277"/>
              <w:gridCol w:w="2287"/>
              <w:gridCol w:w="664"/>
            </w:tblGrid>
            <w:tr w14:paraId="4A53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670" w:type="dxa"/>
                  <w:noWrap w:val="0"/>
                  <w:vAlign w:val="center"/>
                </w:tcPr>
                <w:p w14:paraId="5BB0F7F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4277" w:type="dxa"/>
                  <w:noWrap w:val="0"/>
                  <w:vAlign w:val="center"/>
                </w:tcPr>
                <w:p w14:paraId="5991864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内容要求</w:t>
                  </w:r>
                </w:p>
              </w:tc>
              <w:tc>
                <w:tcPr>
                  <w:tcW w:w="2287" w:type="dxa"/>
                  <w:noWrap w:val="0"/>
                  <w:vAlign w:val="center"/>
                </w:tcPr>
                <w:p w14:paraId="3C9A8A7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项目建设内容</w:t>
                  </w:r>
                </w:p>
              </w:tc>
              <w:tc>
                <w:tcPr>
                  <w:tcW w:w="664" w:type="dxa"/>
                  <w:noWrap w:val="0"/>
                  <w:vAlign w:val="center"/>
                </w:tcPr>
                <w:p w14:paraId="1D62BA6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1FDE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14:paraId="32AD1C1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水</w:t>
                  </w:r>
                  <w:r>
                    <w:rPr>
                      <w:rFonts w:hint="default" w:ascii="Times New Roman" w:hAnsi="Times New Roman" w:eastAsia="宋体" w:cs="Times New Roman"/>
                      <w:color w:val="auto"/>
                      <w:sz w:val="21"/>
                      <w:szCs w:val="21"/>
                      <w:highlight w:val="none"/>
                      <w:lang w:val="en-US" w:eastAsia="zh-CN"/>
                    </w:rPr>
                    <w:t>环境影响</w:t>
                  </w:r>
                  <w:r>
                    <w:rPr>
                      <w:rFonts w:hint="default" w:ascii="Times New Roman" w:hAnsi="Times New Roman" w:eastAsia="宋体" w:cs="Times New Roman"/>
                      <w:color w:val="auto"/>
                      <w:sz w:val="21"/>
                      <w:szCs w:val="21"/>
                      <w:highlight w:val="none"/>
                      <w:lang w:val="zh-CN"/>
                    </w:rPr>
                    <w:t>减缓措施</w:t>
                  </w:r>
                </w:p>
              </w:tc>
              <w:tc>
                <w:tcPr>
                  <w:tcW w:w="4277" w:type="dxa"/>
                  <w:noWrap w:val="0"/>
                  <w:vAlign w:val="center"/>
                </w:tcPr>
                <w:p w14:paraId="4A2E12F6">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①</w:t>
                  </w:r>
                  <w:r>
                    <w:rPr>
                      <w:rFonts w:hint="default" w:ascii="Times New Roman" w:hAnsi="Times New Roman" w:eastAsia="宋体" w:cs="Times New Roman"/>
                      <w:color w:val="auto"/>
                      <w:kern w:val="0"/>
                      <w:sz w:val="21"/>
                      <w:szCs w:val="21"/>
                      <w:highlight w:val="none"/>
                    </w:rPr>
                    <w:t>根据《规划修编》实施对水环境的影响分析，规划建设覆盖规划区范围的“雨污分流”排水体制。各煤、磷、盐化工等企业内部自行收集初期雨水进行处理后回用，园区雨水经过雨水管网收集后汇入附近地表水体</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金所组团现状煤磷盐化工企业及废水实现零排放企业按现状处置方式，即由企业处理达标后循环回用或经已建的排污管道排至摩洛河。</w:t>
                  </w:r>
                </w:p>
                <w:p w14:paraId="04D7A6BD">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②</w:t>
                  </w:r>
                  <w:r>
                    <w:rPr>
                      <w:rFonts w:hint="default" w:ascii="Times New Roman" w:hAnsi="Times New Roman" w:eastAsia="宋体" w:cs="Times New Roman"/>
                      <w:color w:val="auto"/>
                      <w:kern w:val="0"/>
                      <w:sz w:val="21"/>
                      <w:szCs w:val="21"/>
                      <w:highlight w:val="none"/>
                    </w:rPr>
                    <w:t>园区严格按照规划要求，建设污水集中和分散处理设施，提高园区水资源利用率，减少污水排放。各组团后续入驻企业废水严格按照规划排水方案执行</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园区内企事业单位等应增加再生水回用接口。企业内部循环利用+园区调配两级保障措施，按分期发展要求分别建设污水处理回用系统，污水处理回用系统采取分质处理分级回用方式，回用于各类城市杂用水和工业补水等</w:t>
                  </w:r>
                  <w:r>
                    <w:rPr>
                      <w:rFonts w:hint="default" w:ascii="Times New Roman" w:hAnsi="Times New Roman" w:eastAsia="宋体" w:cs="Times New Roman"/>
                      <w:color w:val="auto"/>
                      <w:kern w:val="0"/>
                      <w:sz w:val="21"/>
                      <w:szCs w:val="21"/>
                      <w:highlight w:val="none"/>
                      <w:lang w:eastAsia="zh-CN"/>
                    </w:rPr>
                    <w:t>；</w:t>
                  </w:r>
                </w:p>
                <w:p w14:paraId="5D3EADE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③严格</w:t>
                  </w:r>
                  <w:r>
                    <w:rPr>
                      <w:rFonts w:hint="default" w:ascii="Times New Roman" w:hAnsi="Times New Roman" w:eastAsia="宋体" w:cs="Times New Roman"/>
                      <w:color w:val="auto"/>
                      <w:kern w:val="0"/>
                      <w:sz w:val="21"/>
                      <w:szCs w:val="21"/>
                      <w:highlight w:val="none"/>
                    </w:rPr>
                    <w:t>各污水处理设施的管理、监测工作，确保污水处理设施外排污水长期稳定达标。新建、迁建项目应采用先进的生产工艺和污染防治技术，其清洁生产水平应达到国内先进水平以上</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实行严格的清洁生产审计，全过程降低对水的消耗和污染</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工业企业应严格控制用水量，加大工业用水的重复利用率，发展节水型工业。</w:t>
                  </w:r>
                </w:p>
              </w:tc>
              <w:tc>
                <w:tcPr>
                  <w:tcW w:w="2287" w:type="dxa"/>
                  <w:noWrap w:val="0"/>
                  <w:vAlign w:val="center"/>
                </w:tcPr>
                <w:p w14:paraId="76F8A8D7">
                  <w:pPr>
                    <w:widowControl/>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w:t>
                  </w:r>
                  <w:r>
                    <w:rPr>
                      <w:rFonts w:hint="default" w:cs="Times New Roman"/>
                      <w:color w:val="auto"/>
                      <w:kern w:val="0"/>
                      <w:sz w:val="21"/>
                      <w:szCs w:val="21"/>
                      <w:highlight w:val="none"/>
                      <w:lang w:val="en-US" w:eastAsia="zh-CN"/>
                    </w:rPr>
                    <w:t>项目排水采用雨污分流的排水方式，</w:t>
                  </w:r>
                  <w:r>
                    <w:rPr>
                      <w:rFonts w:hint="eastAsia" w:cs="Times New Roman"/>
                      <w:color w:val="auto"/>
                      <w:kern w:val="0"/>
                      <w:sz w:val="21"/>
                      <w:szCs w:val="21"/>
                      <w:highlight w:val="none"/>
                      <w:lang w:val="en-US" w:eastAsia="zh-CN"/>
                    </w:rPr>
                    <w:t>设备冷却废水</w:t>
                  </w:r>
                  <w:r>
                    <w:rPr>
                      <w:rFonts w:hint="default" w:cs="Times New Roman"/>
                      <w:color w:val="auto"/>
                      <w:kern w:val="0"/>
                      <w:sz w:val="21"/>
                      <w:szCs w:val="21"/>
                      <w:highlight w:val="none"/>
                      <w:lang w:val="en-US" w:eastAsia="zh-CN"/>
                    </w:rPr>
                    <w:t>经循环冷却池冷却后循环使用不外排；</w:t>
                  </w:r>
                  <w:r>
                    <w:rPr>
                      <w:rFonts w:hint="eastAsia" w:cs="Times New Roman"/>
                      <w:color w:val="auto"/>
                      <w:kern w:val="0"/>
                      <w:sz w:val="21"/>
                      <w:szCs w:val="21"/>
                      <w:highlight w:val="none"/>
                      <w:lang w:val="en-US" w:eastAsia="zh-CN"/>
                    </w:rPr>
                    <w:t>化验后的容器清洗废水通过投加絮凝剂、加入酸碱中和剂等方式对废水进行沉淀、中和等简易处理，处理后的废水排入厂内拟建的污水处理站统一处置；吸收氨气的清水浓度大于10%时直接作为脱硝使用喷入</w:t>
                  </w:r>
                </w:p>
                <w:p w14:paraId="01579CE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val="en-US" w:eastAsia="zh-CN"/>
                    </w:rPr>
                    <w:t>炉膛内，不外排；</w:t>
                  </w:r>
                  <w:r>
                    <w:rPr>
                      <w:rFonts w:hint="default" w:cs="Times New Roman"/>
                      <w:color w:val="auto"/>
                      <w:kern w:val="0"/>
                      <w:sz w:val="21"/>
                      <w:szCs w:val="21"/>
                      <w:highlight w:val="none"/>
                      <w:lang w:val="en-US" w:eastAsia="zh-CN"/>
                    </w:rPr>
                    <w:t>初期雨水</w:t>
                  </w:r>
                  <w:r>
                    <w:rPr>
                      <w:rFonts w:hint="eastAsia" w:cs="Times New Roman"/>
                      <w:color w:val="auto"/>
                      <w:kern w:val="0"/>
                      <w:sz w:val="21"/>
                      <w:szCs w:val="21"/>
                      <w:highlight w:val="none"/>
                      <w:lang w:val="en-US" w:eastAsia="zh-CN"/>
                    </w:rPr>
                    <w:t>经沉淀</w:t>
                  </w:r>
                  <w:r>
                    <w:rPr>
                      <w:rFonts w:hint="default" w:cs="Times New Roman"/>
                      <w:color w:val="auto"/>
                      <w:kern w:val="0"/>
                      <w:sz w:val="21"/>
                      <w:szCs w:val="21"/>
                      <w:highlight w:val="none"/>
                      <w:lang w:val="en-US" w:eastAsia="zh-CN"/>
                    </w:rPr>
                    <w:t>处理后回用于</w:t>
                  </w:r>
                  <w:r>
                    <w:rPr>
                      <w:rFonts w:hint="eastAsia" w:cs="Times New Roman"/>
                      <w:color w:val="auto"/>
                      <w:kern w:val="0"/>
                      <w:sz w:val="21"/>
                      <w:szCs w:val="21"/>
                      <w:highlight w:val="none"/>
                      <w:lang w:val="en-US" w:eastAsia="zh-CN"/>
                    </w:rPr>
                    <w:t>厂区洒水抑尘</w:t>
                  </w:r>
                  <w:r>
                    <w:rPr>
                      <w:rFonts w:hint="default" w:cs="Times New Roman"/>
                      <w:color w:val="auto"/>
                      <w:kern w:val="0"/>
                      <w:sz w:val="21"/>
                      <w:szCs w:val="21"/>
                      <w:highlight w:val="none"/>
                      <w:lang w:val="en-US" w:eastAsia="zh-CN"/>
                    </w:rPr>
                    <w:t>，不外排</w:t>
                  </w:r>
                  <w:r>
                    <w:rPr>
                      <w:rFonts w:hint="eastAsia" w:cs="Times New Roman"/>
                      <w:color w:val="auto"/>
                      <w:kern w:val="0"/>
                      <w:sz w:val="21"/>
                      <w:szCs w:val="21"/>
                      <w:highlight w:val="none"/>
                      <w:lang w:val="en-US" w:eastAsia="zh-CN"/>
                    </w:rPr>
                    <w:t>；</w:t>
                  </w:r>
                  <w:r>
                    <w:rPr>
                      <w:rFonts w:hint="default" w:cs="Times New Roman"/>
                      <w:color w:val="auto"/>
                      <w:kern w:val="0"/>
                      <w:sz w:val="21"/>
                      <w:szCs w:val="21"/>
                      <w:highlight w:val="none"/>
                      <w:lang w:val="en-US" w:eastAsia="zh-CN"/>
                    </w:rPr>
                    <w:t>办公生活污水</w:t>
                  </w:r>
                  <w:r>
                    <w:rPr>
                      <w:rFonts w:hint="eastAsia" w:cs="Times New Roman"/>
                      <w:color w:val="auto"/>
                      <w:kern w:val="0"/>
                      <w:sz w:val="21"/>
                      <w:szCs w:val="21"/>
                      <w:highlight w:val="none"/>
                      <w:lang w:val="en-US" w:eastAsia="zh-CN"/>
                    </w:rPr>
                    <w:t>排</w:t>
                  </w:r>
                  <w:r>
                    <w:rPr>
                      <w:rFonts w:hint="default" w:cs="Times New Roman"/>
                      <w:color w:val="auto"/>
                      <w:kern w:val="0"/>
                      <w:sz w:val="21"/>
                      <w:szCs w:val="21"/>
                      <w:highlight w:val="none"/>
                      <w:lang w:val="en-US" w:eastAsia="zh-CN"/>
                    </w:rPr>
                    <w:t>入化粪</w:t>
                  </w:r>
                  <w:r>
                    <w:rPr>
                      <w:rFonts w:hint="eastAsia" w:cs="Times New Roman"/>
                      <w:color w:val="auto"/>
                      <w:kern w:val="0"/>
                      <w:sz w:val="21"/>
                      <w:szCs w:val="21"/>
                      <w:highlight w:val="none"/>
                      <w:lang w:val="en-US" w:eastAsia="zh-CN"/>
                    </w:rPr>
                    <w:t>池处理后同化验废水一并进入</w:t>
                  </w:r>
                  <w:r>
                    <w:rPr>
                      <w:rFonts w:hint="default" w:cs="Times New Roman"/>
                      <w:color w:val="auto"/>
                      <w:kern w:val="0"/>
                      <w:sz w:val="21"/>
                      <w:szCs w:val="21"/>
                      <w:highlight w:val="none"/>
                      <w:lang w:val="en-US" w:eastAsia="zh-CN"/>
                    </w:rPr>
                    <w:t>地埋式一体化污水处理站处理达《城市污水再生利用 城市杂用水水质》（GB/T18920-2020）中的城市绿化、道路清扫、消防、建筑施工标准后，用于项目区内绿化及道路场地洒水降尘，不外排。</w:t>
                  </w:r>
                </w:p>
              </w:tc>
              <w:tc>
                <w:tcPr>
                  <w:tcW w:w="664" w:type="dxa"/>
                  <w:noWrap w:val="0"/>
                  <w:vAlign w:val="center"/>
                </w:tcPr>
                <w:p w14:paraId="6039812D">
                  <w:pPr>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4F53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14:paraId="04ECF38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大气</w:t>
                  </w:r>
                  <w:r>
                    <w:rPr>
                      <w:rFonts w:hint="default" w:ascii="Times New Roman" w:hAnsi="Times New Roman" w:eastAsia="宋体" w:cs="Times New Roman"/>
                      <w:color w:val="auto"/>
                      <w:sz w:val="21"/>
                      <w:szCs w:val="21"/>
                      <w:highlight w:val="none"/>
                      <w:lang w:val="en-US" w:eastAsia="zh-CN"/>
                    </w:rPr>
                    <w:t>环境影响</w:t>
                  </w:r>
                  <w:r>
                    <w:rPr>
                      <w:rFonts w:hint="default" w:ascii="Times New Roman" w:hAnsi="Times New Roman" w:eastAsia="宋体" w:cs="Times New Roman"/>
                      <w:color w:val="auto"/>
                      <w:sz w:val="21"/>
                      <w:szCs w:val="21"/>
                      <w:highlight w:val="none"/>
                      <w:lang w:val="zh-CN"/>
                    </w:rPr>
                    <w:t>减缓措施</w:t>
                  </w:r>
                </w:p>
              </w:tc>
              <w:tc>
                <w:tcPr>
                  <w:tcW w:w="4277" w:type="dxa"/>
                  <w:noWrap w:val="0"/>
                  <w:vAlign w:val="center"/>
                </w:tcPr>
                <w:p w14:paraId="52B93E6A">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①</w:t>
                  </w:r>
                  <w:r>
                    <w:rPr>
                      <w:rFonts w:hint="default" w:ascii="Times New Roman" w:hAnsi="Times New Roman" w:eastAsia="宋体" w:cs="Times New Roman"/>
                      <w:color w:val="auto"/>
                      <w:kern w:val="0"/>
                      <w:sz w:val="21"/>
                      <w:szCs w:val="21"/>
                      <w:highlight w:val="none"/>
                    </w:rPr>
                    <w:t>按规划及其他相关</w:t>
                  </w:r>
                  <w:r>
                    <w:rPr>
                      <w:rFonts w:hint="eastAsia" w:cs="Times New Roman"/>
                      <w:color w:val="auto"/>
                      <w:kern w:val="0"/>
                      <w:sz w:val="21"/>
                      <w:szCs w:val="21"/>
                      <w:highlight w:val="none"/>
                      <w:lang w:eastAsia="zh-CN"/>
                    </w:rPr>
                    <w:t>要求</w:t>
                  </w:r>
                  <w:r>
                    <w:rPr>
                      <w:rFonts w:hint="default" w:ascii="Times New Roman" w:hAnsi="Times New Roman" w:eastAsia="宋体" w:cs="Times New Roman"/>
                      <w:color w:val="auto"/>
                      <w:kern w:val="0"/>
                      <w:sz w:val="21"/>
                      <w:szCs w:val="21"/>
                      <w:highlight w:val="none"/>
                    </w:rPr>
                    <w:t>规划区工业及民用均使用清洁能源。对严重污染大气环境的工艺、设备和产品实行淘汰制度</w:t>
                  </w:r>
                  <w:r>
                    <w:rPr>
                      <w:rFonts w:hint="default" w:ascii="Times New Roman" w:hAnsi="Times New Roman" w:eastAsia="宋体" w:cs="Times New Roman"/>
                      <w:color w:val="auto"/>
                      <w:kern w:val="0"/>
                      <w:sz w:val="21"/>
                      <w:szCs w:val="21"/>
                      <w:highlight w:val="none"/>
                      <w:lang w:eastAsia="zh-CN"/>
                    </w:rPr>
                    <w:t>；</w:t>
                  </w:r>
                </w:p>
                <w:p w14:paraId="1BA2A3EA">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②</w:t>
                  </w:r>
                  <w:r>
                    <w:rPr>
                      <w:rFonts w:hint="default" w:ascii="Times New Roman" w:hAnsi="Times New Roman" w:eastAsia="宋体" w:cs="Times New Roman"/>
                      <w:color w:val="auto"/>
                      <w:kern w:val="0"/>
                      <w:sz w:val="21"/>
                      <w:szCs w:val="21"/>
                      <w:highlight w:val="none"/>
                    </w:rPr>
                    <w:t>入驻的有大气污染源排放的项目环境影响评价文件中应将大气环境影响评价作为重点之一，深入分析项目入驻对区域大气环境的影响，明确环境空气污染防治措施并严格落实，要求作出明确的环境是否可行的结论</w:t>
                  </w:r>
                  <w:r>
                    <w:rPr>
                      <w:rFonts w:hint="default" w:ascii="Times New Roman" w:hAnsi="Times New Roman" w:eastAsia="宋体" w:cs="Times New Roman"/>
                      <w:color w:val="auto"/>
                      <w:kern w:val="0"/>
                      <w:sz w:val="21"/>
                      <w:szCs w:val="21"/>
                      <w:highlight w:val="none"/>
                      <w:lang w:eastAsia="zh-CN"/>
                    </w:rPr>
                    <w:t>；</w:t>
                  </w:r>
                </w:p>
                <w:p w14:paraId="2610D9E3">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③</w:t>
                  </w:r>
                  <w:r>
                    <w:rPr>
                      <w:rFonts w:hint="default" w:ascii="Times New Roman" w:hAnsi="Times New Roman" w:eastAsia="宋体" w:cs="Times New Roman"/>
                      <w:color w:val="auto"/>
                      <w:kern w:val="0"/>
                      <w:sz w:val="21"/>
                      <w:szCs w:val="21"/>
                      <w:highlight w:val="none"/>
                    </w:rPr>
                    <w:t>推行清洁能源，建议考虑集中供热，实施循环经济，并对大气污染物实行总量控制</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r>
                    <w:rPr>
                      <w:rFonts w:hint="default" w:ascii="Times New Roman" w:hAnsi="Times New Roman" w:eastAsia="宋体" w:cs="Times New Roman"/>
                      <w:color w:val="auto"/>
                      <w:kern w:val="0"/>
                      <w:sz w:val="21"/>
                      <w:szCs w:val="21"/>
                      <w:highlight w:val="none"/>
                      <w:lang w:eastAsia="zh-CN"/>
                    </w:rPr>
                    <w:t>；</w:t>
                  </w:r>
                </w:p>
                <w:p w14:paraId="69BC3BB0">
                  <w:pPr>
                    <w:keepNext w:val="0"/>
                    <w:keepLines w:val="0"/>
                    <w:pageBreakBefore w:val="0"/>
                    <w:kinsoku/>
                    <w:overflowPunct/>
                    <w:topLinePunct w:val="0"/>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highlight w:val="none"/>
                      <w:lang w:val="en-US" w:eastAsia="zh-CN"/>
                    </w:rPr>
                    <w:t>④</w:t>
                  </w:r>
                  <w:r>
                    <w:rPr>
                      <w:rFonts w:hint="default" w:ascii="Times New Roman" w:hAnsi="Times New Roman" w:eastAsia="宋体" w:cs="Times New Roman"/>
                      <w:color w:val="auto"/>
                      <w:kern w:val="0"/>
                      <w:sz w:val="21"/>
                      <w:szCs w:val="21"/>
                      <w:highlight w:val="none"/>
                    </w:rPr>
                    <w:t>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2287" w:type="dxa"/>
                  <w:noWrap w:val="0"/>
                  <w:vAlign w:val="center"/>
                </w:tcPr>
                <w:p w14:paraId="2DEB01B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eastAsia" w:cs="Times New Roman"/>
                      <w:color w:val="auto"/>
                      <w:sz w:val="21"/>
                      <w:szCs w:val="21"/>
                      <w:highlight w:val="none"/>
                      <w:lang w:eastAsia="zh-CN"/>
                    </w:rPr>
                    <w:t>为</w:t>
                  </w:r>
                  <w:r>
                    <w:rPr>
                      <w:rFonts w:hint="eastAsia" w:ascii="Times New Roman" w:hAnsi="Times New Roman" w:eastAsia="宋体" w:cs="Times New Roman"/>
                      <w:color w:val="auto"/>
                      <w:sz w:val="21"/>
                      <w:szCs w:val="21"/>
                      <w:highlight w:val="none"/>
                      <w:lang w:val="en-US" w:eastAsia="zh-CN"/>
                    </w:rPr>
                    <w:t>其他煤炭加工</w:t>
                  </w:r>
                  <w:r>
                    <w:rPr>
                      <w:rFonts w:hint="eastAsia" w:ascii="Times New Roman" w:hAnsi="Times New Roman" w:eastAsia="宋体" w:cs="Times New Roman"/>
                      <w:color w:val="auto"/>
                      <w:sz w:val="21"/>
                      <w:szCs w:val="21"/>
                      <w:highlight w:val="none"/>
                      <w:lang w:eastAsia="zh-CN"/>
                    </w:rPr>
                    <w:t>项</w:t>
                  </w:r>
                  <w:r>
                    <w:rPr>
                      <w:rFonts w:hint="eastAsia" w:cs="Times New Roman"/>
                      <w:color w:val="auto"/>
                      <w:sz w:val="21"/>
                      <w:szCs w:val="21"/>
                      <w:highlight w:val="none"/>
                      <w:lang w:eastAsia="zh-CN"/>
                    </w:rPr>
                    <w:t>目，烘干工序使用的燃料为生物质颗粒，对产生的污染物进行处理后排放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废气均经过有效的治理措施处理后达标排放。</w:t>
                  </w:r>
                </w:p>
              </w:tc>
              <w:tc>
                <w:tcPr>
                  <w:tcW w:w="664" w:type="dxa"/>
                  <w:noWrap w:val="0"/>
                  <w:vAlign w:val="center"/>
                </w:tcPr>
                <w:p w14:paraId="647C3B4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8AA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70" w:type="dxa"/>
                  <w:noWrap w:val="0"/>
                  <w:vAlign w:val="center"/>
                </w:tcPr>
                <w:p w14:paraId="4796BCE0">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地下水环境影响</w:t>
                  </w:r>
                  <w:r>
                    <w:rPr>
                      <w:rFonts w:hint="default" w:ascii="Times New Roman" w:hAnsi="Times New Roman" w:eastAsia="宋体" w:cs="Times New Roman"/>
                      <w:color w:val="auto"/>
                      <w:sz w:val="21"/>
                      <w:szCs w:val="21"/>
                      <w:highlight w:val="none"/>
                      <w:lang w:val="zh-CN"/>
                    </w:rPr>
                    <w:t>减缓措施</w:t>
                  </w:r>
                </w:p>
              </w:tc>
              <w:tc>
                <w:tcPr>
                  <w:tcW w:w="4277" w:type="dxa"/>
                  <w:noWrap w:val="0"/>
                  <w:vAlign w:val="center"/>
                </w:tcPr>
                <w:p w14:paraId="3E3BA09C">
                  <w:pPr>
                    <w:keepNext w:val="0"/>
                    <w:keepLines w:val="0"/>
                    <w:pageBreakBefore w:val="0"/>
                    <w:kinsoku/>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eastAsia="zh-CN"/>
                    </w:rPr>
                    <w:t>园区重点危险废水暂存区参照执行《危险废物贮存污染控制标准》(GB18597-2023) 、危险化学品、油库等储罐区域参照执行《石油化工企业防渗技术规范》 (GB/T50934-2013) 等相关要求进行分析。没有国家标准或行业防渗技术规范的企业，参照执行《环境影响评价技术导则 地下水》 (HJ6102016) 中各防渗区要求。工业固废堆存按照《一般工业固体废物贮存、处置污染控制标准》 (18599-2001) 要求选址及防渗设计。</w:t>
                  </w:r>
                </w:p>
                <w:p w14:paraId="11CB4840">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①</w:t>
                  </w:r>
                  <w:r>
                    <w:rPr>
                      <w:rFonts w:hint="default" w:ascii="Times New Roman" w:hAnsi="Times New Roman" w:eastAsia="宋体" w:cs="Times New Roman"/>
                      <w:b w:val="0"/>
                      <w:bCs w:val="0"/>
                      <w:i w:val="0"/>
                      <w:iCs w:val="0"/>
                      <w:color w:val="auto"/>
                      <w:kern w:val="0"/>
                      <w:sz w:val="21"/>
                      <w:szCs w:val="21"/>
                      <w:highlight w:val="none"/>
                      <w:lang w:eastAsia="zh-CN"/>
                    </w:rPr>
                    <w:t>杜绝高污染，高排水和淘汰落后工艺性质企业入园</w:t>
                  </w:r>
                </w:p>
                <w:p w14:paraId="20D653F9">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②</w:t>
                  </w:r>
                  <w:r>
                    <w:rPr>
                      <w:rFonts w:hint="default" w:ascii="Times New Roman" w:hAnsi="Times New Roman" w:eastAsia="宋体" w:cs="Times New Roman"/>
                      <w:b w:val="0"/>
                      <w:bCs w:val="0"/>
                      <w:i w:val="0"/>
                      <w:iCs w:val="0"/>
                      <w:color w:val="auto"/>
                      <w:kern w:val="0"/>
                      <w:sz w:val="21"/>
                      <w:szCs w:val="21"/>
                      <w:highlight w:val="none"/>
                      <w:lang w:eastAsia="zh-CN"/>
                    </w:rPr>
                    <w:t>严禁入驻企业抽取地下水作为生产、生活用水。</w:t>
                  </w:r>
                </w:p>
                <w:p w14:paraId="32CCC939">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③</w:t>
                  </w:r>
                  <w:r>
                    <w:rPr>
                      <w:rFonts w:hint="default" w:ascii="Times New Roman" w:hAnsi="Times New Roman" w:eastAsia="宋体" w:cs="Times New Roman"/>
                      <w:b w:val="0"/>
                      <w:bCs w:val="0"/>
                      <w:i w:val="0"/>
                      <w:iCs w:val="0"/>
                      <w:color w:val="auto"/>
                      <w:kern w:val="0"/>
                      <w:sz w:val="21"/>
                      <w:szCs w:val="21"/>
                      <w:highlight w:val="none"/>
                      <w:lang w:eastAsia="zh-CN"/>
                    </w:rPr>
                    <w:t>规范各入驻企业废水处理设施、生产车间产污工段的地面应为硬化防渗地面，厂内污水沟应有相应防渗措施。</w:t>
                  </w:r>
                </w:p>
                <w:p w14:paraId="3ED0AEDC">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④</w:t>
                  </w:r>
                  <w:r>
                    <w:rPr>
                      <w:rFonts w:hint="default" w:ascii="Times New Roman" w:hAnsi="Times New Roman" w:eastAsia="宋体" w:cs="Times New Roman"/>
                      <w:b w:val="0"/>
                      <w:bCs w:val="0"/>
                      <w:i w:val="0"/>
                      <w:iCs w:val="0"/>
                      <w:color w:val="auto"/>
                      <w:kern w:val="0"/>
                      <w:sz w:val="21"/>
                      <w:szCs w:val="21"/>
                      <w:highlight w:val="none"/>
                      <w:lang w:eastAsia="zh-CN"/>
                    </w:rPr>
                    <w:t>生活垃圾临时堆存点和厂内固废临时堆存点，必须具有防风、防雨、防渗措施，严禁露天乱堆放。堆存点应做到上有雨棚、底有混凝土层防渗，周边至少有1.5~2m高的挡墙和环形截雨沟。</w:t>
                  </w:r>
                </w:p>
                <w:p w14:paraId="24F15EC2">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⑤</w:t>
                  </w:r>
                  <w:r>
                    <w:rPr>
                      <w:rFonts w:hint="default" w:ascii="Times New Roman" w:hAnsi="Times New Roman" w:eastAsia="宋体" w:cs="Times New Roman"/>
                      <w:b w:val="0"/>
                      <w:bCs w:val="0"/>
                      <w:i w:val="0"/>
                      <w:iCs w:val="0"/>
                      <w:color w:val="auto"/>
                      <w:kern w:val="0"/>
                      <w:sz w:val="21"/>
                      <w:szCs w:val="21"/>
                      <w:highlight w:val="none"/>
                      <w:lang w:eastAsia="zh-CN"/>
                    </w:rPr>
                    <w:t>浸出毒性是I类一般工业固废和危险固废则需严格按国家有关规定、规范处理处置，杜绝乱堆放或混堆现象。</w:t>
                  </w:r>
                </w:p>
                <w:p w14:paraId="01924089">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⑥</w:t>
                  </w:r>
                  <w:r>
                    <w:rPr>
                      <w:rFonts w:hint="default" w:ascii="Times New Roman" w:hAnsi="Times New Roman" w:eastAsia="宋体" w:cs="Times New Roman"/>
                      <w:b w:val="0"/>
                      <w:bCs w:val="0"/>
                      <w:i w:val="0"/>
                      <w:iCs w:val="0"/>
                      <w:color w:val="auto"/>
                      <w:kern w:val="0"/>
                      <w:sz w:val="21"/>
                      <w:szCs w:val="21"/>
                      <w:highlight w:val="none"/>
                      <w:lang w:eastAsia="zh-CN"/>
                    </w:rPr>
                    <w:t>严禁入园企业向地下渗坑、岩溶洼地排水、落水洞排污。严禁入驻企业在园区内新建永久性固废处置场，危险废物委托有资质单位进行清运处置。</w:t>
                  </w:r>
                </w:p>
                <w:p w14:paraId="5D7C28C3">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⑦</w:t>
                  </w:r>
                  <w:r>
                    <w:rPr>
                      <w:rFonts w:hint="default" w:ascii="Times New Roman" w:hAnsi="Times New Roman" w:eastAsia="宋体" w:cs="Times New Roman"/>
                      <w:b w:val="0"/>
                      <w:bCs w:val="0"/>
                      <w:i w:val="0"/>
                      <w:iCs w:val="0"/>
                      <w:color w:val="auto"/>
                      <w:kern w:val="0"/>
                      <w:sz w:val="21"/>
                      <w:szCs w:val="21"/>
                      <w:highlight w:val="none"/>
                      <w:lang w:eastAsia="zh-CN"/>
                    </w:rPr>
                    <w:t>杜绝各企业生产废水、生活污水及废油、废酸、固体废弃物任意乱排放进入岩溶(洼地、落水洞)环境或农田、水体中，保护地下水环境免受污染。</w:t>
                  </w:r>
                </w:p>
                <w:p w14:paraId="424BD841">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⑧</w:t>
                  </w:r>
                  <w:r>
                    <w:rPr>
                      <w:rFonts w:hint="default" w:ascii="Times New Roman" w:hAnsi="Times New Roman" w:eastAsia="宋体" w:cs="Times New Roman"/>
                      <w:b w:val="0"/>
                      <w:bCs w:val="0"/>
                      <w:i w:val="0"/>
                      <w:iCs w:val="0"/>
                      <w:color w:val="auto"/>
                      <w:kern w:val="0"/>
                      <w:sz w:val="21"/>
                      <w:szCs w:val="21"/>
                      <w:highlight w:val="none"/>
                      <w:lang w:eastAsia="zh-CN"/>
                    </w:rPr>
                    <w:t>工程建设前应进行厂区岩土工程地质详细勘察和进一步的详细水文地质勘察，查明厂区所在处及其附近的断裂构造详情、地下水位埋深及水位动态变化等情况，取得更加详细的工程地质及水文地质资料，为工程设计提供资料。</w:t>
                  </w:r>
                </w:p>
                <w:p w14:paraId="2F36162F">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eastAsia="zh-CN"/>
                    </w:rPr>
                    <w:t>涉及重金属及危险化学品的企业在平面布局时需考虑场地地下水含水层分布情况，尽量使重大风险源、废水收集治理等可能出现渗漏风险的设施设置于泥岩隔水层之上。</w:t>
                  </w:r>
                </w:p>
                <w:p w14:paraId="0A8135BC">
                  <w:pPr>
                    <w:keepNext w:val="0"/>
                    <w:keepLines w:val="0"/>
                    <w:pageBreakBefore w:val="0"/>
                    <w:kinsoku/>
                    <w:overflowPunct/>
                    <w:topLinePunct w:val="0"/>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b w:val="0"/>
                      <w:bCs w:val="0"/>
                      <w:i w:val="0"/>
                      <w:iCs w:val="0"/>
                      <w:color w:val="auto"/>
                      <w:kern w:val="0"/>
                      <w:sz w:val="21"/>
                      <w:szCs w:val="21"/>
                      <w:highlight w:val="none"/>
                      <w:lang w:val="en-US" w:eastAsia="zh-CN"/>
                    </w:rPr>
                    <w:t>⑨</w:t>
                  </w:r>
                  <w:r>
                    <w:rPr>
                      <w:rFonts w:hint="default" w:ascii="Times New Roman" w:hAnsi="Times New Roman" w:eastAsia="宋体" w:cs="Times New Roman"/>
                      <w:b w:val="0"/>
                      <w:bCs w:val="0"/>
                      <w:i w:val="0"/>
                      <w:iCs w:val="0"/>
                      <w:color w:val="auto"/>
                      <w:kern w:val="0"/>
                      <w:sz w:val="21"/>
                      <w:szCs w:val="21"/>
                      <w:highlight w:val="none"/>
                      <w:lang w:eastAsia="zh-CN"/>
                    </w:rPr>
                    <w:t>企业场地、各生产车间及原料、废渣临时堆放场地、污水处理设施等区域按照国家标准或行业防渗技术规范、《环境影响评价技术导则 地下水环境》(HJ610-2016)中的防渗要求进行防渗设计，固废处置应符合相关法规和技术规范要求，渗滤液不得任意外排，避免渗滤液下渗污染地下水环境。</w:t>
                  </w:r>
                </w:p>
              </w:tc>
              <w:tc>
                <w:tcPr>
                  <w:tcW w:w="2287" w:type="dxa"/>
                  <w:noWrap w:val="0"/>
                  <w:vAlign w:val="center"/>
                </w:tcPr>
                <w:p w14:paraId="6FC950BA">
                  <w:pPr>
                    <w:widowControl/>
                    <w:spacing w:line="240" w:lineRule="auto"/>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本项目区内进行分区防渗，</w:t>
                  </w:r>
                  <w:r>
                    <w:rPr>
                      <w:rFonts w:hint="default" w:ascii="Times New Roman" w:hAnsi="Times New Roman" w:eastAsia="宋体" w:cs="Times New Roman"/>
                      <w:b w:val="0"/>
                      <w:bCs w:val="0"/>
                      <w:color w:val="auto"/>
                      <w:sz w:val="21"/>
                      <w:szCs w:val="21"/>
                      <w:highlight w:val="none"/>
                      <w:lang w:val="en-US" w:eastAsia="zh-CN"/>
                    </w:rPr>
                    <w:t>①重点防渗：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b w:val="0"/>
                      <w:bCs w:val="0"/>
                      <w:color w:val="auto"/>
                      <w:sz w:val="21"/>
                      <w:szCs w:val="21"/>
                      <w:highlight w:val="none"/>
                      <w:lang w:val="en-US" w:eastAsia="zh-CN"/>
                    </w:rPr>
                    <w:t>抗渗混凝土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eastAsia" w:cs="Times New Roman"/>
                      <w:color w:val="auto"/>
                      <w:sz w:val="21"/>
                      <w:szCs w:val="21"/>
                      <w:highlight w:val="none"/>
                      <w:lang w:val="zh-CN"/>
                    </w:rPr>
                    <w:t>氨水储罐区域</w:t>
                  </w:r>
                  <w:r>
                    <w:rPr>
                      <w:rFonts w:hint="default" w:ascii="Times New Roman" w:hAnsi="Times New Roman" w:eastAsia="宋体" w:cs="Times New Roman"/>
                      <w:color w:val="auto"/>
                      <w:sz w:val="21"/>
                      <w:szCs w:val="21"/>
                      <w:highlight w:val="none"/>
                    </w:rPr>
                    <w:t>应</w:t>
                  </w:r>
                  <w:r>
                    <w:rPr>
                      <w:rFonts w:hint="default" w:ascii="Times New Roman" w:hAnsi="Times New Roman" w:eastAsia="宋体" w:cs="Times New Roman"/>
                      <w:color w:val="auto"/>
                      <w:sz w:val="21"/>
                      <w:szCs w:val="21"/>
                      <w:highlight w:val="none"/>
                      <w:lang w:val="zh-CN"/>
                    </w:rPr>
                    <w:t>按照</w:t>
                  </w:r>
                  <w:r>
                    <w:rPr>
                      <w:rFonts w:hint="eastAsia" w:cs="Times New Roman"/>
                      <w:color w:val="auto"/>
                      <w:sz w:val="21"/>
                      <w:szCs w:val="21"/>
                      <w:highlight w:val="none"/>
                      <w:lang w:val="zh-CN"/>
                    </w:rPr>
                    <w:t>等</w:t>
                  </w:r>
                  <w:r>
                    <w:rPr>
                      <w:rFonts w:hint="default" w:ascii="Times New Roman" w:hAnsi="Times New Roman" w:eastAsia="宋体" w:cs="Times New Roman"/>
                      <w:color w:val="auto"/>
                      <w:kern w:val="2"/>
                      <w:sz w:val="21"/>
                      <w:szCs w:val="21"/>
                      <w:highlight w:val="none"/>
                    </w:rPr>
                    <w:t>效黏土防渗层厚度Mb≥6m，渗透系数K≤1.0×10</w:t>
                  </w:r>
                  <w:r>
                    <w:rPr>
                      <w:rFonts w:hint="default" w:ascii="Times New Roman" w:hAnsi="Times New Roman" w:eastAsia="宋体" w:cs="Times New Roman"/>
                      <w:color w:val="auto"/>
                      <w:kern w:val="2"/>
                      <w:sz w:val="21"/>
                      <w:szCs w:val="21"/>
                      <w:highlight w:val="none"/>
                      <w:vertAlign w:val="superscript"/>
                    </w:rPr>
                    <w:t>-</w:t>
                  </w:r>
                  <w:r>
                    <w:rPr>
                      <w:rFonts w:hint="eastAsia" w:ascii="Times New Roman" w:hAnsi="Times New Roman" w:eastAsia="宋体" w:cs="Times New Roman"/>
                      <w:color w:val="auto"/>
                      <w:kern w:val="2"/>
                      <w:sz w:val="21"/>
                      <w:szCs w:val="21"/>
                      <w:highlight w:val="none"/>
                      <w:vertAlign w:val="superscript"/>
                      <w:lang w:val="en-US" w:eastAsia="zh-CN"/>
                    </w:rPr>
                    <w:t>7</w:t>
                  </w:r>
                  <w:r>
                    <w:rPr>
                      <w:rFonts w:hint="default" w:ascii="Times New Roman" w:hAnsi="Times New Roman" w:eastAsia="宋体" w:cs="Times New Roman"/>
                      <w:color w:val="auto"/>
                      <w:kern w:val="2"/>
                      <w:sz w:val="21"/>
                      <w:szCs w:val="21"/>
                      <w:highlight w:val="none"/>
                    </w:rPr>
                    <w:t>cm/s</w:t>
                  </w:r>
                  <w:r>
                    <w:rPr>
                      <w:rFonts w:hint="default" w:ascii="Times New Roman" w:hAnsi="Times New Roman" w:eastAsia="宋体" w:cs="Times New Roman"/>
                      <w:color w:val="auto"/>
                      <w:sz w:val="21"/>
                      <w:szCs w:val="21"/>
                      <w:highlight w:val="none"/>
                    </w:rPr>
                    <w:t>进行重点防渗</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highlight w:val="none"/>
                      <w:lang w:val="en-US" w:eastAsia="zh-CN"/>
                    </w:rPr>
                    <w:t>并按照要求设置规范的标识、标牌。</w:t>
                  </w:r>
                </w:p>
                <w:p w14:paraId="6B08CC57">
                  <w:pPr>
                    <w:widowControl/>
                    <w:spacing w:line="240" w:lineRule="auto"/>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。②一般防渗区：</w:t>
                  </w:r>
                  <w:r>
                    <w:rPr>
                      <w:rFonts w:hint="default" w:ascii="Times New Roman" w:hAnsi="Times New Roman" w:eastAsia="宋体" w:cs="Times New Roman"/>
                      <w:b w:val="0"/>
                      <w:bCs w:val="0"/>
                      <w:color w:val="auto"/>
                      <w:highlight w:val="none"/>
                      <w:lang w:val="en-US" w:eastAsia="zh-CN"/>
                    </w:rPr>
                    <w:t>循环冷却水池、化粪池、一体化污水处理站、蓄水池、事故应急池、</w:t>
                  </w:r>
                  <w:r>
                    <w:rPr>
                      <w:rFonts w:hint="eastAsia" w:ascii="Times New Roman" w:hAnsi="Times New Roman" w:eastAsia="宋体" w:cs="Times New Roman"/>
                      <w:b w:val="0"/>
                      <w:bCs w:val="0"/>
                      <w:color w:val="auto"/>
                      <w:highlight w:val="none"/>
                      <w:lang w:val="en-US" w:eastAsia="zh-CN"/>
                    </w:rPr>
                    <w:t>初期雨水池、</w:t>
                  </w:r>
                  <w:r>
                    <w:rPr>
                      <w:rFonts w:hint="default" w:ascii="Times New Roman" w:hAnsi="Times New Roman" w:eastAsia="宋体" w:cs="Times New Roman"/>
                      <w:b w:val="0"/>
                      <w:bCs w:val="0"/>
                      <w:color w:val="auto"/>
                      <w:highlight w:val="none"/>
                      <w:lang w:val="en-US" w:eastAsia="zh-CN"/>
                    </w:rPr>
                    <w:t>一般固体废物暂存区防渗技术要求达到等效黏土防渗层Mb≥1.5m，渗透系数≤10</w:t>
                  </w:r>
                  <w:r>
                    <w:rPr>
                      <w:rFonts w:hint="default" w:ascii="Times New Roman" w:hAnsi="Times New Roman" w:eastAsia="宋体" w:cs="Times New Roman"/>
                      <w:b w:val="0"/>
                      <w:bCs w:val="0"/>
                      <w:color w:val="auto"/>
                      <w:highlight w:val="none"/>
                      <w:vertAlign w:val="superscript"/>
                      <w:lang w:val="en-US" w:eastAsia="zh-CN"/>
                    </w:rPr>
                    <w:t>-7</w:t>
                  </w:r>
                  <w:r>
                    <w:rPr>
                      <w:rFonts w:hint="default" w:ascii="Times New Roman" w:hAnsi="Times New Roman" w:eastAsia="宋体" w:cs="Times New Roman"/>
                      <w:b w:val="0"/>
                      <w:bCs w:val="0"/>
                      <w:color w:val="auto"/>
                      <w:highlight w:val="none"/>
                      <w:lang w:val="en-US" w:eastAsia="zh-CN"/>
                    </w:rPr>
                    <w:t>cm/s。</w:t>
                  </w:r>
                </w:p>
                <w:p w14:paraId="1837DF3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③简单防渗区：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硬化处理。本项目不属于高污染、高排水及淘汰落后的生产工艺，用水为市政管网供水。</w:t>
                  </w:r>
                </w:p>
              </w:tc>
              <w:tc>
                <w:tcPr>
                  <w:tcW w:w="664" w:type="dxa"/>
                  <w:noWrap w:val="0"/>
                  <w:vAlign w:val="center"/>
                </w:tcPr>
                <w:p w14:paraId="056F21E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B22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14:paraId="56F7C8C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土壤环境影响</w:t>
                  </w:r>
                  <w:r>
                    <w:rPr>
                      <w:rFonts w:hint="default" w:ascii="Times New Roman" w:hAnsi="Times New Roman" w:eastAsia="宋体" w:cs="Times New Roman"/>
                      <w:color w:val="auto"/>
                      <w:sz w:val="21"/>
                      <w:szCs w:val="21"/>
                      <w:highlight w:val="none"/>
                      <w:lang w:val="zh-CN"/>
                    </w:rPr>
                    <w:t>减缓措施</w:t>
                  </w:r>
                </w:p>
              </w:tc>
              <w:tc>
                <w:tcPr>
                  <w:tcW w:w="4277" w:type="dxa"/>
                  <w:noWrap w:val="0"/>
                  <w:vAlign w:val="center"/>
                </w:tcPr>
                <w:p w14:paraId="61BF3CD4">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①源头控制措施：选用合格的生产原料，从源头上控制污染物的产生。</w:t>
                  </w:r>
                </w:p>
                <w:p w14:paraId="707BDBC9">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②末端控制措施：废气经处理后外排，减少废气中的污染物排放。</w:t>
                  </w:r>
                </w:p>
                <w:p w14:paraId="113F263B">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③污染监控体系：实施覆盖生产区的土壤污染监控系统，及时发现污染、及时控制。</w:t>
                  </w:r>
                </w:p>
                <w:p w14:paraId="43AEEEA1">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④应急响应措施：一旦发现污染事故，立即启动应急预案、采取应急措施控制土壤，并使污染</w:t>
                  </w:r>
                  <w:r>
                    <w:rPr>
                      <w:rFonts w:hint="eastAsia" w:cs="Times New Roman"/>
                      <w:b w:val="0"/>
                      <w:bCs w:val="0"/>
                      <w:i w:val="0"/>
                      <w:iCs w:val="0"/>
                      <w:color w:val="auto"/>
                      <w:kern w:val="0"/>
                      <w:sz w:val="21"/>
                      <w:szCs w:val="21"/>
                      <w:highlight w:val="none"/>
                      <w:lang w:val="en-US" w:eastAsia="zh-CN"/>
                    </w:rPr>
                    <w:t>得</w:t>
                  </w:r>
                  <w:r>
                    <w:rPr>
                      <w:rFonts w:hint="default" w:ascii="Times New Roman" w:hAnsi="Times New Roman" w:eastAsia="宋体" w:cs="Times New Roman"/>
                      <w:b w:val="0"/>
                      <w:bCs w:val="0"/>
                      <w:i w:val="0"/>
                      <w:iCs w:val="0"/>
                      <w:color w:val="auto"/>
                      <w:kern w:val="0"/>
                      <w:sz w:val="21"/>
                      <w:szCs w:val="21"/>
                      <w:highlight w:val="none"/>
                      <w:lang w:val="en-US" w:eastAsia="zh-CN"/>
                    </w:rPr>
                    <w:t>到治理。</w:t>
                  </w:r>
                </w:p>
                <w:p w14:paraId="51E41D35">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⑤绿化措施：合理利用项目区的空余空间，加强项目区的绿化。</w:t>
                  </w:r>
                </w:p>
                <w:p w14:paraId="3A33B64F">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⑥加强对厂区周围土壤环境的定期监测，建立土壤环境质量动态监测系统，及时反馈污染控制信息。</w:t>
                  </w:r>
                </w:p>
                <w:p w14:paraId="2822B01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⑦严格固体废物运输管理，避免在运输过程中的散落。一旦发生散落事件，及时清理收集，防止进入农田。</w:t>
                  </w:r>
                </w:p>
              </w:tc>
              <w:tc>
                <w:tcPr>
                  <w:tcW w:w="2287" w:type="dxa"/>
                  <w:noWrap w:val="0"/>
                  <w:vAlign w:val="center"/>
                </w:tcPr>
                <w:p w14:paraId="73EF606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本项目使用的生产原料</w:t>
                  </w:r>
                  <w:r>
                    <w:rPr>
                      <w:rFonts w:hint="eastAsia"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eastAsia="zh-CN"/>
                    </w:rPr>
                    <w:t>寻甸</w:t>
                  </w:r>
                  <w:r>
                    <w:rPr>
                      <w:rFonts w:hint="default" w:ascii="Times New Roman" w:hAnsi="Times New Roman" w:eastAsia="宋体" w:cs="Times New Roman"/>
                      <w:color w:val="auto"/>
                      <w:sz w:val="21"/>
                      <w:szCs w:val="21"/>
                      <w:highlight w:val="none"/>
                    </w:rPr>
                    <w:t>境内</w:t>
                  </w:r>
                  <w:r>
                    <w:rPr>
                      <w:rFonts w:hint="eastAsia" w:cs="Times New Roman"/>
                      <w:color w:val="auto"/>
                      <w:sz w:val="21"/>
                      <w:szCs w:val="21"/>
                      <w:highlight w:val="none"/>
                      <w:lang w:eastAsia="zh-CN"/>
                    </w:rPr>
                    <w:t>（寻甸金所矿、姚家村煤矿）</w:t>
                  </w:r>
                  <w:r>
                    <w:rPr>
                      <w:rFonts w:hint="default" w:ascii="Times New Roman" w:hAnsi="Times New Roman" w:eastAsia="宋体" w:cs="Times New Roman"/>
                      <w:color w:val="auto"/>
                      <w:sz w:val="21"/>
                      <w:szCs w:val="21"/>
                      <w:highlight w:val="none"/>
                    </w:rPr>
                    <w:t>褐煤资源</w:t>
                  </w:r>
                  <w:r>
                    <w:rPr>
                      <w:rFonts w:hint="default" w:ascii="Times New Roman" w:hAnsi="Times New Roman" w:eastAsia="宋体" w:cs="Times New Roman"/>
                      <w:color w:val="auto"/>
                      <w:sz w:val="21"/>
                      <w:szCs w:val="21"/>
                      <w:highlight w:val="none"/>
                      <w:lang w:val="en-US" w:eastAsia="zh-CN"/>
                    </w:rPr>
                    <w:t>；废气均经过有效的治理措施处理后达标排放；</w:t>
                  </w:r>
                  <w:r>
                    <w:rPr>
                      <w:rFonts w:hint="default" w:ascii="Times New Roman" w:hAnsi="Times New Roman" w:eastAsia="宋体" w:cs="Times New Roman"/>
                      <w:color w:val="auto"/>
                      <w:sz w:val="21"/>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kern w:val="2"/>
                      <w:sz w:val="21"/>
                      <w:szCs w:val="21"/>
                      <w:highlight w:val="none"/>
                    </w:rPr>
                    <w:t>“抗渗混凝土+2mm厚HDPE+环氧树脂涂料”</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，并设置围堰等应急设施。项目</w:t>
                  </w:r>
                  <w:r>
                    <w:rPr>
                      <w:rFonts w:hint="default" w:ascii="Times New Roman" w:hAnsi="Times New Roman" w:eastAsia="宋体" w:cs="Times New Roman"/>
                      <w:color w:val="auto"/>
                      <w:sz w:val="21"/>
                      <w:szCs w:val="21"/>
                      <w:highlight w:val="none"/>
                      <w:lang w:val="en-US" w:eastAsia="zh-CN"/>
                    </w:rPr>
                    <w:t>进行分区防渗，即</w:t>
                  </w:r>
                  <w:r>
                    <w:rPr>
                      <w:rFonts w:hint="default" w:ascii="Times New Roman" w:hAnsi="Times New Roman" w:eastAsia="宋体" w:cs="Times New Roman"/>
                      <w:color w:val="auto"/>
                      <w:szCs w:val="21"/>
                      <w:highlight w:val="none"/>
                    </w:rPr>
                    <w:t>危废暂存间、</w:t>
                  </w:r>
                  <w:r>
                    <w:rPr>
                      <w:rFonts w:hint="eastAsia" w:cs="Times New Roman"/>
                      <w:color w:val="auto"/>
                      <w:sz w:val="21"/>
                      <w:szCs w:val="21"/>
                      <w:highlight w:val="none"/>
                      <w:lang w:val="zh-CN"/>
                    </w:rPr>
                    <w:t>氨水储罐区域</w:t>
                  </w:r>
                  <w:r>
                    <w:rPr>
                      <w:rFonts w:hint="default" w:ascii="Times New Roman" w:hAnsi="Times New Roman" w:eastAsia="宋体" w:cs="Times New Roman"/>
                      <w:color w:val="auto"/>
                      <w:szCs w:val="21"/>
                      <w:highlight w:val="none"/>
                      <w:lang w:val="en-US" w:eastAsia="zh-CN"/>
                    </w:rPr>
                    <w:t>进行重点防渗，</w:t>
                  </w:r>
                  <w:r>
                    <w:rPr>
                      <w:rFonts w:hint="default" w:ascii="Times New Roman" w:hAnsi="Times New Roman" w:eastAsia="宋体" w:cs="Times New Roman"/>
                      <w:b w:val="0"/>
                      <w:bCs w:val="0"/>
                      <w:color w:val="auto"/>
                      <w:highlight w:val="none"/>
                      <w:lang w:val="en-US" w:eastAsia="zh-CN"/>
                    </w:rPr>
                    <w:t>循环冷却水池、化粪池、一体化污水处理站、蓄水池、事故应急池、</w:t>
                  </w:r>
                  <w:r>
                    <w:rPr>
                      <w:rFonts w:hint="eastAsia" w:ascii="Times New Roman" w:hAnsi="Times New Roman" w:eastAsia="宋体" w:cs="Times New Roman"/>
                      <w:b w:val="0"/>
                      <w:bCs w:val="0"/>
                      <w:color w:val="auto"/>
                      <w:highlight w:val="none"/>
                      <w:lang w:val="en-US" w:eastAsia="zh-CN"/>
                    </w:rPr>
                    <w:t>初期雨水池、</w:t>
                  </w:r>
                  <w:r>
                    <w:rPr>
                      <w:rFonts w:hint="default" w:ascii="Times New Roman" w:hAnsi="Times New Roman" w:eastAsia="宋体" w:cs="Times New Roman"/>
                      <w:b w:val="0"/>
                      <w:bCs w:val="0"/>
                      <w:color w:val="auto"/>
                      <w:highlight w:val="none"/>
                      <w:lang w:val="en-US" w:eastAsia="zh-CN"/>
                    </w:rPr>
                    <w:t>一般固体废物暂存区</w:t>
                  </w:r>
                  <w:r>
                    <w:rPr>
                      <w:rFonts w:hint="default" w:ascii="Times New Roman" w:hAnsi="Times New Roman" w:eastAsia="宋体" w:cs="Times New Roman"/>
                      <w:color w:val="auto"/>
                      <w:highlight w:val="none"/>
                      <w:lang w:val="en-US" w:eastAsia="zh-CN"/>
                    </w:rPr>
                    <w:t>进行一般防渗；其他区域为简单防渗等</w:t>
                  </w:r>
                  <w:r>
                    <w:rPr>
                      <w:rFonts w:hint="default" w:ascii="Times New Roman" w:hAnsi="Times New Roman" w:eastAsia="宋体" w:cs="Times New Roman"/>
                      <w:color w:val="auto"/>
                      <w:sz w:val="21"/>
                      <w:szCs w:val="21"/>
                      <w:highlight w:val="none"/>
                    </w:rPr>
                    <w:t>土壤污染防控措施</w:t>
                  </w:r>
                  <w:r>
                    <w:rPr>
                      <w:rFonts w:hint="default" w:ascii="Times New Roman" w:hAnsi="Times New Roman" w:eastAsia="宋体" w:cs="Times New Roman"/>
                      <w:color w:val="auto"/>
                      <w:sz w:val="21"/>
                      <w:szCs w:val="21"/>
                      <w:highlight w:val="none"/>
                      <w:lang w:eastAsia="zh-CN"/>
                    </w:rPr>
                    <w:t>。</w:t>
                  </w:r>
                </w:p>
              </w:tc>
              <w:tc>
                <w:tcPr>
                  <w:tcW w:w="664" w:type="dxa"/>
                  <w:noWrap w:val="0"/>
                  <w:vAlign w:val="center"/>
                </w:tcPr>
                <w:p w14:paraId="5F2DB00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FC6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14:paraId="5C68100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噪声影响减缓措施</w:t>
                  </w:r>
                </w:p>
              </w:tc>
              <w:tc>
                <w:tcPr>
                  <w:tcW w:w="4277" w:type="dxa"/>
                  <w:noWrap w:val="0"/>
                  <w:vAlign w:val="center"/>
                </w:tcPr>
                <w:p w14:paraId="4A3C61F6">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①</w:t>
                  </w:r>
                  <w:r>
                    <w:rPr>
                      <w:rFonts w:hint="default" w:ascii="Times New Roman" w:hAnsi="Times New Roman" w:eastAsia="宋体" w:cs="Times New Roman"/>
                      <w:color w:val="auto"/>
                      <w:kern w:val="0"/>
                      <w:sz w:val="21"/>
                      <w:szCs w:val="21"/>
                      <w:highlight w:val="none"/>
                    </w:rPr>
                    <w:t>根据规划实施后对声环境的影响分析，本评价提出规划区应合理布局各企业位置，要将工业用地、公共设施用地等噪声污染较高的用地与住宅等需要安静的用地分隔开来，居住区应尽</w:t>
                  </w:r>
                  <w:r>
                    <w:rPr>
                      <w:rFonts w:hint="eastAsia" w:cs="Times New Roman"/>
                      <w:color w:val="auto"/>
                      <w:kern w:val="0"/>
                      <w:sz w:val="21"/>
                      <w:szCs w:val="21"/>
                      <w:highlight w:val="none"/>
                      <w:lang w:eastAsia="zh-CN"/>
                    </w:rPr>
                    <w:t>量</w:t>
                  </w:r>
                  <w:r>
                    <w:rPr>
                      <w:rFonts w:hint="default" w:ascii="Times New Roman" w:hAnsi="Times New Roman" w:eastAsia="宋体" w:cs="Times New Roman"/>
                      <w:color w:val="auto"/>
                      <w:kern w:val="0"/>
                      <w:sz w:val="21"/>
                      <w:szCs w:val="21"/>
                      <w:highlight w:val="none"/>
                    </w:rPr>
                    <w:t>离开交通干线40m以上，将仓储用地放于交通干道两侧，入园企业也要注意将生产区与办公区分离开来</w:t>
                  </w:r>
                  <w:r>
                    <w:rPr>
                      <w:rFonts w:hint="default" w:ascii="Times New Roman" w:hAnsi="Times New Roman" w:eastAsia="宋体" w:cs="Times New Roman"/>
                      <w:color w:val="auto"/>
                      <w:kern w:val="0"/>
                      <w:sz w:val="21"/>
                      <w:szCs w:val="21"/>
                      <w:highlight w:val="none"/>
                      <w:lang w:eastAsia="zh-CN"/>
                    </w:rPr>
                    <w:t>；</w:t>
                  </w:r>
                </w:p>
                <w:p w14:paraId="42CEF9B6">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②道路建设设计应预留绿化带，加强园区道路修缮工作以及交通管理；</w:t>
                  </w:r>
                </w:p>
                <w:p w14:paraId="3CB97FD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highlight w:val="none"/>
                      <w:lang w:val="en-US" w:eastAsia="zh-CN"/>
                    </w:rPr>
                    <w:t>③入园企业如果使用一些高噪声设备如风机、空压机、冷却塔、发电机等，应做好消音降噪措施，建设过程中一定要对高噪声设备实行“同时设计、同时施工、同时验收”的原则，杜绝先污染后治理的现象出现</w:t>
                  </w:r>
                  <w:r>
                    <w:rPr>
                      <w:rFonts w:hint="default" w:ascii="Times New Roman" w:hAnsi="Times New Roman" w:eastAsia="宋体" w:cs="Times New Roman"/>
                      <w:color w:val="auto"/>
                      <w:kern w:val="0"/>
                      <w:sz w:val="21"/>
                      <w:szCs w:val="21"/>
                      <w:highlight w:val="none"/>
                    </w:rPr>
                    <w:t>。</w:t>
                  </w:r>
                </w:p>
              </w:tc>
              <w:tc>
                <w:tcPr>
                  <w:tcW w:w="2287" w:type="dxa"/>
                  <w:noWrap w:val="0"/>
                  <w:vAlign w:val="center"/>
                </w:tcPr>
                <w:p w14:paraId="0F8C43D7">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所有设备均设置于厂房内部，高噪声设备安装消声、减震装置</w:t>
                  </w:r>
                  <w:r>
                    <w:rPr>
                      <w:rFonts w:hint="default" w:ascii="Times New Roman" w:hAnsi="Times New Roman" w:eastAsia="宋体" w:cs="Times New Roman"/>
                      <w:color w:val="auto"/>
                      <w:sz w:val="21"/>
                      <w:szCs w:val="21"/>
                      <w:highlight w:val="none"/>
                    </w:rPr>
                    <w:t>。根据预测结果，在采取噪声防治措施后，项目</w:t>
                  </w:r>
                  <w:r>
                    <w:rPr>
                      <w:rFonts w:hint="default" w:ascii="Times New Roman" w:hAnsi="Times New Roman" w:eastAsia="宋体" w:cs="Times New Roman"/>
                      <w:color w:val="auto"/>
                      <w:sz w:val="21"/>
                      <w:szCs w:val="21"/>
                      <w:highlight w:val="none"/>
                      <w:lang w:val="en-US" w:eastAsia="zh-CN"/>
                    </w:rPr>
                    <w:t>东厂界</w:t>
                  </w:r>
                  <w:r>
                    <w:rPr>
                      <w:rFonts w:hint="default" w:ascii="Times New Roman" w:hAnsi="Times New Roman" w:eastAsia="宋体" w:cs="Times New Roman"/>
                      <w:color w:val="auto"/>
                      <w:sz w:val="21"/>
                      <w:szCs w:val="21"/>
                      <w:highlight w:val="none"/>
                    </w:rPr>
                    <w:t>噪声</w:t>
                  </w:r>
                  <w:r>
                    <w:rPr>
                      <w:rFonts w:hint="default" w:ascii="Times New Roman" w:hAnsi="Times New Roman" w:eastAsia="宋体" w:cs="Times New Roman"/>
                      <w:color w:val="auto"/>
                      <w:sz w:val="21"/>
                      <w:szCs w:val="21"/>
                      <w:highlight w:val="none"/>
                      <w:lang w:val="en-US" w:eastAsia="zh-CN"/>
                    </w:rPr>
                    <w:t>可满足</w:t>
                  </w: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类标准，</w:t>
                  </w:r>
                  <w:r>
                    <w:rPr>
                      <w:rFonts w:hint="default" w:ascii="Times New Roman" w:hAnsi="Times New Roman" w:eastAsia="宋体" w:cs="Times New Roman"/>
                      <w:color w:val="auto"/>
                      <w:sz w:val="21"/>
                      <w:szCs w:val="21"/>
                      <w:highlight w:val="none"/>
                      <w:lang w:val="en-US" w:eastAsia="zh-CN"/>
                    </w:rPr>
                    <w:t>其余三侧（南、西、北厂界）</w:t>
                  </w:r>
                  <w:r>
                    <w:rPr>
                      <w:rFonts w:hint="default" w:ascii="Times New Roman" w:hAnsi="Times New Roman" w:eastAsia="宋体" w:cs="Times New Roman"/>
                      <w:color w:val="auto"/>
                      <w:sz w:val="21"/>
                      <w:szCs w:val="21"/>
                      <w:highlight w:val="none"/>
                    </w:rPr>
                    <w:t>噪声</w:t>
                  </w:r>
                  <w:r>
                    <w:rPr>
                      <w:rFonts w:hint="default" w:ascii="Times New Roman" w:hAnsi="Times New Roman" w:eastAsia="宋体" w:cs="Times New Roman"/>
                      <w:color w:val="auto"/>
                      <w:sz w:val="21"/>
                      <w:szCs w:val="21"/>
                      <w:highlight w:val="none"/>
                      <w:lang w:val="en-US" w:eastAsia="zh-CN"/>
                    </w:rPr>
                    <w:t>均可满足</w:t>
                  </w: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类标准要求。项目周边</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0m范围无声环境敏感目标，不会降低区域声环境质量现状。</w:t>
                  </w:r>
                </w:p>
              </w:tc>
              <w:tc>
                <w:tcPr>
                  <w:tcW w:w="664" w:type="dxa"/>
                  <w:noWrap w:val="0"/>
                  <w:vAlign w:val="center"/>
                </w:tcPr>
                <w:p w14:paraId="7FB1005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C57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14:paraId="3B51DFE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固体废物污染防治措施</w:t>
                  </w:r>
                </w:p>
              </w:tc>
              <w:tc>
                <w:tcPr>
                  <w:tcW w:w="4277" w:type="dxa"/>
                  <w:noWrap w:val="0"/>
                  <w:vAlign w:val="center"/>
                </w:tcPr>
                <w:p w14:paraId="436F630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①</w:t>
                  </w:r>
                  <w:r>
                    <w:rPr>
                      <w:rFonts w:hint="default" w:ascii="Times New Roman" w:hAnsi="Times New Roman" w:eastAsia="宋体" w:cs="Times New Roman"/>
                      <w:color w:val="auto"/>
                      <w:kern w:val="0"/>
                      <w:sz w:val="21"/>
                      <w:szCs w:val="21"/>
                      <w:highlight w:val="none"/>
                    </w:rPr>
                    <w:t>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r>
                    <w:rPr>
                      <w:rFonts w:hint="default" w:ascii="Times New Roman" w:hAnsi="Times New Roman" w:eastAsia="宋体" w:cs="Times New Roman"/>
                      <w:color w:val="auto"/>
                      <w:kern w:val="0"/>
                      <w:sz w:val="21"/>
                      <w:szCs w:val="21"/>
                      <w:highlight w:val="none"/>
                      <w:lang w:eastAsia="zh-CN"/>
                    </w:rPr>
                    <w:t>；</w:t>
                  </w:r>
                </w:p>
                <w:p w14:paraId="1D68DEF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②</w:t>
                  </w:r>
                  <w:r>
                    <w:rPr>
                      <w:rFonts w:hint="default" w:ascii="Times New Roman" w:hAnsi="Times New Roman" w:eastAsia="宋体" w:cs="Times New Roman"/>
                      <w:color w:val="auto"/>
                      <w:kern w:val="0"/>
                      <w:sz w:val="21"/>
                      <w:szCs w:val="21"/>
                      <w:highlight w:val="none"/>
                    </w:rPr>
                    <w:t>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申报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14:paraId="3972536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③</w:t>
                  </w:r>
                  <w:r>
                    <w:rPr>
                      <w:rFonts w:hint="default" w:ascii="Times New Roman" w:hAnsi="Times New Roman" w:eastAsia="宋体" w:cs="Times New Roman"/>
                      <w:color w:val="auto"/>
                      <w:kern w:val="0"/>
                      <w:sz w:val="21"/>
                      <w:szCs w:val="21"/>
                      <w:highlight w:val="none"/>
                    </w:rPr>
                    <w:t>对于危险固废，需要按《危险废物贮存污染控制标准》(GB18597</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2023)的要求进行贮存，委托危险废物中心处理</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目前不能处置的废物，应在项目内妥善贮存。</w:t>
                  </w:r>
                  <w:r>
                    <w:rPr>
                      <w:rFonts w:hint="default" w:ascii="Times New Roman" w:hAnsi="Times New Roman" w:eastAsia="宋体" w:cs="Times New Roman"/>
                      <w:color w:val="auto"/>
                      <w:kern w:val="0"/>
                      <w:sz w:val="21"/>
                      <w:szCs w:val="21"/>
                      <w:highlight w:val="none"/>
                      <w:lang w:val="en-US" w:eastAsia="zh-CN"/>
                    </w:rPr>
                    <w:t>严</w:t>
                  </w:r>
                  <w:r>
                    <w:rPr>
                      <w:rFonts w:hint="default" w:ascii="Times New Roman" w:hAnsi="Times New Roman" w:eastAsia="宋体" w:cs="Times New Roman"/>
                      <w:color w:val="auto"/>
                      <w:kern w:val="0"/>
                      <w:sz w:val="21"/>
                      <w:szCs w:val="21"/>
                      <w:highlight w:val="none"/>
                    </w:rPr>
                    <w:t>格按照《</w:t>
                  </w:r>
                  <w:r>
                    <w:rPr>
                      <w:rFonts w:hint="eastAsia" w:cs="Times New Roman"/>
                      <w:color w:val="auto"/>
                      <w:kern w:val="0"/>
                      <w:sz w:val="21"/>
                      <w:szCs w:val="21"/>
                      <w:highlight w:val="none"/>
                      <w:lang w:eastAsia="zh-CN"/>
                    </w:rPr>
                    <w:t>中华人民共和国固体废物污染环境防治法</w:t>
                  </w:r>
                  <w:r>
                    <w:rPr>
                      <w:rFonts w:hint="default" w:ascii="Times New Roman" w:hAnsi="Times New Roman" w:eastAsia="宋体" w:cs="Times New Roman"/>
                      <w:color w:val="auto"/>
                      <w:kern w:val="0"/>
                      <w:sz w:val="21"/>
                      <w:szCs w:val="21"/>
                      <w:highlight w:val="none"/>
                    </w:rPr>
                    <w:t>》对危险废物污染环境污染防治的特别规定，做好危险废物的申报登记、处置和管理。强化危险废物管理。</w:t>
                  </w:r>
                </w:p>
                <w:p w14:paraId="75927A9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④</w:t>
                  </w:r>
                  <w:r>
                    <w:rPr>
                      <w:rFonts w:hint="default" w:ascii="Times New Roman" w:hAnsi="Times New Roman" w:eastAsia="宋体" w:cs="Times New Roman"/>
                      <w:color w:val="auto"/>
                      <w:kern w:val="0"/>
                      <w:sz w:val="21"/>
                      <w:szCs w:val="21"/>
                      <w:highlight w:val="none"/>
                    </w:rPr>
                    <w:t>规划区产生的生活垃圾则委托环卫部门统一收集并运至城市生活垃圾卫生填埋场进行处置</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制定地方商品进入和消费的指导性政策，限制过度包装商品的进入，建立消费品包装物回收体系，逐步取缔一次性餐具类商品的销售和使用。鼓励净菜类产业和相关服务体系的发展，减少厨房残余垃圾产生量</w:t>
                  </w:r>
                  <w:r>
                    <w:rPr>
                      <w:rFonts w:hint="default" w:ascii="Times New Roman" w:hAnsi="Times New Roman" w:eastAsia="宋体" w:cs="Times New Roman"/>
                      <w:color w:val="auto"/>
                      <w:kern w:val="0"/>
                      <w:sz w:val="21"/>
                      <w:szCs w:val="21"/>
                      <w:highlight w:val="none"/>
                      <w:lang w:eastAsia="zh-CN"/>
                    </w:rPr>
                    <w:t>；</w:t>
                  </w:r>
                </w:p>
                <w:p w14:paraId="50ABD80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highlight w:val="none"/>
                      <w:lang w:val="en-US" w:eastAsia="zh-CN"/>
                    </w:rPr>
                    <w:t>⑤</w:t>
                  </w:r>
                  <w:r>
                    <w:rPr>
                      <w:rFonts w:hint="default" w:ascii="Times New Roman" w:hAnsi="Times New Roman" w:eastAsia="宋体" w:cs="Times New Roman"/>
                      <w:color w:val="auto"/>
                      <w:kern w:val="0"/>
                      <w:sz w:val="21"/>
                      <w:szCs w:val="21"/>
                      <w:highlight w:val="none"/>
                    </w:rPr>
                    <w:t>工程开挖土石方、建筑垃圾和施工人员生活垃圾要及时清运，以免给周围环境带来影响。</w:t>
                  </w:r>
                </w:p>
              </w:tc>
              <w:tc>
                <w:tcPr>
                  <w:tcW w:w="2287" w:type="dxa"/>
                  <w:noWrap w:val="0"/>
                  <w:vAlign w:val="center"/>
                </w:tcPr>
                <w:p w14:paraId="6AC49BE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zh-CN"/>
                    </w:rPr>
                    <w:t>固体废弃物100%处置。</w:t>
                  </w:r>
                </w:p>
              </w:tc>
              <w:tc>
                <w:tcPr>
                  <w:tcW w:w="664" w:type="dxa"/>
                  <w:noWrap w:val="0"/>
                  <w:vAlign w:val="center"/>
                </w:tcPr>
                <w:p w14:paraId="6B27CCD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3B3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14:paraId="47709ED7">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生态环境影响减缓措施</w:t>
                  </w:r>
                </w:p>
              </w:tc>
              <w:tc>
                <w:tcPr>
                  <w:tcW w:w="4277" w:type="dxa"/>
                  <w:noWrap w:val="0"/>
                  <w:vAlign w:val="center"/>
                </w:tcPr>
                <w:p w14:paraId="346DD6C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①</w:t>
                  </w:r>
                  <w:r>
                    <w:rPr>
                      <w:rFonts w:hint="default" w:ascii="Times New Roman" w:hAnsi="Times New Roman" w:eastAsia="宋体" w:cs="Times New Roman"/>
                      <w:color w:val="auto"/>
                      <w:kern w:val="0"/>
                      <w:sz w:val="21"/>
                      <w:szCs w:val="21"/>
                      <w:highlight w:val="none"/>
                    </w:rPr>
                    <w:t>强化规划区内项目建设施工期生态保护</w:t>
                  </w:r>
                  <w:r>
                    <w:rPr>
                      <w:rFonts w:hint="default" w:ascii="Times New Roman" w:hAnsi="Times New Roman" w:eastAsia="宋体" w:cs="Times New Roman"/>
                      <w:color w:val="auto"/>
                      <w:kern w:val="0"/>
                      <w:sz w:val="21"/>
                      <w:szCs w:val="21"/>
                      <w:highlight w:val="none"/>
                      <w:lang w:eastAsia="zh-CN"/>
                    </w:rPr>
                    <w:t>；</w:t>
                  </w:r>
                </w:p>
                <w:p w14:paraId="7C5CCEC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②</w:t>
                  </w:r>
                  <w:r>
                    <w:rPr>
                      <w:rFonts w:hint="default" w:ascii="Times New Roman" w:hAnsi="Times New Roman" w:eastAsia="宋体" w:cs="Times New Roman"/>
                      <w:color w:val="auto"/>
                      <w:kern w:val="0"/>
                      <w:sz w:val="21"/>
                      <w:szCs w:val="21"/>
                      <w:highlight w:val="none"/>
                    </w:rPr>
                    <w:t>优先进行生态</w:t>
                  </w:r>
                  <w:r>
                    <w:rPr>
                      <w:rFonts w:hint="eastAsia" w:cs="Times New Roman"/>
                      <w:color w:val="auto"/>
                      <w:kern w:val="0"/>
                      <w:sz w:val="21"/>
                      <w:szCs w:val="21"/>
                      <w:highlight w:val="none"/>
                      <w:lang w:eastAsia="zh-CN"/>
                    </w:rPr>
                    <w:t>基础设施</w:t>
                  </w:r>
                  <w:r>
                    <w:rPr>
                      <w:rFonts w:hint="default" w:ascii="Times New Roman" w:hAnsi="Times New Roman" w:eastAsia="宋体" w:cs="Times New Roman"/>
                      <w:color w:val="auto"/>
                      <w:kern w:val="0"/>
                      <w:sz w:val="21"/>
                      <w:szCs w:val="21"/>
                      <w:highlight w:val="none"/>
                    </w:rPr>
                    <w:t>建设</w:t>
                  </w:r>
                  <w:r>
                    <w:rPr>
                      <w:rFonts w:hint="default" w:ascii="Times New Roman" w:hAnsi="Times New Roman" w:eastAsia="宋体" w:cs="Times New Roman"/>
                      <w:color w:val="auto"/>
                      <w:kern w:val="0"/>
                      <w:sz w:val="21"/>
                      <w:szCs w:val="21"/>
                      <w:highlight w:val="none"/>
                      <w:lang w:eastAsia="zh-CN"/>
                    </w:rPr>
                    <w:t>；</w:t>
                  </w:r>
                </w:p>
                <w:p w14:paraId="4B20137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③</w:t>
                  </w:r>
                  <w:r>
                    <w:rPr>
                      <w:rFonts w:hint="default" w:ascii="Times New Roman" w:hAnsi="Times New Roman" w:eastAsia="宋体" w:cs="Times New Roman"/>
                      <w:color w:val="auto"/>
                      <w:kern w:val="0"/>
                      <w:sz w:val="21"/>
                      <w:szCs w:val="21"/>
                      <w:highlight w:val="none"/>
                    </w:rPr>
                    <w:t>建立长效而稳定的生态保护和生态建设机制</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强化城乡建设、土地利用、环境保护、文物保护、林地保护、综合交通</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水资源、文化旅游、社会事业等各类规划的衔接，确保产业园区的保护空间</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开发边界、建设规模等重要参数一致</w:t>
                  </w:r>
                  <w:r>
                    <w:rPr>
                      <w:rFonts w:hint="default" w:ascii="Times New Roman" w:hAnsi="Times New Roman" w:eastAsia="宋体" w:cs="Times New Roman"/>
                      <w:color w:val="auto"/>
                      <w:kern w:val="0"/>
                      <w:sz w:val="21"/>
                      <w:szCs w:val="21"/>
                      <w:highlight w:val="none"/>
                      <w:lang w:eastAsia="zh-CN"/>
                    </w:rPr>
                    <w:t>；</w:t>
                  </w:r>
                </w:p>
                <w:p w14:paraId="0D03E3E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④</w:t>
                  </w:r>
                  <w:r>
                    <w:rPr>
                      <w:rFonts w:hint="default" w:ascii="Times New Roman" w:hAnsi="Times New Roman" w:eastAsia="宋体" w:cs="Times New Roman"/>
                      <w:color w:val="auto"/>
                      <w:kern w:val="0"/>
                      <w:sz w:val="21"/>
                      <w:szCs w:val="21"/>
                      <w:highlight w:val="none"/>
                    </w:rPr>
                    <w:t>注重生态环境保护的管理和宣传教育</w:t>
                  </w:r>
                  <w:r>
                    <w:rPr>
                      <w:rFonts w:hint="default" w:ascii="Times New Roman" w:hAnsi="Times New Roman" w:eastAsia="宋体" w:cs="Times New Roman"/>
                      <w:color w:val="auto"/>
                      <w:kern w:val="0"/>
                      <w:sz w:val="21"/>
                      <w:szCs w:val="21"/>
                      <w:highlight w:val="none"/>
                      <w:lang w:eastAsia="zh-CN"/>
                    </w:rPr>
                    <w:t>；</w:t>
                  </w:r>
                </w:p>
                <w:p w14:paraId="363D4D6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⑤</w:t>
                  </w:r>
                  <w:r>
                    <w:rPr>
                      <w:rFonts w:hint="default" w:ascii="Times New Roman" w:hAnsi="Times New Roman" w:eastAsia="宋体" w:cs="Times New Roman"/>
                      <w:color w:val="auto"/>
                      <w:kern w:val="0"/>
                      <w:sz w:val="21"/>
                      <w:szCs w:val="21"/>
                      <w:highlight w:val="none"/>
                    </w:rPr>
                    <w:t>规划实施建设活动时应尽量避开耕地、林地，尽量选择在灌草丛、荒地等植被较差或未开发利用的区域，以减少对植被的破坏</w:t>
                  </w:r>
                  <w:r>
                    <w:rPr>
                      <w:rFonts w:hint="default" w:ascii="Times New Roman" w:hAnsi="Times New Roman" w:eastAsia="宋体" w:cs="Times New Roman"/>
                      <w:color w:val="auto"/>
                      <w:kern w:val="0"/>
                      <w:sz w:val="21"/>
                      <w:szCs w:val="21"/>
                      <w:highlight w:val="none"/>
                      <w:lang w:eastAsia="zh-CN"/>
                    </w:rPr>
                    <w:t>，</w:t>
                  </w:r>
                </w:p>
                <w:p w14:paraId="2831A71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⑥</w:t>
                  </w:r>
                  <w:r>
                    <w:rPr>
                      <w:rFonts w:hint="default" w:ascii="Times New Roman" w:hAnsi="Times New Roman" w:eastAsia="宋体" w:cs="Times New Roman"/>
                      <w:color w:val="auto"/>
                      <w:kern w:val="0"/>
                      <w:sz w:val="21"/>
                      <w:szCs w:val="21"/>
                      <w:highlight w:val="none"/>
                    </w:rPr>
                    <w:t>在保证质量的情况下尽量缩短工期，从而尽量减少对占地范围环境的扰动</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施工结束后，对施工现场进行迹地清理，尽早开展植被恢复和复垦，植被的恢复必须按照当地的实际情况，针对不同的土壤条件、气候条件以及坡度、海拔等条件进行乔灌草的合理配置，建立起植被与生境水分条件相符合的群落生态关系，优先选用乡土物种进行植被恢复，禁止引入外来入侵物种。</w:t>
                  </w:r>
                </w:p>
                <w:p w14:paraId="79EFABD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highlight w:val="none"/>
                      <w:lang w:val="en-US" w:eastAsia="zh-CN"/>
                    </w:rPr>
                    <w:t>⑦</w:t>
                  </w:r>
                  <w:r>
                    <w:rPr>
                      <w:rFonts w:hint="default" w:ascii="Times New Roman" w:hAnsi="Times New Roman" w:eastAsia="宋体" w:cs="Times New Roman"/>
                      <w:color w:val="auto"/>
                      <w:kern w:val="0"/>
                      <w:sz w:val="21"/>
                      <w:szCs w:val="21"/>
                      <w:highlight w:val="none"/>
                    </w:rPr>
                    <w:t>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方等，某些关键节点采取临时围挡进行封闭施工。</w:t>
                  </w:r>
                </w:p>
              </w:tc>
              <w:tc>
                <w:tcPr>
                  <w:tcW w:w="2287" w:type="dxa"/>
                  <w:noWrap w:val="0"/>
                  <w:vAlign w:val="center"/>
                </w:tcPr>
                <w:p w14:paraId="6982321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项目厂区内设置了一定面积的绿化。</w:t>
                  </w:r>
                </w:p>
              </w:tc>
              <w:tc>
                <w:tcPr>
                  <w:tcW w:w="664" w:type="dxa"/>
                  <w:noWrap w:val="0"/>
                  <w:vAlign w:val="center"/>
                </w:tcPr>
                <w:p w14:paraId="6291B2E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FB4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14:paraId="7D04C77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事故及风险防范措施</w:t>
                  </w:r>
                </w:p>
              </w:tc>
              <w:tc>
                <w:tcPr>
                  <w:tcW w:w="4277" w:type="dxa"/>
                  <w:noWrap w:val="0"/>
                  <w:vAlign w:val="center"/>
                </w:tcPr>
                <w:p w14:paraId="1E7B9EBF">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①</w:t>
                  </w:r>
                  <w:r>
                    <w:rPr>
                      <w:rFonts w:hint="default" w:ascii="Times New Roman" w:hAnsi="Times New Roman" w:eastAsia="宋体" w:cs="Times New Roman"/>
                      <w:color w:val="auto"/>
                      <w:kern w:val="0"/>
                      <w:sz w:val="21"/>
                      <w:szCs w:val="21"/>
                      <w:highlight w:val="none"/>
                    </w:rPr>
                    <w:t>园区管委会应建立完善的安全、环保管理体制。</w:t>
                  </w:r>
                </w:p>
                <w:p w14:paraId="3D6AF316">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②</w:t>
                  </w:r>
                  <w:r>
                    <w:rPr>
                      <w:rFonts w:hint="default" w:ascii="Times New Roman" w:hAnsi="Times New Roman" w:eastAsia="宋体" w:cs="Times New Roman"/>
                      <w:color w:val="auto"/>
                      <w:kern w:val="0"/>
                      <w:sz w:val="21"/>
                      <w:szCs w:val="21"/>
                      <w:highlight w:val="none"/>
                    </w:rPr>
                    <w:t>加强园区内企业的环境监督管理。</w:t>
                  </w:r>
                </w:p>
                <w:p w14:paraId="0DA34D96">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③</w:t>
                  </w:r>
                  <w:r>
                    <w:rPr>
                      <w:rFonts w:hint="default" w:ascii="Times New Roman" w:hAnsi="Times New Roman" w:eastAsia="宋体" w:cs="Times New Roman"/>
                      <w:color w:val="auto"/>
                      <w:kern w:val="0"/>
                      <w:sz w:val="21"/>
                      <w:szCs w:val="21"/>
                      <w:highlight w:val="none"/>
                    </w:rPr>
                    <w:t>规划实施过程中，园区管委会和环保部门对进驻园区企业进行风险排查，掌握园区企业危险化学品使用、贮存和生产情况。</w:t>
                  </w:r>
                </w:p>
                <w:p w14:paraId="3D41BDEE">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④</w:t>
                  </w:r>
                  <w:r>
                    <w:rPr>
                      <w:rFonts w:hint="default" w:ascii="Times New Roman" w:hAnsi="Times New Roman" w:eastAsia="宋体" w:cs="Times New Roman"/>
                      <w:color w:val="auto"/>
                      <w:kern w:val="0"/>
                      <w:sz w:val="21"/>
                      <w:szCs w:val="21"/>
                      <w:highlight w:val="none"/>
                    </w:rPr>
                    <w:t>企业进驻园区时，根据进驻企业的生产规模、产品方案、工艺流程以及危险化学品使用、贮存和生产情况，对进驻企业按照HJ/T169-2018《建设项目环境风险评价技术导则》的要求进行环境风险评价，提出各项目的环境风险防范措施和应急预案，确定各项目的安全防护距离。</w:t>
                  </w:r>
                </w:p>
                <w:p w14:paraId="42C75717">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⑤</w:t>
                  </w:r>
                  <w:r>
                    <w:rPr>
                      <w:rFonts w:hint="default" w:ascii="Times New Roman" w:hAnsi="Times New Roman" w:eastAsia="宋体" w:cs="Times New Roman"/>
                      <w:color w:val="auto"/>
                      <w:kern w:val="0"/>
                      <w:sz w:val="21"/>
                      <w:szCs w:val="21"/>
                      <w:highlight w:val="none"/>
                    </w:rPr>
                    <w:t>根据进驻项目可能发生的风险事故和清消废水产生量，对存在环境风险的项目，在进行设计施工时，设置清消废水收集池，清消废水经收集处理达标后才能外排。</w:t>
                  </w:r>
                </w:p>
                <w:p w14:paraId="61C30534">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⑥</w:t>
                  </w:r>
                  <w:r>
                    <w:rPr>
                      <w:rFonts w:hint="default" w:ascii="Times New Roman" w:hAnsi="Times New Roman" w:eastAsia="宋体" w:cs="Times New Roman"/>
                      <w:color w:val="auto"/>
                      <w:kern w:val="0"/>
                      <w:sz w:val="21"/>
                      <w:szCs w:val="21"/>
                      <w:highlight w:val="none"/>
                    </w:rPr>
                    <w:t>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p w14:paraId="6D118DB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highlight w:val="none"/>
                      <w:lang w:val="en-US" w:eastAsia="zh-CN"/>
                    </w:rPr>
                    <w:t>⑦</w:t>
                  </w:r>
                  <w:r>
                    <w:rPr>
                      <w:rFonts w:hint="default" w:ascii="Times New Roman" w:hAnsi="Times New Roman" w:eastAsia="宋体" w:cs="Times New Roman"/>
                      <w:color w:val="auto"/>
                      <w:kern w:val="0"/>
                      <w:sz w:val="21"/>
                      <w:szCs w:val="21"/>
                      <w:highlight w:val="none"/>
                    </w:rPr>
                    <w:t>园区周围环境目标众多，环境敏感程度较高，限制根据HJ/T169-2018《建设项目环境风险评价技术导则》判定的极高危害企业(P1)入驻</w:t>
                  </w:r>
                  <w:r>
                    <w:rPr>
                      <w:rFonts w:hint="default" w:ascii="Times New Roman" w:hAnsi="Times New Roman" w:eastAsia="宋体" w:cs="Times New Roman"/>
                      <w:color w:val="auto"/>
                      <w:kern w:val="0"/>
                      <w:sz w:val="21"/>
                      <w:szCs w:val="21"/>
                      <w:highlight w:val="none"/>
                      <w:lang w:val="en-US" w:eastAsia="zh-CN"/>
                    </w:rPr>
                    <w:t>。</w:t>
                  </w:r>
                </w:p>
              </w:tc>
              <w:tc>
                <w:tcPr>
                  <w:tcW w:w="2287" w:type="dxa"/>
                  <w:noWrap w:val="0"/>
                  <w:vAlign w:val="center"/>
                </w:tcPr>
                <w:p w14:paraId="67813D8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本项目建设完成后按照要求编制突发环境事件应急预案，并报当地环保部门备案。</w:t>
                  </w:r>
                </w:p>
              </w:tc>
              <w:tc>
                <w:tcPr>
                  <w:tcW w:w="664" w:type="dxa"/>
                  <w:noWrap w:val="0"/>
                  <w:vAlign w:val="center"/>
                </w:tcPr>
                <w:p w14:paraId="1B58513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64C16A76">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zh-CN"/>
              </w:rPr>
              <w:t>符合《云南寻甸产业园区总体规划修编（2021-2035）环境影响报告书》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中的</w:t>
            </w:r>
            <w:r>
              <w:rPr>
                <w:rFonts w:hint="default" w:ascii="Times New Roman" w:hAnsi="Times New Roman" w:eastAsia="宋体" w:cs="Times New Roman"/>
                <w:color w:val="auto"/>
                <w:sz w:val="24"/>
                <w:szCs w:val="24"/>
                <w:highlight w:val="none"/>
                <w:lang w:val="zh-CN"/>
              </w:rPr>
              <w:t>环境影响减缓措施相关要求。</w:t>
            </w:r>
          </w:p>
          <w:p w14:paraId="4A596EE9">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）园区准入负面清单</w:t>
            </w:r>
            <w:r>
              <w:rPr>
                <w:rFonts w:hint="default" w:ascii="Times New Roman" w:hAnsi="Times New Roman" w:eastAsia="宋体" w:cs="Times New Roman"/>
                <w:b/>
                <w:bCs/>
                <w:color w:val="auto"/>
                <w:sz w:val="24"/>
                <w:szCs w:val="24"/>
                <w:highlight w:val="none"/>
                <w:lang w:val="en-US" w:eastAsia="zh-CN"/>
              </w:rPr>
              <w:t>符合性分析</w:t>
            </w:r>
          </w:p>
          <w:p w14:paraId="4E450C4A">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根据《云南寻甸产业园区总体规划修编（2021-2035）环境影响报告书》，园区</w:t>
            </w:r>
            <w:r>
              <w:rPr>
                <w:rFonts w:hint="default" w:ascii="Times New Roman" w:hAnsi="Times New Roman" w:eastAsia="宋体" w:cs="Times New Roman"/>
                <w:color w:val="auto"/>
                <w:sz w:val="24"/>
                <w:szCs w:val="24"/>
                <w:highlight w:val="none"/>
                <w:lang w:val="en-US" w:eastAsia="zh-CN"/>
              </w:rPr>
              <w:t>环境</w:t>
            </w:r>
            <w:r>
              <w:rPr>
                <w:rFonts w:hint="default" w:ascii="Times New Roman" w:hAnsi="Times New Roman" w:eastAsia="宋体" w:cs="Times New Roman"/>
                <w:color w:val="auto"/>
                <w:sz w:val="24"/>
                <w:szCs w:val="24"/>
                <w:highlight w:val="none"/>
                <w:lang w:val="zh-CN"/>
              </w:rPr>
              <w:t>准入负面清单及对照情况如下：</w:t>
            </w:r>
          </w:p>
          <w:p w14:paraId="5EC89E7E">
            <w:pPr>
              <w:keepNext w:val="0"/>
              <w:keepLines w:val="0"/>
              <w:pageBreakBefore w:val="0"/>
              <w:widowControl/>
              <w:shd w:val="clear"/>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表1-3   本项目与规划区环境准入条件负面清单对照情况表</w:t>
            </w:r>
          </w:p>
          <w:tbl>
            <w:tblPr>
              <w:tblStyle w:val="27"/>
              <w:tblW w:w="7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
              <w:gridCol w:w="641"/>
              <w:gridCol w:w="3222"/>
              <w:gridCol w:w="3225"/>
              <w:gridCol w:w="463"/>
            </w:tblGrid>
            <w:tr w14:paraId="089E0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4" w:type="dxa"/>
                  <w:gridSpan w:val="3"/>
                  <w:vAlign w:val="center"/>
                </w:tcPr>
                <w:p w14:paraId="3FB388A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限制和禁止引进的项目和行业</w:t>
                  </w:r>
                </w:p>
              </w:tc>
              <w:tc>
                <w:tcPr>
                  <w:tcW w:w="3225" w:type="dxa"/>
                  <w:vAlign w:val="center"/>
                </w:tcPr>
                <w:p w14:paraId="55E454E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63" w:type="dxa"/>
                  <w:vAlign w:val="center"/>
                </w:tcPr>
                <w:p w14:paraId="7EE1583B">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3A07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restart"/>
                  <w:vAlign w:val="center"/>
                </w:tcPr>
                <w:p w14:paraId="34E04458">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总体要求</w:t>
                  </w:r>
                </w:p>
              </w:tc>
              <w:tc>
                <w:tcPr>
                  <w:tcW w:w="641" w:type="dxa"/>
                  <w:vAlign w:val="center"/>
                </w:tcPr>
                <w:p w14:paraId="273C1895">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禁入行业</w:t>
                  </w:r>
                </w:p>
              </w:tc>
              <w:tc>
                <w:tcPr>
                  <w:tcW w:w="3222" w:type="dxa"/>
                  <w:vAlign w:val="center"/>
                </w:tcPr>
                <w:p w14:paraId="7BBA93A7">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（1）《产业结构调整指导目录（201</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w:t>
                  </w:r>
                  <w:r>
                    <w:rPr>
                      <w:rFonts w:hint="eastAsia"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）》（或更新）中禁止、限制类的行业。</w:t>
                  </w:r>
                </w:p>
                <w:p w14:paraId="571E409C">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》（或更新）中</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禁止类。</w:t>
                  </w:r>
                </w:p>
                <w:p w14:paraId="75156B90">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（3）严禁不符合要求的高风险高污染行业入驻。</w:t>
                  </w:r>
                </w:p>
                <w:p w14:paraId="76202CBA">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（4）禁止引入其他不在园区产业定位、不符合园区环保要求项目，如造纸制浆、印染、染料、制革、炼焦、炼硫、炼砷、炼油、有色金属等项目。</w:t>
                  </w:r>
                </w:p>
                <w:p w14:paraId="09F8B755">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（5）污水成分复杂或废水、废液按现有技术无法妥善处置的产业。</w:t>
                  </w:r>
                </w:p>
                <w:p w14:paraId="4ABA5A32">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（6）物耗、能耗相对较高，产生的大气污染类型复杂、环境风险较大的产业、项目或工艺；且产生的大气污染物无法自身治理或妥善处置或处理成本较高的产生。</w:t>
                  </w:r>
                </w:p>
                <w:p w14:paraId="36920D75">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（7）不能严格按“三同时”要求建厂的企业，无法满足卫生防护距离、大气环境防护距离的企业。</w:t>
                  </w:r>
                </w:p>
                <w:p w14:paraId="40419064">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（8）与《云南省牛栏江保护条例》存在冲突的项目。</w:t>
                  </w:r>
                </w:p>
                <w:p w14:paraId="61B4D8E5">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（9）《长江经济带发展负面清单指南（试行，2022 年版）》和《云南省推动长江经济带发展负面清单指南实施细则（试行，2022 年版）》中的禁止项目。</w:t>
                  </w:r>
                </w:p>
                <w:p w14:paraId="00DE5903">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14:paraId="37809BBE">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（11）未来入驻企业禁止在园区内新建永久性工业固废处置场。</w:t>
                  </w:r>
                </w:p>
                <w:p w14:paraId="1838C344">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p w14:paraId="3DF9CA5F">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（13）禁止入园企业开采地下水作为生产、生活用水。</w:t>
                  </w:r>
                </w:p>
              </w:tc>
              <w:tc>
                <w:tcPr>
                  <w:tcW w:w="3225" w:type="dxa"/>
                  <w:vAlign w:val="center"/>
                </w:tcPr>
                <w:p w14:paraId="10E7D35E">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本项目属于</w:t>
                  </w:r>
                  <w:r>
                    <w:rPr>
                      <w:rFonts w:hint="eastAsia" w:ascii="Times New Roman" w:hAnsi="Times New Roman" w:eastAsia="宋体" w:cs="Times New Roman"/>
                      <w:color w:val="auto"/>
                      <w:sz w:val="21"/>
                      <w:szCs w:val="21"/>
                      <w:highlight w:val="none"/>
                      <w:lang w:val="en-US" w:eastAsia="zh-CN"/>
                    </w:rPr>
                    <w:t>其他煤炭加工</w:t>
                  </w:r>
                  <w:r>
                    <w:rPr>
                      <w:rFonts w:hint="eastAsia" w:ascii="Times New Roman" w:hAnsi="Times New Roman" w:eastAsia="宋体" w:cs="Times New Roman"/>
                      <w:color w:val="auto"/>
                      <w:sz w:val="21"/>
                      <w:szCs w:val="21"/>
                      <w:highlight w:val="none"/>
                      <w:lang w:eastAsia="zh-CN"/>
                    </w:rPr>
                    <w:t>项</w:t>
                  </w:r>
                  <w:r>
                    <w:rPr>
                      <w:rFonts w:hint="eastAsia" w:cs="Times New Roman"/>
                      <w:color w:val="auto"/>
                      <w:sz w:val="21"/>
                      <w:szCs w:val="21"/>
                      <w:highlight w:val="none"/>
                      <w:lang w:eastAsia="zh-CN"/>
                    </w:rPr>
                    <w:t>目</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根据《产业结构调整指导目录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项目不属于限制类和淘汰类项目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为允许类</w:t>
                  </w:r>
                  <w:r>
                    <w:rPr>
                      <w:rFonts w:hint="default" w:ascii="Times New Roman" w:hAnsi="Times New Roman" w:eastAsia="宋体" w:cs="Times New Roman"/>
                      <w:color w:val="auto"/>
                      <w:sz w:val="21"/>
                      <w:szCs w:val="21"/>
                      <w:highlight w:val="none"/>
                    </w:rPr>
                    <w:t>；</w:t>
                  </w:r>
                </w:p>
                <w:p w14:paraId="14F91E79">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》中禁止类项目；</w:t>
                  </w:r>
                </w:p>
                <w:p w14:paraId="716EFC66">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本项目不属于高风险高污染</w:t>
                  </w:r>
                  <w:r>
                    <w:rPr>
                      <w:rFonts w:hint="default" w:ascii="Times New Roman" w:hAnsi="Times New Roman" w:eastAsia="宋体" w:cs="Times New Roman"/>
                      <w:color w:val="auto"/>
                      <w:sz w:val="21"/>
                      <w:szCs w:val="21"/>
                      <w:highlight w:val="none"/>
                      <w:lang w:val="en-US" w:eastAsia="zh-CN"/>
                    </w:rPr>
                    <w:t>类行业；</w:t>
                  </w:r>
                </w:p>
                <w:p w14:paraId="0B2FEA52">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（4）项目</w:t>
                  </w:r>
                  <w:r>
                    <w:rPr>
                      <w:rFonts w:hint="default" w:ascii="Times New Roman" w:hAnsi="Times New Roman" w:eastAsia="宋体" w:cs="Times New Roman"/>
                      <w:color w:val="auto"/>
                      <w:sz w:val="21"/>
                      <w:szCs w:val="21"/>
                      <w:highlight w:val="none"/>
                    </w:rPr>
                    <w:t>不属于造纸制浆、印染、染料、制革、炼焦、炼硫、炼砷、炼油、有色金属等其他不在园区产业定位、不符合园区环保要求项目；</w:t>
                  </w:r>
                </w:p>
                <w:p w14:paraId="4A58146E">
                  <w:pPr>
                    <w:widowControl/>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w:t>
                  </w:r>
                  <w:r>
                    <w:rPr>
                      <w:rFonts w:hint="eastAsia" w:cs="Times New Roman"/>
                      <w:color w:val="auto"/>
                      <w:kern w:val="0"/>
                      <w:sz w:val="21"/>
                      <w:szCs w:val="21"/>
                      <w:highlight w:val="none"/>
                      <w:lang w:val="en-US" w:eastAsia="zh-CN"/>
                    </w:rPr>
                    <w:t>设备冷却废水</w:t>
                  </w:r>
                  <w:r>
                    <w:rPr>
                      <w:rFonts w:hint="default" w:cs="Times New Roman"/>
                      <w:color w:val="auto"/>
                      <w:kern w:val="0"/>
                      <w:sz w:val="21"/>
                      <w:szCs w:val="21"/>
                      <w:highlight w:val="none"/>
                      <w:lang w:val="en-US" w:eastAsia="zh-CN"/>
                    </w:rPr>
                    <w:t>经循环冷却池冷却后循环使用不外排；</w:t>
                  </w:r>
                  <w:r>
                    <w:rPr>
                      <w:rFonts w:hint="eastAsia" w:cs="Times New Roman"/>
                      <w:color w:val="auto"/>
                      <w:kern w:val="0"/>
                      <w:sz w:val="21"/>
                      <w:szCs w:val="21"/>
                      <w:highlight w:val="none"/>
                      <w:lang w:val="en-US" w:eastAsia="zh-CN"/>
                    </w:rPr>
                    <w:t>化验后的容器清洗废水通过投加絮凝剂、加入酸碱中和剂等方式对废水进行沉淀、中和等简易处理，处理后的废水排入厂内拟建的污水处理站统一处置；吸收氨气的清水浓度大于10%时直接作为脱硝使用</w:t>
                  </w:r>
                </w:p>
                <w:p w14:paraId="4DD1023B">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val="en-US" w:eastAsia="zh-CN"/>
                    </w:rPr>
                    <w:t>喷入炉膛内，不外排</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运营期</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废水不属于污水成分复杂或废水、废液按现有技术无法</w:t>
                  </w:r>
                  <w:r>
                    <w:rPr>
                      <w:rFonts w:hint="eastAsia" w:cs="Times New Roman"/>
                      <w:color w:val="auto"/>
                      <w:sz w:val="21"/>
                      <w:szCs w:val="21"/>
                      <w:highlight w:val="none"/>
                      <w:lang w:eastAsia="zh-CN"/>
                    </w:rPr>
                    <w:t>完善</w:t>
                  </w:r>
                  <w:r>
                    <w:rPr>
                      <w:rFonts w:hint="default" w:ascii="Times New Roman" w:hAnsi="Times New Roman" w:eastAsia="宋体" w:cs="Times New Roman"/>
                      <w:color w:val="auto"/>
                      <w:sz w:val="21"/>
                      <w:szCs w:val="21"/>
                      <w:highlight w:val="none"/>
                    </w:rPr>
                    <w:t>处置的产业；</w:t>
                  </w:r>
                </w:p>
                <w:p w14:paraId="46F5F721">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本项目物耗、能耗相对较低，产生的大气污染类型主要为</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lang w:val="en-US" w:eastAsia="zh-CN"/>
                    </w:rPr>
                    <w:t>X</w:t>
                  </w:r>
                  <w:r>
                    <w:rPr>
                      <w:rFonts w:hint="eastAsia" w:cs="Times New Roman"/>
                      <w:color w:val="auto"/>
                      <w:sz w:val="21"/>
                      <w:szCs w:val="21"/>
                      <w:highlight w:val="none"/>
                      <w:lang w:val="en-US" w:eastAsia="zh-CN"/>
                    </w:rPr>
                    <w:t>、氨</w:t>
                  </w:r>
                  <w:r>
                    <w:rPr>
                      <w:rFonts w:hint="default" w:ascii="Times New Roman" w:hAnsi="Times New Roman" w:eastAsia="宋体"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rPr>
                    <w:t>，大气污染物</w:t>
                  </w:r>
                  <w:r>
                    <w:rPr>
                      <w:rFonts w:hint="default" w:ascii="Times New Roman" w:hAnsi="Times New Roman" w:eastAsia="宋体" w:cs="Times New Roman"/>
                      <w:color w:val="auto"/>
                      <w:sz w:val="21"/>
                      <w:szCs w:val="21"/>
                      <w:highlight w:val="none"/>
                      <w:lang w:val="en-US" w:eastAsia="zh-CN"/>
                    </w:rPr>
                    <w:t>经采取措施治理后</w:t>
                  </w:r>
                  <w:r>
                    <w:rPr>
                      <w:rFonts w:hint="default" w:ascii="Times New Roman" w:hAnsi="Times New Roman" w:eastAsia="宋体" w:cs="Times New Roman"/>
                      <w:color w:val="auto"/>
                      <w:sz w:val="21"/>
                      <w:szCs w:val="21"/>
                      <w:highlight w:val="none"/>
                    </w:rPr>
                    <w:t>达标排放，处理成本一般；环境风险</w:t>
                  </w:r>
                  <w:r>
                    <w:rPr>
                      <w:rFonts w:hint="eastAsia" w:cs="Times New Roman"/>
                      <w:color w:val="auto"/>
                      <w:sz w:val="21"/>
                      <w:szCs w:val="21"/>
                      <w:highlight w:val="none"/>
                      <w:lang w:eastAsia="zh-CN"/>
                    </w:rPr>
                    <w:t>等级为三级</w:t>
                  </w:r>
                  <w:r>
                    <w:rPr>
                      <w:rFonts w:hint="default" w:ascii="Times New Roman" w:hAnsi="Times New Roman" w:eastAsia="宋体" w:cs="Times New Roman"/>
                      <w:color w:val="auto"/>
                      <w:sz w:val="21"/>
                      <w:szCs w:val="21"/>
                      <w:highlight w:val="none"/>
                      <w:lang w:eastAsia="zh-CN"/>
                    </w:rPr>
                    <w:t>；</w:t>
                  </w:r>
                </w:p>
                <w:p w14:paraId="3220D6B9">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项目，能严格按“三同时”要求</w:t>
                  </w:r>
                  <w:r>
                    <w:rPr>
                      <w:rFonts w:hint="default" w:ascii="Times New Roman" w:hAnsi="Times New Roman" w:eastAsia="宋体" w:cs="Times New Roman"/>
                      <w:color w:val="auto"/>
                      <w:sz w:val="21"/>
                      <w:szCs w:val="21"/>
                      <w:highlight w:val="none"/>
                      <w:lang w:val="en-US" w:eastAsia="zh-CN"/>
                    </w:rPr>
                    <w:t>进行建设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本项目不设置</w:t>
                  </w:r>
                  <w:r>
                    <w:rPr>
                      <w:rFonts w:hint="default" w:ascii="Times New Roman" w:hAnsi="Times New Roman" w:eastAsia="宋体" w:cs="Times New Roman"/>
                      <w:color w:val="auto"/>
                      <w:sz w:val="21"/>
                      <w:szCs w:val="21"/>
                      <w:highlight w:val="none"/>
                    </w:rPr>
                    <w:t>卫生防护距离</w:t>
                  </w:r>
                  <w:r>
                    <w:rPr>
                      <w:rFonts w:hint="default" w:ascii="Times New Roman" w:hAnsi="Times New Roman" w:eastAsia="宋体"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大气环境防护距离；</w:t>
                  </w:r>
                </w:p>
                <w:p w14:paraId="27EFFAB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项目与《云南省牛栏江保护条例》不冲突；</w:t>
                  </w:r>
                </w:p>
                <w:p w14:paraId="53BF0C05">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本项目不属于《长江经济带发展负面清单指南（试行，2022年版）》和《云南省推动长江经济带发展负面清单指南实施细则（试行，2022 年版）》中的禁止项目</w:t>
                  </w:r>
                  <w:r>
                    <w:rPr>
                      <w:rFonts w:hint="default" w:ascii="Times New Roman" w:hAnsi="Times New Roman" w:eastAsia="宋体" w:cs="Times New Roman"/>
                      <w:color w:val="auto"/>
                      <w:sz w:val="21"/>
                      <w:szCs w:val="21"/>
                      <w:highlight w:val="none"/>
                      <w:lang w:eastAsia="zh-CN"/>
                    </w:rPr>
                    <w:t>；</w:t>
                  </w:r>
                </w:p>
                <w:p w14:paraId="68D1494E">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本项目不属于单位产品能耗、物耗、污染物产生量和排放量等清洁生产指标达不到国内先进水平的产业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；资源综合利用率低、产生废物量大，且按近期技术水平不能综合利用的行业；高耗水且排放污水、废液按现有技术经济无法治理或妥善处置的产业</w:t>
                  </w:r>
                  <w:r>
                    <w:rPr>
                      <w:rFonts w:hint="default" w:ascii="Times New Roman" w:hAnsi="Times New Roman" w:eastAsia="宋体" w:cs="Times New Roman"/>
                      <w:color w:val="auto"/>
                      <w:sz w:val="21"/>
                      <w:szCs w:val="21"/>
                      <w:highlight w:val="none"/>
                      <w:lang w:eastAsia="zh-CN"/>
                    </w:rPr>
                    <w:t>；</w:t>
                  </w:r>
                </w:p>
                <w:p w14:paraId="63CEE45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highlight w:val="none"/>
                    </w:rPr>
                    <w:t>新建永久性工业固废处置场</w:t>
                  </w:r>
                  <w:r>
                    <w:rPr>
                      <w:rFonts w:hint="default" w:ascii="Times New Roman" w:hAnsi="Times New Roman" w:eastAsia="宋体" w:cs="Times New Roman"/>
                      <w:color w:val="auto"/>
                      <w:sz w:val="21"/>
                      <w:szCs w:val="21"/>
                      <w:highlight w:val="none"/>
                      <w:lang w:eastAsia="zh-CN"/>
                    </w:rPr>
                    <w:t>；</w:t>
                  </w:r>
                </w:p>
                <w:p w14:paraId="3E9D5A61">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highlight w:val="none"/>
                    </w:rPr>
                    <w:t>物耗、水耗和能耗相对较高</w:t>
                  </w:r>
                  <w:r>
                    <w:rPr>
                      <w:rFonts w:hint="default" w:ascii="Times New Roman" w:hAnsi="Times New Roman" w:eastAsia="宋体" w:cs="Times New Roman"/>
                      <w:color w:val="auto"/>
                      <w:sz w:val="21"/>
                      <w:szCs w:val="21"/>
                      <w:highlight w:val="none"/>
                      <w:lang w:val="en-US" w:eastAsia="zh-CN"/>
                    </w:rPr>
                    <w:t>的生产企业；</w:t>
                  </w:r>
                </w:p>
                <w:p w14:paraId="1210C176">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（13）本项目用水为市政管网供给，不进行地下水的开采。</w:t>
                  </w:r>
                </w:p>
              </w:tc>
              <w:tc>
                <w:tcPr>
                  <w:tcW w:w="463" w:type="dxa"/>
                  <w:vAlign w:val="center"/>
                </w:tcPr>
                <w:p w14:paraId="7706C6F4">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D64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21" w:type="dxa"/>
                  <w:vMerge w:val="continue"/>
                  <w:vAlign w:val="center"/>
                </w:tcPr>
                <w:p w14:paraId="40411657">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14:paraId="3FA71023">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禁入工艺</w:t>
                  </w:r>
                </w:p>
              </w:tc>
              <w:tc>
                <w:tcPr>
                  <w:tcW w:w="3222" w:type="dxa"/>
                  <w:vAlign w:val="center"/>
                </w:tcPr>
                <w:p w14:paraId="56578704">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《产业结构调整指导目录（201</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年本）》（或更新）中淘汰、落后的生产工艺</w:t>
                  </w:r>
                  <w:r>
                    <w:rPr>
                      <w:rFonts w:hint="default" w:ascii="Times New Roman" w:hAnsi="Times New Roman" w:eastAsia="宋体" w:cs="Times New Roman"/>
                      <w:color w:val="auto"/>
                      <w:sz w:val="21"/>
                      <w:szCs w:val="21"/>
                      <w:highlight w:val="none"/>
                      <w:lang w:eastAsia="zh-CN"/>
                    </w:rPr>
                    <w:t>。</w:t>
                  </w:r>
                </w:p>
                <w:p w14:paraId="3FF5882B">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》（或更新）的生产工艺</w:t>
                  </w:r>
                  <w:r>
                    <w:rPr>
                      <w:rFonts w:hint="default" w:ascii="Times New Roman" w:hAnsi="Times New Roman" w:eastAsia="宋体" w:cs="Times New Roman"/>
                      <w:color w:val="auto"/>
                      <w:sz w:val="21"/>
                      <w:szCs w:val="21"/>
                      <w:highlight w:val="none"/>
                      <w:lang w:eastAsia="zh-CN"/>
                    </w:rPr>
                    <w:t>。</w:t>
                  </w:r>
                </w:p>
              </w:tc>
              <w:tc>
                <w:tcPr>
                  <w:tcW w:w="3225" w:type="dxa"/>
                  <w:vAlign w:val="center"/>
                </w:tcPr>
                <w:p w14:paraId="49CBDD99">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经查阅《产业结构调整指导目录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》，本项目所用工艺不属于该目录中淘汰、落后的生产工艺；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》的生产工艺</w:t>
                  </w:r>
                  <w:r>
                    <w:rPr>
                      <w:rFonts w:hint="default" w:ascii="Times New Roman" w:hAnsi="Times New Roman" w:eastAsia="宋体" w:cs="Times New Roman"/>
                      <w:color w:val="auto"/>
                      <w:sz w:val="21"/>
                      <w:szCs w:val="21"/>
                      <w:highlight w:val="none"/>
                      <w:lang w:eastAsia="zh-CN"/>
                    </w:rPr>
                    <w:t>。</w:t>
                  </w:r>
                </w:p>
              </w:tc>
              <w:tc>
                <w:tcPr>
                  <w:tcW w:w="463" w:type="dxa"/>
                  <w:vAlign w:val="center"/>
                </w:tcPr>
                <w:p w14:paraId="020A5CD1">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1B6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14:paraId="544A00B8">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14:paraId="7B804087">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禁入产品</w:t>
                  </w:r>
                </w:p>
              </w:tc>
              <w:tc>
                <w:tcPr>
                  <w:tcW w:w="3222" w:type="dxa"/>
                  <w:vAlign w:val="center"/>
                </w:tcPr>
                <w:p w14:paraId="3B424775">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》（或更新）的产品</w:t>
                  </w:r>
                  <w:r>
                    <w:rPr>
                      <w:rFonts w:hint="default" w:ascii="Times New Roman" w:hAnsi="Times New Roman" w:eastAsia="宋体" w:cs="Times New Roman"/>
                      <w:color w:val="auto"/>
                      <w:sz w:val="21"/>
                      <w:szCs w:val="21"/>
                      <w:highlight w:val="none"/>
                      <w:lang w:eastAsia="zh-CN"/>
                    </w:rPr>
                    <w:t>。</w:t>
                  </w:r>
                </w:p>
              </w:tc>
              <w:tc>
                <w:tcPr>
                  <w:tcW w:w="3225" w:type="dxa"/>
                  <w:vAlign w:val="center"/>
                </w:tcPr>
                <w:p w14:paraId="5C5A7CD5">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本项目产品不属于《部分工业行业淘汰落后生产工艺装备和产品指导目录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》的产品。</w:t>
                  </w:r>
                </w:p>
              </w:tc>
              <w:tc>
                <w:tcPr>
                  <w:tcW w:w="463" w:type="dxa"/>
                  <w:vAlign w:val="center"/>
                </w:tcPr>
                <w:p w14:paraId="206FE64F">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838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14:paraId="21C762E1">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14:paraId="1443ACE3">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w:t>
                  </w:r>
                </w:p>
              </w:tc>
              <w:tc>
                <w:tcPr>
                  <w:tcW w:w="3222" w:type="dxa"/>
                  <w:vAlign w:val="center"/>
                </w:tcPr>
                <w:p w14:paraId="08096E84">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清洁生产水平低于国家清洁生产标准的国内先进水平。</w:t>
                  </w:r>
                </w:p>
              </w:tc>
              <w:tc>
                <w:tcPr>
                  <w:tcW w:w="3225" w:type="dxa"/>
                  <w:vAlign w:val="center"/>
                </w:tcPr>
                <w:p w14:paraId="03CC6AF9">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本项目清洁生产水平不低于国家清洁生产标准的国内先进水平。</w:t>
                  </w:r>
                </w:p>
              </w:tc>
              <w:tc>
                <w:tcPr>
                  <w:tcW w:w="463" w:type="dxa"/>
                  <w:vAlign w:val="center"/>
                </w:tcPr>
                <w:p w14:paraId="492EC242">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A0C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14:paraId="00BAEFE8">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14:paraId="64558C2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限制禁入</w:t>
                  </w:r>
                </w:p>
              </w:tc>
              <w:tc>
                <w:tcPr>
                  <w:tcW w:w="3222" w:type="dxa"/>
                  <w:vAlign w:val="center"/>
                </w:tcPr>
                <w:p w14:paraId="7EDB11D6">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（1）严格限制引进《产业结构调整指导目录（2019 年本）》（或更新）中所列的限制类项目。</w:t>
                  </w:r>
                </w:p>
                <w:p w14:paraId="776A4482">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（2）《外商投资产业指导目录（2017 年修订）》（或更新）中所列的限制类项目。</w:t>
                  </w:r>
                </w:p>
                <w:p w14:paraId="368C6D65">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（3）严格限制引进涉及《中国严格限制进出口的有毒化学品目录（2020年本）》（或更新）中所列有毒化学品的项目。</w:t>
                  </w:r>
                </w:p>
              </w:tc>
              <w:tc>
                <w:tcPr>
                  <w:tcW w:w="3225" w:type="dxa"/>
                  <w:vAlign w:val="center"/>
                </w:tcPr>
                <w:p w14:paraId="387BD0DB">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p>
                <w:p w14:paraId="717F0CE7">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不涉及《中国严格限制进出口的有毒化学品目录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》中所列有毒化学品</w:t>
                  </w:r>
                  <w:r>
                    <w:rPr>
                      <w:rFonts w:hint="default" w:ascii="Times New Roman" w:hAnsi="Times New Roman" w:eastAsia="宋体" w:cs="Times New Roman"/>
                      <w:color w:val="auto"/>
                      <w:sz w:val="21"/>
                      <w:szCs w:val="21"/>
                      <w:highlight w:val="none"/>
                      <w:lang w:eastAsia="zh-CN"/>
                    </w:rPr>
                    <w:t>。</w:t>
                  </w:r>
                </w:p>
              </w:tc>
              <w:tc>
                <w:tcPr>
                  <w:tcW w:w="463" w:type="dxa"/>
                  <w:vAlign w:val="center"/>
                </w:tcPr>
                <w:p w14:paraId="686E3B81">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186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restart"/>
                  <w:vAlign w:val="center"/>
                </w:tcPr>
                <w:p w14:paraId="20AE997A">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规划产业要求</w:t>
                  </w:r>
                </w:p>
              </w:tc>
              <w:tc>
                <w:tcPr>
                  <w:tcW w:w="641" w:type="dxa"/>
                  <w:vAlign w:val="center"/>
                </w:tcPr>
                <w:p w14:paraId="43BA4C30">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现状产业区</w:t>
                  </w:r>
                </w:p>
              </w:tc>
              <w:tc>
                <w:tcPr>
                  <w:tcW w:w="3222" w:type="dxa"/>
                  <w:vAlign w:val="center"/>
                </w:tcPr>
                <w:p w14:paraId="57ED9FCF">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允许现有煤磷盐化工及配套产业进行环保提升改造。</w:t>
                  </w:r>
                </w:p>
              </w:tc>
              <w:tc>
                <w:tcPr>
                  <w:tcW w:w="3225" w:type="dxa"/>
                  <w:vAlign w:val="center"/>
                </w:tcPr>
                <w:p w14:paraId="29EAE02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项目，不涉及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3" w:type="dxa"/>
                  <w:vAlign w:val="center"/>
                </w:tcPr>
                <w:p w14:paraId="4611627C">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DE4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14:paraId="5D3C861F">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14:paraId="22EFFB35">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绿色建材产业</w:t>
                  </w:r>
                </w:p>
              </w:tc>
              <w:tc>
                <w:tcPr>
                  <w:tcW w:w="3222" w:type="dxa"/>
                  <w:vMerge w:val="restart"/>
                  <w:vAlign w:val="center"/>
                </w:tcPr>
                <w:p w14:paraId="4FE2ECE9">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禁止生产废水不能循环回用，且向牛栏江流域排放生产废水的企业入驻。</w:t>
                  </w:r>
                </w:p>
              </w:tc>
              <w:tc>
                <w:tcPr>
                  <w:tcW w:w="3225" w:type="dxa"/>
                  <w:vMerge w:val="restart"/>
                  <w:vAlign w:val="center"/>
                </w:tcPr>
                <w:p w14:paraId="3D0A60F1">
                  <w:pPr>
                    <w:widowControl/>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w:t>
                  </w:r>
                  <w:r>
                    <w:rPr>
                      <w:rFonts w:hint="eastAsia" w:cs="Times New Roman"/>
                      <w:color w:val="auto"/>
                      <w:kern w:val="0"/>
                      <w:sz w:val="21"/>
                      <w:szCs w:val="21"/>
                      <w:highlight w:val="none"/>
                      <w:lang w:val="en-US" w:eastAsia="zh-CN"/>
                    </w:rPr>
                    <w:t>设备冷却废水</w:t>
                  </w:r>
                  <w:r>
                    <w:rPr>
                      <w:rFonts w:hint="default" w:cs="Times New Roman"/>
                      <w:color w:val="auto"/>
                      <w:kern w:val="0"/>
                      <w:sz w:val="21"/>
                      <w:szCs w:val="21"/>
                      <w:highlight w:val="none"/>
                      <w:lang w:val="en-US" w:eastAsia="zh-CN"/>
                    </w:rPr>
                    <w:t>经循环冷却池冷却后循环使用不外排；</w:t>
                  </w:r>
                  <w:r>
                    <w:rPr>
                      <w:rFonts w:hint="eastAsia" w:cs="Times New Roman"/>
                      <w:color w:val="auto"/>
                      <w:kern w:val="0"/>
                      <w:sz w:val="21"/>
                      <w:szCs w:val="21"/>
                      <w:highlight w:val="none"/>
                      <w:lang w:val="en-US" w:eastAsia="zh-CN"/>
                    </w:rPr>
                    <w:t>化验后的容器清洗废水通过投加絮凝剂、加入酸碱中和剂等方式对废水进行沉淀、中和等简易处理，处理后的废水排入厂内拟建的污水处理站统一处置；吸收氨气的清水浓度大于10%时直接作为脱硝使用喷入</w:t>
                  </w:r>
                </w:p>
                <w:p w14:paraId="058640F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val="en-US" w:eastAsia="zh-CN"/>
                    </w:rPr>
                    <w:t>炉膛内，不外排；</w:t>
                  </w:r>
                  <w:r>
                    <w:rPr>
                      <w:rFonts w:hint="default" w:ascii="Times New Roman" w:hAnsi="Times New Roman" w:eastAsia="宋体" w:cs="Times New Roman"/>
                      <w:color w:val="auto"/>
                      <w:sz w:val="21"/>
                      <w:szCs w:val="21"/>
                      <w:highlight w:val="none"/>
                      <w:lang w:eastAsia="zh-CN"/>
                    </w:rPr>
                    <w:t>生活污水处理达标后，</w:t>
                  </w:r>
                  <w:r>
                    <w:rPr>
                      <w:rFonts w:hint="default" w:ascii="Times New Roman" w:hAnsi="Times New Roman" w:eastAsia="宋体" w:cs="Times New Roman"/>
                      <w:b w:val="0"/>
                      <w:bCs w:val="0"/>
                      <w:color w:val="auto"/>
                      <w:sz w:val="21"/>
                      <w:szCs w:val="21"/>
                      <w:highlight w:val="none"/>
                      <w:lang w:val="en-US" w:eastAsia="zh-CN"/>
                    </w:rPr>
                    <w:t>用于项目区内绿化及道路场地洒水降尘，不外排</w:t>
                  </w:r>
                  <w:r>
                    <w:rPr>
                      <w:rFonts w:hint="eastAsia" w:cs="Times New Roman"/>
                      <w:b w:val="0"/>
                      <w:bCs w:val="0"/>
                      <w:color w:val="auto"/>
                      <w:sz w:val="21"/>
                      <w:szCs w:val="21"/>
                      <w:highlight w:val="none"/>
                      <w:lang w:val="en-US" w:eastAsia="zh-CN"/>
                    </w:rPr>
                    <w:t>。</w:t>
                  </w:r>
                </w:p>
              </w:tc>
              <w:tc>
                <w:tcPr>
                  <w:tcW w:w="463" w:type="dxa"/>
                  <w:vMerge w:val="restart"/>
                  <w:vAlign w:val="center"/>
                </w:tcPr>
                <w:p w14:paraId="62AA99A1">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101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14:paraId="691A626F">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14:paraId="290D512F">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先进装备制造产业</w:t>
                  </w:r>
                </w:p>
              </w:tc>
              <w:tc>
                <w:tcPr>
                  <w:tcW w:w="3222" w:type="dxa"/>
                  <w:vMerge w:val="continue"/>
                  <w:vAlign w:val="center"/>
                </w:tcPr>
                <w:p w14:paraId="13A38B34">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p>
              </w:tc>
              <w:tc>
                <w:tcPr>
                  <w:tcW w:w="3225" w:type="dxa"/>
                  <w:vMerge w:val="continue"/>
                  <w:vAlign w:val="center"/>
                </w:tcPr>
                <w:p w14:paraId="2F2F35E8">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463" w:type="dxa"/>
                  <w:vMerge w:val="continue"/>
                  <w:vAlign w:val="center"/>
                </w:tcPr>
                <w:p w14:paraId="49F8AA7F">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r>
            <w:tr w14:paraId="0D7E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14:paraId="6E1B1F14">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14:paraId="6F268109">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非烟轻工产业</w:t>
                  </w:r>
                </w:p>
              </w:tc>
              <w:tc>
                <w:tcPr>
                  <w:tcW w:w="3222" w:type="dxa"/>
                  <w:vAlign w:val="center"/>
                </w:tcPr>
                <w:p w14:paraId="63FC13ED">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①木材加工及家具制造业：禁止含有制胶工艺的企业入驻。</w:t>
                  </w:r>
                </w:p>
                <w:p w14:paraId="60DE4FFC">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②食品业：要求规上企业工业用水重复利用率＞65%。</w:t>
                  </w:r>
                </w:p>
              </w:tc>
              <w:tc>
                <w:tcPr>
                  <w:tcW w:w="3225" w:type="dxa"/>
                  <w:vAlign w:val="center"/>
                </w:tcPr>
                <w:p w14:paraId="38AA15C9">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①本项目不属于含有制胶工艺的木材加工及家具制造。</w:t>
                  </w:r>
                </w:p>
                <w:p w14:paraId="42548E08">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②本项目不属于食品业。</w:t>
                  </w:r>
                </w:p>
              </w:tc>
              <w:tc>
                <w:tcPr>
                  <w:tcW w:w="463" w:type="dxa"/>
                  <w:vAlign w:val="center"/>
                </w:tcPr>
                <w:p w14:paraId="28105F7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D2F2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14:paraId="030EE7A5">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14:paraId="34CC0B0F">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绿色化工</w:t>
                  </w:r>
                </w:p>
              </w:tc>
              <w:tc>
                <w:tcPr>
                  <w:tcW w:w="3222" w:type="dxa"/>
                  <w:vAlign w:val="center"/>
                </w:tcPr>
                <w:p w14:paraId="78941AEA">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①园区规划在金所片区天生桥组团设置化工园区，建议园区尽快按化工园区的设立要求设立化工园区，并申请省级业务主管部门进行认定。</w:t>
                  </w:r>
                </w:p>
                <w:p w14:paraId="77CEC7C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②金所片区金所组团禁止新建、改建、扩建化工生产线项目。</w:t>
                  </w:r>
                </w:p>
              </w:tc>
              <w:tc>
                <w:tcPr>
                  <w:tcW w:w="3225" w:type="dxa"/>
                  <w:vAlign w:val="center"/>
                </w:tcPr>
                <w:p w14:paraId="7B11FC63">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w:t>
                  </w:r>
                  <w:r>
                    <w:rPr>
                      <w:rFonts w:hint="default" w:ascii="Times New Roman" w:hAnsi="Times New Roman" w:eastAsia="宋体" w:cs="Times New Roman"/>
                      <w:color w:val="auto"/>
                      <w:sz w:val="21"/>
                      <w:szCs w:val="21"/>
                      <w:highlight w:val="none"/>
                      <w:u w:val="none"/>
                      <w:lang w:val="en-US" w:eastAsia="zh-CN"/>
                    </w:rPr>
                    <w:t>云南寻甸产业园区金所片区金所组团内，不属于化工生产线项目。</w:t>
                  </w:r>
                </w:p>
              </w:tc>
              <w:tc>
                <w:tcPr>
                  <w:tcW w:w="463" w:type="dxa"/>
                  <w:vAlign w:val="center"/>
                </w:tcPr>
                <w:p w14:paraId="4DF9959F">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ACA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14:paraId="64AD9F6F">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14:paraId="435BA086">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生物医药</w:t>
                  </w:r>
                </w:p>
              </w:tc>
              <w:tc>
                <w:tcPr>
                  <w:tcW w:w="3222" w:type="dxa"/>
                  <w:vAlign w:val="center"/>
                </w:tcPr>
                <w:p w14:paraId="0711472C">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满足《云南省“十四五”生物医药产业创新发展规划要求》。</w:t>
                  </w:r>
                </w:p>
              </w:tc>
              <w:tc>
                <w:tcPr>
                  <w:tcW w:w="3225" w:type="dxa"/>
                  <w:vAlign w:val="center"/>
                </w:tcPr>
                <w:p w14:paraId="480938F1">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本项目不属于生物医疗项目，</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3" w:type="dxa"/>
                  <w:vAlign w:val="center"/>
                </w:tcPr>
                <w:p w14:paraId="64A79FAF">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00176463">
            <w:pPr>
              <w:pStyle w:val="76"/>
              <w:shd w:val="clear"/>
              <w:jc w:val="left"/>
              <w:rPr>
                <w:rFonts w:hint="eastAsia"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根据上表分析</w:t>
            </w:r>
            <w:r>
              <w:rPr>
                <w:rFonts w:hint="default" w:ascii="Times New Roman" w:hAnsi="Times New Roman" w:eastAsia="宋体" w:cs="Times New Roman"/>
                <w:color w:val="auto"/>
                <w:sz w:val="24"/>
                <w:szCs w:val="24"/>
                <w:highlight w:val="none"/>
              </w:rPr>
              <w:t>，本项目不属于园区</w:t>
            </w:r>
            <w:r>
              <w:rPr>
                <w:rFonts w:hint="default" w:ascii="Times New Roman" w:hAnsi="Times New Roman" w:eastAsia="宋体" w:cs="Times New Roman"/>
                <w:color w:val="auto"/>
                <w:sz w:val="24"/>
                <w:szCs w:val="24"/>
                <w:highlight w:val="none"/>
                <w:lang w:val="en-US" w:eastAsia="zh-CN"/>
              </w:rPr>
              <w:t>环境准入</w:t>
            </w:r>
            <w:r>
              <w:rPr>
                <w:rFonts w:hint="default" w:ascii="Times New Roman" w:hAnsi="Times New Roman" w:eastAsia="宋体" w:cs="Times New Roman"/>
                <w:color w:val="auto"/>
                <w:sz w:val="24"/>
                <w:szCs w:val="24"/>
                <w:highlight w:val="none"/>
              </w:rPr>
              <w:t>负面清单规定的范围内，符合环境准入负面清单要求</w:t>
            </w:r>
            <w:r>
              <w:rPr>
                <w:rFonts w:hint="eastAsia" w:cs="Times New Roman"/>
                <w:color w:val="auto"/>
                <w:sz w:val="24"/>
                <w:szCs w:val="24"/>
                <w:highlight w:val="none"/>
                <w:lang w:eastAsia="zh-CN"/>
              </w:rPr>
              <w:t>。</w:t>
            </w:r>
          </w:p>
          <w:p w14:paraId="210514BF">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（3）本项目与规划环评审查意见（昆环审[2023]5号）的符合性分析</w:t>
            </w:r>
          </w:p>
          <w:p w14:paraId="07924BA6">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项目与规划环评审查意见</w:t>
            </w:r>
            <w:r>
              <w:rPr>
                <w:rFonts w:hint="default" w:ascii="Times New Roman" w:hAnsi="Times New Roman" w:eastAsia="宋体" w:cs="Times New Roman"/>
                <w:color w:val="auto"/>
                <w:sz w:val="24"/>
                <w:szCs w:val="24"/>
                <w:highlight w:val="none"/>
                <w:lang w:val="zh-CN"/>
              </w:rPr>
              <w:t>对照情况如下：</w:t>
            </w:r>
          </w:p>
          <w:p w14:paraId="7C1F719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表1-4  与审查意见相符性分析</w:t>
            </w:r>
          </w:p>
          <w:tbl>
            <w:tblPr>
              <w:tblStyle w:val="27"/>
              <w:tblW w:w="7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0"/>
              <w:gridCol w:w="3138"/>
              <w:gridCol w:w="726"/>
            </w:tblGrid>
            <w:tr w14:paraId="43A1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14:paraId="60CBF62F">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审查意见提出要求</w:t>
                  </w:r>
                </w:p>
              </w:tc>
              <w:tc>
                <w:tcPr>
                  <w:tcW w:w="3138" w:type="dxa"/>
                  <w:vAlign w:val="center"/>
                </w:tcPr>
                <w:p w14:paraId="5B01501C">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726" w:type="dxa"/>
                  <w:vAlign w:val="center"/>
                </w:tcPr>
                <w:p w14:paraId="4B767253">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14:paraId="37FC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14:paraId="67FA99A4">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14:paraId="7C537C77">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w:t>
                  </w:r>
                  <w:r>
                    <w:rPr>
                      <w:rFonts w:hint="default" w:ascii="Times New Roman" w:hAnsi="Times New Roman" w:eastAsia="宋体" w:cs="Times New Roman"/>
                      <w:color w:val="auto"/>
                      <w:sz w:val="21"/>
                      <w:szCs w:val="21"/>
                      <w:highlight w:val="none"/>
                      <w:lang w:val="en-US" w:eastAsia="zh-CN"/>
                    </w:rPr>
                    <w:t>目标。</w:t>
                  </w:r>
                </w:p>
                <w:p w14:paraId="61CF033C">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14:paraId="64F1245F">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将土壤污染防治工作纳入园区规划及相关生态环境保护规划，采取有效预防措施，防止、减少土壤污染，确保满足土壤环境管控要求。</w:t>
                  </w:r>
                </w:p>
              </w:tc>
              <w:tc>
                <w:tcPr>
                  <w:tcW w:w="3138" w:type="dxa"/>
                  <w:vAlign w:val="center"/>
                </w:tcPr>
                <w:p w14:paraId="651CE1DE">
                  <w:pPr>
                    <w:widowControl/>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w:t>
                  </w:r>
                  <w:r>
                    <w:rPr>
                      <w:rFonts w:hint="eastAsia" w:cs="Times New Roman"/>
                      <w:color w:val="auto"/>
                      <w:kern w:val="0"/>
                      <w:sz w:val="21"/>
                      <w:szCs w:val="21"/>
                      <w:highlight w:val="none"/>
                      <w:lang w:val="en-US" w:eastAsia="zh-CN"/>
                    </w:rPr>
                    <w:t>设备冷却废水</w:t>
                  </w:r>
                  <w:r>
                    <w:rPr>
                      <w:rFonts w:hint="default" w:cs="Times New Roman"/>
                      <w:color w:val="auto"/>
                      <w:kern w:val="0"/>
                      <w:sz w:val="21"/>
                      <w:szCs w:val="21"/>
                      <w:highlight w:val="none"/>
                      <w:lang w:val="en-US" w:eastAsia="zh-CN"/>
                    </w:rPr>
                    <w:t>经循环冷却池冷却后循环使用不外排；</w:t>
                  </w:r>
                  <w:r>
                    <w:rPr>
                      <w:rFonts w:hint="eastAsia" w:cs="Times New Roman"/>
                      <w:color w:val="auto"/>
                      <w:kern w:val="0"/>
                      <w:sz w:val="21"/>
                      <w:szCs w:val="21"/>
                      <w:highlight w:val="none"/>
                      <w:lang w:val="en-US" w:eastAsia="zh-CN"/>
                    </w:rPr>
                    <w:t>化验后的容器清洗废水通过投加絮凝剂、加入酸碱中和剂等方式对废水进行沉淀、中和等简易处理，处理后的废水排入厂内拟建的污水处理站统一处置；吸收氨气的清水浓度大于10%时直接作为脱硝使用喷入</w:t>
                  </w:r>
                </w:p>
                <w:p w14:paraId="4F671347">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rPr>
                    <w:t>炉膛内，不外排；</w:t>
                  </w:r>
                  <w:r>
                    <w:rPr>
                      <w:rFonts w:hint="default" w:ascii="Times New Roman" w:hAnsi="Times New Roman" w:eastAsia="宋体" w:cs="Times New Roman"/>
                      <w:color w:val="auto"/>
                      <w:sz w:val="21"/>
                      <w:szCs w:val="21"/>
                      <w:highlight w:val="none"/>
                      <w:lang w:eastAsia="zh-CN"/>
                    </w:rPr>
                    <w:t>生活污水处理达标后，</w:t>
                  </w:r>
                  <w:r>
                    <w:rPr>
                      <w:rFonts w:hint="default" w:ascii="Times New Roman" w:hAnsi="Times New Roman" w:eastAsia="宋体" w:cs="Times New Roman"/>
                      <w:b w:val="0"/>
                      <w:bCs w:val="0"/>
                      <w:color w:val="auto"/>
                      <w:sz w:val="21"/>
                      <w:szCs w:val="21"/>
                      <w:highlight w:val="none"/>
                      <w:lang w:val="en-US" w:eastAsia="zh-CN"/>
                    </w:rPr>
                    <w:t>用于项目区内绿化及道路场地洒水降尘，不外排</w:t>
                  </w:r>
                  <w:r>
                    <w:rPr>
                      <w:rFonts w:hint="default" w:ascii="Times New Roman" w:hAnsi="Times New Roman" w:eastAsia="宋体" w:cs="Times New Roman"/>
                      <w:color w:val="auto"/>
                      <w:sz w:val="21"/>
                      <w:szCs w:val="21"/>
                      <w:highlight w:val="none"/>
                      <w:lang w:eastAsia="zh-CN"/>
                    </w:rPr>
                    <w:t>；</w:t>
                  </w:r>
                  <w:r>
                    <w:rPr>
                      <w:rFonts w:hint="eastAsia" w:cs="Times New Roman"/>
                      <w:color w:val="auto"/>
                      <w:szCs w:val="21"/>
                      <w:highlight w:val="none"/>
                      <w:lang w:eastAsia="zh-CN"/>
                    </w:rPr>
                    <w:t>卸料扬</w:t>
                  </w:r>
                  <w:r>
                    <w:rPr>
                      <w:rFonts w:hint="default" w:ascii="Times New Roman" w:hAnsi="Times New Roman" w:eastAsia="宋体" w:cs="Times New Roman"/>
                      <w:color w:val="auto"/>
                      <w:szCs w:val="21"/>
                      <w:highlight w:val="none"/>
                    </w:rPr>
                    <w:t>尘</w:t>
                  </w:r>
                  <w:r>
                    <w:rPr>
                      <w:rFonts w:hint="default" w:ascii="Times New Roman" w:hAnsi="Times New Roman" w:eastAsia="宋体" w:cs="Times New Roman"/>
                      <w:color w:val="auto"/>
                      <w:sz w:val="21"/>
                      <w:szCs w:val="21"/>
                      <w:highlight w:val="none"/>
                      <w:lang w:val="en-US"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1套集气罩+收尘风管+布袋除尘器”处理后将通</w:t>
                  </w:r>
                </w:p>
                <w:p w14:paraId="0CFF15A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过15.5m高排气筒排放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破碎粉尘</w:t>
                  </w:r>
                  <w:r>
                    <w:rPr>
                      <w:rFonts w:hint="default" w:ascii="Times New Roman" w:hAnsi="Times New Roman" w:eastAsia="宋体" w:cs="Times New Roman"/>
                      <w:color w:val="auto"/>
                      <w:sz w:val="21"/>
                      <w:szCs w:val="21"/>
                      <w:highlight w:val="none"/>
                      <w:lang w:val="en-US"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1套集气罩+收尘风管+布袋除尘器”处理后将通过15.5m高排气筒排放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kern w:val="2"/>
                      <w:sz w:val="21"/>
                      <w:szCs w:val="21"/>
                      <w:highlight w:val="none"/>
                      <w:lang w:val="en-US" w:eastAsia="zh-CN" w:bidi="ar-SA"/>
                    </w:rPr>
                    <w:t>原料</w:t>
                  </w:r>
                  <w:r>
                    <w:rPr>
                      <w:rFonts w:hint="eastAsia" w:ascii="Times New Roman" w:hAnsi="Times New Roman" w:eastAsia="宋体" w:cs="Times New Roman"/>
                      <w:color w:val="auto"/>
                      <w:kern w:val="2"/>
                      <w:sz w:val="21"/>
                      <w:szCs w:val="21"/>
                      <w:highlight w:val="none"/>
                      <w:lang w:val="en-US" w:eastAsia="zh-CN" w:bidi="ar-SA"/>
                    </w:rPr>
                    <w:t>转载</w:t>
                  </w:r>
                  <w:r>
                    <w:rPr>
                      <w:rFonts w:hint="eastAsia" w:cs="Times New Roman"/>
                      <w:color w:val="auto"/>
                      <w:kern w:val="2"/>
                      <w:sz w:val="21"/>
                      <w:szCs w:val="21"/>
                      <w:highlight w:val="none"/>
                      <w:lang w:val="en-US" w:eastAsia="zh-CN" w:bidi="ar-SA"/>
                    </w:rPr>
                    <w:t>点</w:t>
                  </w:r>
                  <w:r>
                    <w:rPr>
                      <w:rFonts w:hint="eastAsia" w:ascii="Times New Roman" w:hAnsi="Times New Roman" w:eastAsia="宋体" w:cs="Times New Roman"/>
                      <w:color w:val="auto"/>
                      <w:kern w:val="2"/>
                      <w:sz w:val="21"/>
                      <w:szCs w:val="21"/>
                      <w:highlight w:val="none"/>
                      <w:lang w:val="en-US" w:eastAsia="zh-CN" w:bidi="ar-SA"/>
                    </w:rPr>
                    <w:t>落料粉尘</w:t>
                  </w:r>
                  <w:r>
                    <w:rPr>
                      <w:rFonts w:hint="default" w:ascii="Times New Roman" w:hAnsi="Times New Roman" w:eastAsia="宋体" w:cs="Times New Roman"/>
                      <w:color w:val="auto"/>
                      <w:sz w:val="21"/>
                      <w:szCs w:val="21"/>
                      <w:highlight w:val="none"/>
                      <w:lang w:val="en-US"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1套集气罩+收尘风管+布袋除尘器”处理后将通过15.5m高排气筒排放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kern w:val="2"/>
                      <w:sz w:val="21"/>
                      <w:szCs w:val="21"/>
                      <w:highlight w:val="none"/>
                      <w:lang w:val="en-US" w:eastAsia="zh-CN" w:bidi="ar-SA"/>
                    </w:rPr>
                    <w:t>喂煤仓</w:t>
                  </w:r>
                  <w:r>
                    <w:rPr>
                      <w:rFonts w:hint="eastAsia" w:ascii="Times New Roman" w:hAnsi="Times New Roman" w:eastAsia="宋体" w:cs="Times New Roman"/>
                      <w:color w:val="auto"/>
                      <w:kern w:val="2"/>
                      <w:sz w:val="21"/>
                      <w:szCs w:val="21"/>
                      <w:highlight w:val="none"/>
                      <w:lang w:val="en-US" w:eastAsia="zh-CN" w:bidi="ar-SA"/>
                    </w:rPr>
                    <w:t>粉尘</w:t>
                  </w:r>
                  <w:r>
                    <w:rPr>
                      <w:rFonts w:hint="eastAsia" w:cs="Times New Roman"/>
                      <w:color w:val="auto"/>
                      <w:sz w:val="21"/>
                      <w:szCs w:val="21"/>
                      <w:highlight w:val="none"/>
                      <w:lang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处理后将通过36m高排气筒排放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DA004</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烘干废气收集进入</w:t>
                  </w:r>
                  <w:r>
                    <w:rPr>
                      <w:rFonts w:hint="default" w:ascii="Times New Roman" w:hAnsi="Times New Roman" w:eastAsia="宋体" w:cs="Times New Roman"/>
                      <w:color w:val="auto"/>
                      <w:sz w:val="21"/>
                      <w:szCs w:val="21"/>
                      <w:highlight w:val="none"/>
                    </w:rPr>
                    <w:t>“</w:t>
                  </w:r>
                  <w:r>
                    <w:rPr>
                      <w:rFonts w:hint="eastAsia"/>
                      <w:color w:val="auto"/>
                      <w:sz w:val="21"/>
                      <w:szCs w:val="21"/>
                      <w:highlight w:val="none"/>
                    </w:rPr>
                    <w:t>炉内喷钙脱硫</w:t>
                  </w:r>
                  <w:r>
                    <w:rPr>
                      <w:rFonts w:hint="eastAsia"/>
                      <w:color w:val="auto"/>
                      <w:sz w:val="21"/>
                      <w:szCs w:val="21"/>
                      <w:highlight w:val="none"/>
                      <w:lang w:eastAsia="zh-CN"/>
                    </w:rPr>
                    <w:t>（</w:t>
                  </w:r>
                  <w:r>
                    <w:rPr>
                      <w:rFonts w:hint="eastAsia"/>
                      <w:color w:val="auto"/>
                      <w:sz w:val="21"/>
                      <w:szCs w:val="21"/>
                      <w:highlight w:val="none"/>
                    </w:rPr>
                    <w:t>结合尾部烟气的增湿活化脱硫效应</w:t>
                  </w:r>
                  <w:r>
                    <w:rPr>
                      <w:rFonts w:hint="eastAsia"/>
                      <w:color w:val="auto"/>
                      <w:sz w:val="21"/>
                      <w:szCs w:val="21"/>
                      <w:highlight w:val="none"/>
                      <w:lang w:eastAsia="zh-CN"/>
                    </w:rPr>
                    <w:t>）</w:t>
                  </w:r>
                  <w:r>
                    <w:rPr>
                      <w:rFonts w:hint="eastAsia"/>
                      <w:color w:val="auto"/>
                      <w:sz w:val="21"/>
                      <w:szCs w:val="21"/>
                      <w:highlight w:val="none"/>
                      <w:lang w:val="en-US" w:eastAsia="zh-CN"/>
                    </w:rPr>
                    <w:t>+分级燃烧+</w:t>
                  </w:r>
                  <w:r>
                    <w:rPr>
                      <w:rFonts w:hint="eastAsia"/>
                      <w:color w:val="auto"/>
                      <w:sz w:val="21"/>
                      <w:szCs w:val="21"/>
                      <w:highlight w:val="none"/>
                    </w:rPr>
                    <w:t>SNCR</w:t>
                  </w:r>
                  <w:r>
                    <w:rPr>
                      <w:rFonts w:hint="eastAsia"/>
                      <w:color w:val="auto"/>
                      <w:sz w:val="21"/>
                      <w:szCs w:val="21"/>
                      <w:highlight w:val="none"/>
                      <w:lang w:val="en-US" w:eastAsia="zh-CN"/>
                    </w:rPr>
                    <w:t>喷氨</w:t>
                  </w:r>
                  <w:r>
                    <w:rPr>
                      <w:rFonts w:hint="eastAsia"/>
                      <w:color w:val="auto"/>
                      <w:sz w:val="21"/>
                      <w:szCs w:val="21"/>
                      <w:highlight w:val="none"/>
                    </w:rPr>
                    <w:t>脱硝</w:t>
                  </w:r>
                  <w:r>
                    <w:rPr>
                      <w:rFonts w:hint="eastAsia" w:cs="Times New Roman"/>
                      <w:color w:val="auto"/>
                      <w:sz w:val="21"/>
                      <w:szCs w:val="21"/>
                      <w:highlight w:val="none"/>
                      <w:lang w:val="en-US" w:eastAsia="zh-CN"/>
                    </w:rPr>
                    <w:t>+1套</w:t>
                  </w:r>
                  <w:r>
                    <w:rPr>
                      <w:rFonts w:hint="eastAsia"/>
                      <w:color w:val="auto"/>
                      <w:sz w:val="21"/>
                      <w:szCs w:val="21"/>
                      <w:highlight w:val="none"/>
                    </w:rPr>
                    <w:t>脉冲袋式除尘器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处理后将通过25m高排气筒排放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DA005</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1#燃料仓粉尘收集进入“1套布袋除尘器”处理后通过20.5m高排气筒排放（DA006）；2#燃料仓粉尘收集进入“1套布袋除尘器”处理后通过20.5m高排气筒排放（DA007）；1#煤粉仓粉尘收集进入“1套布袋除尘器”处理后通过15.5m高排气筒排放（DA008）；2#煤粉仓粉尘收集进入“1套布袋除尘器”处理后通过26.5m高排气筒排放（DA009）；3#煤粉仓粉尘收集进入“1套布袋除尘器”处理后通过26.5m高排气筒排放（DA010）；</w:t>
                  </w:r>
                  <w:r>
                    <w:rPr>
                      <w:rFonts w:hint="eastAsia"/>
                      <w:color w:val="auto"/>
                      <w:sz w:val="21"/>
                      <w:szCs w:val="21"/>
                      <w:highlight w:val="none"/>
                    </w:rPr>
                    <w:t>出烘干机皮带转运</w:t>
                  </w:r>
                  <w:r>
                    <w:rPr>
                      <w:rFonts w:hint="eastAsia"/>
                      <w:color w:val="auto"/>
                      <w:sz w:val="21"/>
                      <w:szCs w:val="21"/>
                      <w:highlight w:val="none"/>
                      <w:lang w:eastAsia="zh-CN"/>
                    </w:rPr>
                    <w:t>粉尘收</w:t>
                  </w:r>
                  <w:r>
                    <w:rPr>
                      <w:rFonts w:hint="eastAsia" w:cs="Times New Roman"/>
                      <w:color w:val="auto"/>
                      <w:sz w:val="21"/>
                      <w:szCs w:val="21"/>
                      <w:highlight w:val="none"/>
                      <w:lang w:eastAsia="zh-CN"/>
                    </w:rPr>
                    <w:t>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处理后将通过20m高排气筒排放</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DA011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cs="Times New Roman"/>
                      <w:bCs/>
                      <w:color w:val="auto"/>
                      <w:sz w:val="21"/>
                      <w:szCs w:val="21"/>
                      <w:highlight w:val="none"/>
                      <w:lang w:eastAsia="zh-CN"/>
                    </w:rPr>
                    <w:t>进</w:t>
                  </w:r>
                  <w:r>
                    <w:rPr>
                      <w:rFonts w:hint="eastAsia" w:ascii="Times New Roman" w:hAnsi="Times New Roman" w:eastAsia="宋体" w:cs="Times New Roman"/>
                      <w:bCs/>
                      <w:color w:val="auto"/>
                      <w:sz w:val="21"/>
                      <w:szCs w:val="21"/>
                      <w:highlight w:val="none"/>
                      <w:lang w:eastAsia="zh-CN"/>
                    </w:rPr>
                    <w:t>成品堆棚皮带转运粉尘</w:t>
                  </w:r>
                  <w:r>
                    <w:rPr>
                      <w:rFonts w:hint="eastAsia"/>
                      <w:color w:val="auto"/>
                      <w:sz w:val="21"/>
                      <w:szCs w:val="21"/>
                      <w:highlight w:val="none"/>
                      <w:lang w:eastAsia="zh-CN"/>
                    </w:rPr>
                    <w:t>收</w:t>
                  </w:r>
                  <w:r>
                    <w:rPr>
                      <w:rFonts w:hint="eastAsia" w:cs="Times New Roman"/>
                      <w:color w:val="auto"/>
                      <w:sz w:val="21"/>
                      <w:szCs w:val="21"/>
                      <w:highlight w:val="none"/>
                      <w:lang w:eastAsia="zh-CN"/>
                    </w:rPr>
                    <w:t>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处理后将通过26.5m高排气筒排放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DA012</w:t>
                  </w:r>
                  <w:r>
                    <w:rPr>
                      <w:rFonts w:hint="eastAsia" w:cs="Times New Roman"/>
                      <w:color w:val="auto"/>
                      <w:sz w:val="21"/>
                      <w:szCs w:val="21"/>
                      <w:highlight w:val="none"/>
                      <w:lang w:eastAsia="zh-CN"/>
                    </w:rPr>
                    <w:t>）；</w:t>
                  </w:r>
                  <w:r>
                    <w:rPr>
                      <w:rFonts w:hint="eastAsia" w:ascii="Times New Roman" w:hAnsi="Times New Roman" w:eastAsia="宋体" w:cs="Times New Roman"/>
                      <w:bCs/>
                      <w:color w:val="auto"/>
                      <w:sz w:val="21"/>
                      <w:szCs w:val="21"/>
                      <w:highlight w:val="none"/>
                      <w:lang w:eastAsia="zh-CN"/>
                    </w:rPr>
                    <w:t>出成品堆棚皮带转运粉尘</w:t>
                  </w:r>
                  <w:r>
                    <w:rPr>
                      <w:rFonts w:hint="eastAsia"/>
                      <w:color w:val="auto"/>
                      <w:sz w:val="21"/>
                      <w:szCs w:val="21"/>
                      <w:highlight w:val="none"/>
                      <w:lang w:eastAsia="zh-CN"/>
                    </w:rPr>
                    <w:t>收</w:t>
                  </w:r>
                  <w:r>
                    <w:rPr>
                      <w:rFonts w:hint="eastAsia" w:cs="Times New Roman"/>
                      <w:color w:val="auto"/>
                      <w:sz w:val="21"/>
                      <w:szCs w:val="21"/>
                      <w:highlight w:val="none"/>
                      <w:lang w:eastAsia="zh-CN"/>
                    </w:rPr>
                    <w:t>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处理后将通过32.5m高排气筒排放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DA013</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出成品装车车间皮带转运</w:t>
                  </w:r>
                  <w:r>
                    <w:rPr>
                      <w:rFonts w:hint="eastAsia" w:ascii="Times New Roman" w:hAnsi="Times New Roman" w:eastAsia="宋体" w:cs="Times New Roman"/>
                      <w:bCs/>
                      <w:color w:val="auto"/>
                      <w:sz w:val="21"/>
                      <w:szCs w:val="21"/>
                      <w:highlight w:val="none"/>
                      <w:lang w:eastAsia="zh-CN"/>
                    </w:rPr>
                    <w:t>粉尘</w:t>
                  </w:r>
                  <w:r>
                    <w:rPr>
                      <w:rFonts w:hint="eastAsia"/>
                      <w:color w:val="auto"/>
                      <w:sz w:val="21"/>
                      <w:szCs w:val="21"/>
                      <w:highlight w:val="none"/>
                      <w:lang w:eastAsia="zh-CN"/>
                    </w:rPr>
                    <w:t>收</w:t>
                  </w:r>
                  <w:r>
                    <w:rPr>
                      <w:rFonts w:hint="eastAsia" w:cs="Times New Roman"/>
                      <w:color w:val="auto"/>
                      <w:sz w:val="21"/>
                      <w:szCs w:val="21"/>
                      <w:highlight w:val="none"/>
                      <w:lang w:eastAsia="zh-CN"/>
                    </w:rPr>
                    <w:t>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2套集气罩+收尘风管+布袋除尘器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处理后将通过35m高排气筒排放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DA014</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块煤散装粉尘收集进入“1套集气罩+收尘风管+布袋除尘器”处理后通过16m高排气筒排放（DA015）；2#块煤散装粉尘收集进入“1套集气罩+收尘风管+布袋除尘器”处理后通过16m高排气筒排放（DA016）；1#煤粉散装粉尘收集进入“1套集气罩+收尘风管+布袋除尘器”处理后通过16m高排气筒排放（DA017）；2#煤粉散装粉尘收集进入“1套集气罩+收尘风管+布袋除尘器”处理后通过16m高排气筒排放（DA018）；</w:t>
                  </w:r>
                  <w:r>
                    <w:rPr>
                      <w:rFonts w:hint="eastAsia" w:cs="Times New Roman"/>
                      <w:color w:val="auto"/>
                      <w:kern w:val="2"/>
                      <w:sz w:val="21"/>
                      <w:szCs w:val="21"/>
                      <w:highlight w:val="none"/>
                      <w:lang w:val="en-US" w:eastAsia="zh-CN" w:bidi="ar-SA"/>
                    </w:rPr>
                    <w:t>氨水储罐废气设置1个容积为20m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vertAlign w:val="baseline"/>
                      <w:lang w:val="en-US" w:eastAsia="zh-CN" w:bidi="ar-SA"/>
                    </w:rPr>
                    <w:t>的清水罐进行吸收；</w:t>
                  </w:r>
                  <w:r>
                    <w:rPr>
                      <w:rFonts w:hint="eastAsia" w:cs="Times New Roman"/>
                      <w:color w:val="auto"/>
                      <w:kern w:val="0"/>
                      <w:sz w:val="21"/>
                      <w:szCs w:val="21"/>
                      <w:highlight w:val="none"/>
                      <w:lang w:val="en-US" w:eastAsia="zh-CN"/>
                    </w:rPr>
                    <w:t>石灰石粉储罐粉尘收集进入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1套布袋除尘器”处理后通过16m高排气筒排放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项目采取的污染治理措施</w:t>
                  </w:r>
                  <w:r>
                    <w:rPr>
                      <w:rFonts w:hint="default" w:ascii="Times New Roman" w:hAnsi="Times New Roman" w:eastAsia="宋体" w:cs="Times New Roman"/>
                      <w:color w:val="auto"/>
                      <w:sz w:val="21"/>
                      <w:szCs w:val="21"/>
                      <w:highlight w:val="none"/>
                    </w:rPr>
                    <w:t>可有效减少主要污染物等特征污染物的排放总量，</w:t>
                  </w:r>
                  <w:r>
                    <w:rPr>
                      <w:rFonts w:hint="default" w:ascii="Times New Roman" w:hAnsi="Times New Roman" w:eastAsia="宋体" w:cs="Times New Roman"/>
                      <w:color w:val="auto"/>
                      <w:sz w:val="21"/>
                      <w:szCs w:val="21"/>
                      <w:highlight w:val="none"/>
                      <w:lang w:val="en-US" w:eastAsia="zh-CN"/>
                    </w:rPr>
                    <w:t>能够确保</w:t>
                  </w:r>
                  <w:r>
                    <w:rPr>
                      <w:rFonts w:hint="default" w:ascii="Times New Roman" w:hAnsi="Times New Roman" w:eastAsia="宋体" w:cs="Times New Roman"/>
                      <w:color w:val="auto"/>
                      <w:sz w:val="21"/>
                      <w:szCs w:val="21"/>
                      <w:highlight w:val="none"/>
                    </w:rPr>
                    <w:t>区域环境质量</w:t>
                  </w:r>
                  <w:r>
                    <w:rPr>
                      <w:rFonts w:hint="default" w:ascii="Times New Roman" w:hAnsi="Times New Roman" w:eastAsia="宋体" w:cs="Times New Roman"/>
                      <w:color w:val="auto"/>
                      <w:sz w:val="21"/>
                      <w:szCs w:val="21"/>
                      <w:highlight w:val="none"/>
                      <w:lang w:val="en-US" w:eastAsia="zh-CN"/>
                    </w:rPr>
                    <w:t>得到改善</w:t>
                  </w:r>
                  <w:r>
                    <w:rPr>
                      <w:rFonts w:hint="default" w:ascii="Times New Roman" w:hAnsi="Times New Roman" w:eastAsia="宋体" w:cs="Times New Roman"/>
                      <w:color w:val="auto"/>
                      <w:sz w:val="21"/>
                      <w:szCs w:val="21"/>
                      <w:highlight w:val="none"/>
                    </w:rPr>
                    <w:t>。</w:t>
                  </w:r>
                </w:p>
                <w:p w14:paraId="6D3D2F49">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本项目生产及生活污水均全部回用，不外排。</w:t>
                  </w:r>
                </w:p>
                <w:p w14:paraId="1DBD07D1">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本项目的建设</w:t>
                  </w:r>
                  <w:r>
                    <w:rPr>
                      <w:rFonts w:hint="default" w:ascii="Times New Roman" w:hAnsi="Times New Roman" w:eastAsia="宋体" w:cs="Times New Roman"/>
                      <w:color w:val="auto"/>
                      <w:sz w:val="21"/>
                      <w:szCs w:val="21"/>
                      <w:highlight w:val="none"/>
                    </w:rPr>
                    <w:t>符合国家和云南省有关</w:t>
                  </w:r>
                  <w:r>
                    <w:rPr>
                      <w:rFonts w:hint="default" w:ascii="Times New Roman" w:hAnsi="Times New Roman" w:eastAsia="宋体" w:cs="Times New Roman"/>
                      <w:color w:val="auto"/>
                      <w:sz w:val="21"/>
                      <w:szCs w:val="21"/>
                      <w:highlight w:val="none"/>
                      <w:lang w:val="en-US" w:eastAsia="zh-CN"/>
                    </w:rPr>
                    <w:t>地下水</w:t>
                  </w:r>
                  <w:r>
                    <w:rPr>
                      <w:rFonts w:hint="default" w:ascii="Times New Roman" w:hAnsi="Times New Roman" w:eastAsia="宋体" w:cs="Times New Roman"/>
                      <w:color w:val="auto"/>
                      <w:sz w:val="21"/>
                      <w:szCs w:val="21"/>
                      <w:highlight w:val="none"/>
                    </w:rPr>
                    <w:t>、土壤污染防治</w:t>
                  </w:r>
                  <w:r>
                    <w:rPr>
                      <w:rFonts w:hint="default" w:ascii="Times New Roman" w:hAnsi="Times New Roman" w:eastAsia="宋体" w:cs="Times New Roman"/>
                      <w:color w:val="auto"/>
                      <w:sz w:val="21"/>
                      <w:szCs w:val="21"/>
                      <w:highlight w:val="none"/>
                      <w:lang w:val="en-US" w:eastAsia="zh-CN"/>
                    </w:rPr>
                    <w:t>措施及</w:t>
                  </w:r>
                  <w:r>
                    <w:rPr>
                      <w:rFonts w:hint="default" w:ascii="Times New Roman" w:hAnsi="Times New Roman" w:eastAsia="宋体" w:cs="Times New Roman"/>
                      <w:color w:val="auto"/>
                      <w:sz w:val="21"/>
                      <w:szCs w:val="21"/>
                      <w:highlight w:val="none"/>
                    </w:rPr>
                    <w:t>相关要求。</w:t>
                  </w:r>
                  <w:r>
                    <w:rPr>
                      <w:rFonts w:hint="default" w:ascii="Times New Roman" w:hAnsi="Times New Roman" w:eastAsia="宋体" w:cs="Times New Roman"/>
                      <w:color w:val="auto"/>
                      <w:sz w:val="21"/>
                      <w:szCs w:val="21"/>
                      <w:highlight w:val="none"/>
                      <w:lang w:eastAsia="zh-CN"/>
                    </w:rPr>
                    <w:t>本项目使用自来水，不</w:t>
                  </w:r>
                  <w:r>
                    <w:rPr>
                      <w:rFonts w:hint="default" w:ascii="Times New Roman" w:hAnsi="Times New Roman" w:eastAsia="宋体" w:cs="Times New Roman"/>
                      <w:color w:val="auto"/>
                      <w:sz w:val="21"/>
                      <w:szCs w:val="21"/>
                      <w:highlight w:val="none"/>
                    </w:rPr>
                    <w:t>抽取地下水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严格执行土壤及生态保护措施。</w:t>
                  </w:r>
                </w:p>
              </w:tc>
              <w:tc>
                <w:tcPr>
                  <w:tcW w:w="726" w:type="dxa"/>
                  <w:vAlign w:val="center"/>
                </w:tcPr>
                <w:p w14:paraId="54B0C41E">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7D01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14:paraId="255FD93E">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3138" w:type="dxa"/>
                  <w:vAlign w:val="center"/>
                </w:tcPr>
                <w:p w14:paraId="5BDBCBEC">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cs="Times New Roman"/>
                      <w:color w:val="auto"/>
                      <w:sz w:val="21"/>
                      <w:szCs w:val="21"/>
                      <w:highlight w:val="none"/>
                      <w:lang w:eastAsia="zh-CN"/>
                    </w:rPr>
                    <w:t>烟气脱硝过程使用到氨水，氨水由储罐车直接运至厂内储罐内储存，氨水储罐区域按照环境风险相关要求进行防范建设。项目</w:t>
                  </w:r>
                  <w:r>
                    <w:rPr>
                      <w:rFonts w:hint="default" w:ascii="Times New Roman" w:hAnsi="Times New Roman" w:eastAsia="宋体" w:cs="Times New Roman"/>
                      <w:color w:val="auto"/>
                      <w:sz w:val="21"/>
                      <w:szCs w:val="21"/>
                      <w:highlight w:val="none"/>
                    </w:rPr>
                    <w:t>不属于煤、磷盐化工企业，在采取相应的措施后，环境风险能达可接受水平。</w:t>
                  </w:r>
                </w:p>
              </w:tc>
              <w:tc>
                <w:tcPr>
                  <w:tcW w:w="726" w:type="dxa"/>
                  <w:vAlign w:val="center"/>
                </w:tcPr>
                <w:p w14:paraId="20DAF746">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75F7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14:paraId="2BAB48F8">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拟入园建设项目，应结合规划环评提出的指导意见做好环境影响评价工作，严格落实《报告书》提出的要求，加强与规划环评的联动。在项目环境影响评价中应重点开展工程分析、污染物允许排放量测算和环保措施的可行性论证等内容，执行污染物排放总量控制制度，强化环境监测和环境管理措施的落实。对符合规划环评环境管控要求和生态环境准入清单的具体建设项目，环评文件中选址、环境现状调查与评价结果仍具有时效性时，建设项目相应环境影响评价内容可结合实际情况</w:t>
                  </w:r>
                  <w:r>
                    <w:rPr>
                      <w:rFonts w:hint="eastAsia" w:cs="Times New Roman"/>
                      <w:color w:val="auto"/>
                      <w:sz w:val="21"/>
                      <w:szCs w:val="21"/>
                      <w:highlight w:val="none"/>
                      <w:lang w:eastAsia="zh-CN"/>
                    </w:rPr>
                    <w:t>予以</w:t>
                  </w:r>
                  <w:r>
                    <w:rPr>
                      <w:rFonts w:hint="default" w:ascii="Times New Roman" w:hAnsi="Times New Roman" w:eastAsia="宋体" w:cs="Times New Roman"/>
                      <w:color w:val="auto"/>
                      <w:sz w:val="21"/>
                      <w:szCs w:val="21"/>
                      <w:highlight w:val="none"/>
                    </w:rPr>
                    <w:t>简化。</w:t>
                  </w:r>
                </w:p>
              </w:tc>
              <w:tc>
                <w:tcPr>
                  <w:tcW w:w="3138" w:type="dxa"/>
                  <w:vAlign w:val="center"/>
                </w:tcPr>
                <w:p w14:paraId="1F7E8A7D">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评价结合了规划环评提出的指导意见，落实了规划环评提出的要求，加强与规划环评的联动，重点开展了工程分析、污染物允许排放量测算和环保措施的可行性论证等内容，强化环境监测和环境保护相关措施的落实。</w:t>
                  </w:r>
                </w:p>
              </w:tc>
              <w:tc>
                <w:tcPr>
                  <w:tcW w:w="726" w:type="dxa"/>
                  <w:vAlign w:val="center"/>
                </w:tcPr>
                <w:p w14:paraId="556483A1">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bl>
          <w:p w14:paraId="097D4B71">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综上所述，项目建设与《云南寻甸产业园区总体规划修编（2021-2035）环境影响报告书》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审查意见的函（昆环审[2023]5号）</w:t>
            </w:r>
            <w:r>
              <w:rPr>
                <w:rFonts w:hint="default" w:ascii="Times New Roman" w:hAnsi="Times New Roman" w:eastAsia="宋体" w:cs="Times New Roman"/>
                <w:b w:val="0"/>
                <w:bCs w:val="0"/>
                <w:color w:val="auto"/>
                <w:sz w:val="24"/>
                <w:highlight w:val="none"/>
              </w:rPr>
              <w:t>相</w:t>
            </w:r>
            <w:r>
              <w:rPr>
                <w:rFonts w:hint="default" w:ascii="Times New Roman" w:hAnsi="Times New Roman" w:eastAsia="宋体" w:cs="Times New Roman"/>
                <w:color w:val="auto"/>
                <w:sz w:val="24"/>
                <w:highlight w:val="none"/>
              </w:rPr>
              <w:t>符。</w:t>
            </w:r>
          </w:p>
        </w:tc>
      </w:tr>
      <w:tr w14:paraId="39A686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24" w:type="dxa"/>
            <w:vAlign w:val="center"/>
          </w:tcPr>
          <w:p w14:paraId="763D0F11">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8105" w:type="dxa"/>
            <w:gridSpan w:val="4"/>
            <w:vAlign w:val="center"/>
          </w:tcPr>
          <w:p w14:paraId="4FC8C636">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1、项目与</w:t>
            </w:r>
            <w:bookmarkStart w:id="7" w:name="_Toc14631_WPSOffice_Level2"/>
            <w:bookmarkStart w:id="8" w:name="_Toc11005"/>
            <w:bookmarkStart w:id="9" w:name="_Toc1839"/>
            <w:r>
              <w:rPr>
                <w:rFonts w:hint="default" w:ascii="Times New Roman" w:hAnsi="Times New Roman" w:eastAsia="宋体" w:cs="Times New Roman"/>
                <w:b/>
                <w:bCs w:val="0"/>
                <w:color w:val="auto"/>
                <w:sz w:val="24"/>
                <w:szCs w:val="24"/>
                <w:highlight w:val="none"/>
                <w:lang w:val="zh-CN" w:eastAsia="zh-CN"/>
              </w:rPr>
              <w:t>《昆明市人民政府关于昆明市“三线一单”生态环境分区管控的实施意见》（</w:t>
            </w:r>
            <w:r>
              <w:rPr>
                <w:rFonts w:hint="default" w:ascii="Times New Roman" w:hAnsi="Times New Roman" w:eastAsia="宋体" w:cs="Times New Roman"/>
                <w:b/>
                <w:bCs w:val="0"/>
                <w:color w:val="auto"/>
                <w:sz w:val="24"/>
                <w:szCs w:val="24"/>
                <w:highlight w:val="none"/>
                <w:lang w:val="en-US" w:eastAsia="zh-CN"/>
              </w:rPr>
              <w:t>昆政发2021[21号]</w:t>
            </w:r>
            <w:r>
              <w:rPr>
                <w:rFonts w:hint="default" w:ascii="Times New Roman" w:hAnsi="Times New Roman" w:eastAsia="宋体" w:cs="Times New Roman"/>
                <w:b/>
                <w:bCs w:val="0"/>
                <w:color w:val="auto"/>
                <w:sz w:val="24"/>
                <w:szCs w:val="24"/>
                <w:highlight w:val="none"/>
                <w:lang w:val="zh-CN" w:eastAsia="zh-CN"/>
              </w:rPr>
              <w:t>）</w:t>
            </w:r>
            <w:r>
              <w:rPr>
                <w:rFonts w:hint="default" w:ascii="Times New Roman" w:hAnsi="Times New Roman" w:eastAsia="宋体" w:cs="Times New Roman"/>
                <w:b/>
                <w:bCs w:val="0"/>
                <w:color w:val="auto"/>
                <w:sz w:val="24"/>
                <w:szCs w:val="24"/>
                <w:highlight w:val="none"/>
                <w:lang w:val="en-US" w:eastAsia="zh-CN"/>
              </w:rPr>
              <w:t>符合性分析</w:t>
            </w:r>
          </w:p>
          <w:p w14:paraId="6FB63A41">
            <w:pPr>
              <w:pStyle w:val="84"/>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项目与</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highlight w:val="none"/>
                <w:lang w:val="zh-CN"/>
              </w:rPr>
              <w:t>昆明市人民政府关于昆明市“三线一单”生态环境分区管控的实施意见</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昆政发2021[21号]</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符合性分析详见下表。</w:t>
            </w:r>
          </w:p>
          <w:p w14:paraId="09258E0B">
            <w:pPr>
              <w:pStyle w:val="102"/>
              <w:spacing w:before="120" w:after="48"/>
              <w:outlineLvl w:val="9"/>
              <w:rPr>
                <w:rFonts w:hint="default" w:ascii="Times New Roman" w:hAnsi="Times New Roman" w:eastAsia="宋体" w:cs="Times New Roman"/>
                <w:bCs/>
                <w:snapToGrid w:val="0"/>
                <w:color w:val="auto"/>
                <w:kern w:val="0"/>
                <w:szCs w:val="21"/>
                <w:highlight w:val="none"/>
              </w:rPr>
            </w:pPr>
            <w:bookmarkStart w:id="10" w:name="_Toc2480"/>
            <w:r>
              <w:rPr>
                <w:rFonts w:hint="default" w:ascii="Times New Roman" w:hAnsi="Times New Roman" w:eastAsia="宋体" w:cs="Times New Roman"/>
                <w:bCs/>
                <w:snapToGrid w:val="0"/>
                <w:color w:val="auto"/>
                <w:kern w:val="0"/>
                <w:szCs w:val="21"/>
                <w:highlight w:val="none"/>
              </w:rPr>
              <w:t>表</w:t>
            </w:r>
            <w:r>
              <w:rPr>
                <w:rFonts w:hint="default" w:ascii="Times New Roman" w:hAnsi="Times New Roman" w:eastAsia="宋体" w:cs="Times New Roman"/>
                <w:bCs/>
                <w:snapToGrid w:val="0"/>
                <w:color w:val="auto"/>
                <w:kern w:val="0"/>
                <w:szCs w:val="21"/>
                <w:highlight w:val="none"/>
                <w:lang w:val="en-US" w:eastAsia="zh-CN"/>
              </w:rPr>
              <w:t xml:space="preserve">1-5 </w:t>
            </w:r>
            <w:r>
              <w:rPr>
                <w:rFonts w:hint="default" w:ascii="Times New Roman" w:hAnsi="Times New Roman" w:eastAsia="宋体" w:cs="Times New Roman"/>
                <w:bCs/>
                <w:snapToGrid w:val="0"/>
                <w:color w:val="auto"/>
                <w:kern w:val="0"/>
                <w:szCs w:val="21"/>
                <w:highlight w:val="none"/>
              </w:rPr>
              <w:t xml:space="preserve">  项目与昆明市“三线一单”文件相符性分析</w:t>
            </w:r>
            <w:bookmarkEnd w:id="10"/>
          </w:p>
          <w:tbl>
            <w:tblPr>
              <w:tblStyle w:val="27"/>
              <w:tblW w:w="7877"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94"/>
              <w:gridCol w:w="688"/>
              <w:gridCol w:w="421"/>
              <w:gridCol w:w="2996"/>
              <w:gridCol w:w="2679"/>
              <w:gridCol w:w="699"/>
            </w:tblGrid>
            <w:tr w14:paraId="65EEF0F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082" w:type="dxa"/>
                  <w:gridSpan w:val="2"/>
                  <w:tcBorders>
                    <w:tl2br w:val="nil"/>
                    <w:tr2bl w:val="nil"/>
                  </w:tcBorders>
                  <w:noWrap w:val="0"/>
                  <w:vAlign w:val="center"/>
                </w:tcPr>
                <w:p w14:paraId="08DEC657">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3417" w:type="dxa"/>
                  <w:gridSpan w:val="2"/>
                  <w:tcBorders>
                    <w:tl2br w:val="nil"/>
                    <w:tr2bl w:val="nil"/>
                  </w:tcBorders>
                  <w:noWrap w:val="0"/>
                  <w:vAlign w:val="center"/>
                </w:tcPr>
                <w:p w14:paraId="6E9C6004">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文件要求</w:t>
                  </w:r>
                </w:p>
              </w:tc>
              <w:tc>
                <w:tcPr>
                  <w:tcW w:w="2679" w:type="dxa"/>
                  <w:tcBorders>
                    <w:tl2br w:val="nil"/>
                    <w:tr2bl w:val="nil"/>
                  </w:tcBorders>
                  <w:noWrap w:val="0"/>
                  <w:vAlign w:val="center"/>
                </w:tcPr>
                <w:p w14:paraId="4CB250D8">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相符性分析</w:t>
                  </w:r>
                </w:p>
              </w:tc>
              <w:tc>
                <w:tcPr>
                  <w:tcW w:w="699" w:type="dxa"/>
                  <w:tcBorders>
                    <w:tl2br w:val="nil"/>
                    <w:tr2bl w:val="nil"/>
                  </w:tcBorders>
                  <w:noWrap w:val="0"/>
                  <w:vAlign w:val="center"/>
                </w:tcPr>
                <w:p w14:paraId="38874762">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符合性</w:t>
                  </w:r>
                </w:p>
              </w:tc>
            </w:tr>
            <w:tr w14:paraId="74990CB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gridSpan w:val="2"/>
                  <w:tcBorders>
                    <w:tl2br w:val="nil"/>
                    <w:tr2bl w:val="nil"/>
                  </w:tcBorders>
                  <w:noWrap w:val="0"/>
                  <w:vAlign w:val="center"/>
                </w:tcPr>
                <w:p w14:paraId="74FD269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生态保护红线</w:t>
                  </w:r>
                </w:p>
              </w:tc>
              <w:tc>
                <w:tcPr>
                  <w:tcW w:w="3417" w:type="dxa"/>
                  <w:gridSpan w:val="2"/>
                  <w:tcBorders>
                    <w:tl2br w:val="nil"/>
                    <w:tr2bl w:val="nil"/>
                  </w:tcBorders>
                  <w:noWrap w:val="0"/>
                  <w:vAlign w:val="center"/>
                </w:tcPr>
                <w:p w14:paraId="40B737B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云南省人民政府关于发布云南省生态保护红线的通知》（云政发〔2018〕32号），将未划入生态保护红线的自然保护区、国家公园、森林公园、风景名胜区、地质公园、湿地公园、县城集中式饮用水水源地、水产种质资源保护区等生态功能重要区、生态环境敏感区划入一般生态空间。</w:t>
                  </w:r>
                </w:p>
              </w:tc>
              <w:tc>
                <w:tcPr>
                  <w:tcW w:w="2679" w:type="dxa"/>
                  <w:tcBorders>
                    <w:tl2br w:val="nil"/>
                    <w:tr2bl w:val="nil"/>
                  </w:tcBorders>
                  <w:noWrap w:val="0"/>
                  <w:vAlign w:val="center"/>
                </w:tcPr>
                <w:p w14:paraId="1BD0CBA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w:t>
                  </w:r>
                  <w:r>
                    <w:rPr>
                      <w:rFonts w:hint="default" w:ascii="Times New Roman" w:hAnsi="Times New Roman" w:eastAsia="宋体" w:cs="Times New Roman"/>
                      <w:color w:val="auto"/>
                      <w:szCs w:val="21"/>
                      <w:highlight w:val="none"/>
                      <w:lang w:val="zh-CN"/>
                    </w:rPr>
                    <w:t>查阅《云南省生态保护红线分布图》可知，项目位于</w:t>
                  </w:r>
                  <w:r>
                    <w:rPr>
                      <w:rFonts w:hint="default" w:ascii="Times New Roman" w:hAnsi="Times New Roman" w:eastAsia="宋体" w:cs="Times New Roman"/>
                      <w:color w:val="auto"/>
                      <w:sz w:val="21"/>
                      <w:szCs w:val="21"/>
                      <w:highlight w:val="none"/>
                      <w:u w:val="none"/>
                      <w:lang w:val="en-US" w:eastAsia="zh-CN"/>
                    </w:rPr>
                    <w:t>云南寻甸产业园区金所片区金所组团内</w:t>
                  </w:r>
                  <w:r>
                    <w:rPr>
                      <w:rFonts w:hint="default" w:ascii="Times New Roman" w:hAnsi="Times New Roman" w:eastAsia="宋体" w:cs="Times New Roman"/>
                      <w:color w:val="auto"/>
                      <w:szCs w:val="21"/>
                      <w:highlight w:val="none"/>
                      <w:lang w:val="zh-CN"/>
                    </w:rPr>
                    <w:t>，属规划的工业用地，不在生态红线范围内，项目符合生态保护红线的相关要求。</w:t>
                  </w:r>
                </w:p>
              </w:tc>
              <w:tc>
                <w:tcPr>
                  <w:tcW w:w="699" w:type="dxa"/>
                  <w:tcBorders>
                    <w:tl2br w:val="nil"/>
                    <w:tr2bl w:val="nil"/>
                  </w:tcBorders>
                  <w:noWrap w:val="0"/>
                  <w:vAlign w:val="center"/>
                </w:tcPr>
                <w:p w14:paraId="71B060A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3B99CF5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94" w:type="dxa"/>
                  <w:vMerge w:val="restart"/>
                  <w:tcBorders>
                    <w:tl2br w:val="nil"/>
                    <w:tr2bl w:val="nil"/>
                  </w:tcBorders>
                  <w:noWrap w:val="0"/>
                  <w:vAlign w:val="center"/>
                </w:tcPr>
                <w:p w14:paraId="0E7BEBC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环境质量底线</w:t>
                  </w:r>
                </w:p>
              </w:tc>
              <w:tc>
                <w:tcPr>
                  <w:tcW w:w="688" w:type="dxa"/>
                  <w:tcBorders>
                    <w:tl2br w:val="nil"/>
                    <w:tr2bl w:val="nil"/>
                  </w:tcBorders>
                  <w:noWrap w:val="0"/>
                  <w:vAlign w:val="center"/>
                </w:tcPr>
                <w:p w14:paraId="6364D76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p>
              </w:tc>
              <w:tc>
                <w:tcPr>
                  <w:tcW w:w="3417" w:type="dxa"/>
                  <w:gridSpan w:val="2"/>
                  <w:tcBorders>
                    <w:tl2br w:val="nil"/>
                    <w:tr2bl w:val="nil"/>
                  </w:tcBorders>
                  <w:noWrap w:val="0"/>
                  <w:vAlign w:val="center"/>
                </w:tcPr>
                <w:p w14:paraId="7336EC3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r>
                    <w:rPr>
                      <w:rFonts w:hint="default" w:ascii="Times New Roman" w:hAnsi="Times New Roman" w:eastAsia="宋体" w:cs="Times New Roman"/>
                      <w:color w:val="auto"/>
                      <w:szCs w:val="21"/>
                      <w:highlight w:val="none"/>
                      <w:lang w:val="zh-CN"/>
                    </w:rPr>
                    <w:t>到2025年，全市生态环境质量持续改善，生态空间得到优化和有效保护，区域生态安全屏障更加牢固。到2035年，全市生态环境质量实现根本好转，生态功能显著提升，区域生态安全得到全面保障。</w:t>
                  </w:r>
                </w:p>
              </w:tc>
              <w:tc>
                <w:tcPr>
                  <w:tcW w:w="2679" w:type="dxa"/>
                  <w:tcBorders>
                    <w:tl2br w:val="nil"/>
                    <w:tr2bl w:val="nil"/>
                  </w:tcBorders>
                  <w:noWrap w:val="0"/>
                  <w:vAlign w:val="center"/>
                </w:tcPr>
                <w:p w14:paraId="73FA5C4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本项目为新建项目，购买</w:t>
                  </w:r>
                  <w:r>
                    <w:rPr>
                      <w:rFonts w:hint="eastAsia" w:cs="Times New Roman"/>
                      <w:color w:val="auto"/>
                      <w:sz w:val="21"/>
                      <w:szCs w:val="21"/>
                      <w:highlight w:val="none"/>
                      <w:lang w:val="en-US" w:eastAsia="zh-CN"/>
                    </w:rPr>
                    <w:t>园区已规划好的土地，建设标准厂房及</w:t>
                  </w:r>
                  <w:r>
                    <w:rPr>
                      <w:rFonts w:hint="default" w:ascii="Times New Roman" w:hAnsi="Times New Roman" w:eastAsia="宋体" w:cs="Times New Roman"/>
                      <w:color w:val="auto"/>
                      <w:sz w:val="21"/>
                      <w:szCs w:val="21"/>
                      <w:highlight w:val="none"/>
                      <w:lang w:val="en-US" w:eastAsia="zh-CN"/>
                    </w:rPr>
                    <w:t>安装设备后进行生产，不新增征地，对生态环境影响较小，不会突破当地生态环境质量底线。</w:t>
                  </w:r>
                </w:p>
              </w:tc>
              <w:tc>
                <w:tcPr>
                  <w:tcW w:w="699" w:type="dxa"/>
                  <w:tcBorders>
                    <w:tl2br w:val="nil"/>
                    <w:tr2bl w:val="nil"/>
                  </w:tcBorders>
                  <w:noWrap w:val="0"/>
                  <w:vAlign w:val="center"/>
                </w:tcPr>
                <w:p w14:paraId="25C06E2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1346BB5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94" w:type="dxa"/>
                  <w:vMerge w:val="continue"/>
                  <w:tcBorders>
                    <w:tl2br w:val="nil"/>
                    <w:tr2bl w:val="nil"/>
                  </w:tcBorders>
                  <w:noWrap w:val="0"/>
                  <w:vAlign w:val="center"/>
                </w:tcPr>
                <w:p w14:paraId="1205391E">
                  <w:pPr>
                    <w:jc w:val="center"/>
                    <w:rPr>
                      <w:rFonts w:hint="default" w:ascii="Times New Roman" w:hAnsi="Times New Roman" w:eastAsia="宋体" w:cs="Times New Roman"/>
                      <w:color w:val="auto"/>
                      <w:szCs w:val="21"/>
                      <w:highlight w:val="none"/>
                    </w:rPr>
                  </w:pPr>
                </w:p>
              </w:tc>
              <w:tc>
                <w:tcPr>
                  <w:tcW w:w="688" w:type="dxa"/>
                  <w:tcBorders>
                    <w:tl2br w:val="nil"/>
                    <w:tr2bl w:val="nil"/>
                  </w:tcBorders>
                  <w:noWrap w:val="0"/>
                  <w:vAlign w:val="center"/>
                </w:tcPr>
                <w:p w14:paraId="118381E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p>
              </w:tc>
              <w:tc>
                <w:tcPr>
                  <w:tcW w:w="3417" w:type="dxa"/>
                  <w:gridSpan w:val="2"/>
                  <w:tcBorders>
                    <w:tl2br w:val="nil"/>
                    <w:tr2bl w:val="nil"/>
                  </w:tcBorders>
                  <w:noWrap w:val="0"/>
                  <w:vAlign w:val="center"/>
                </w:tcPr>
                <w:p w14:paraId="36A26D6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r>
                    <w:rPr>
                      <w:rFonts w:hint="default" w:ascii="Times New Roman" w:hAnsi="Times New Roman" w:eastAsia="宋体" w:cs="Times New Roman"/>
                      <w:color w:val="auto"/>
                      <w:szCs w:val="21"/>
                      <w:highlight w:val="none"/>
                      <w:lang w:val="zh-CN"/>
                    </w:rPr>
                    <w:t>到2025年，全市环境空气质量总体保持优良，主城建成区空气质量优良天数占比达99%以上，二氧化硫（SO</w:t>
                  </w:r>
                  <w:r>
                    <w:rPr>
                      <w:rFonts w:hint="default" w:ascii="Times New Roman" w:hAnsi="Times New Roman" w:eastAsia="宋体" w:cs="Times New Roman"/>
                      <w:color w:val="auto"/>
                      <w:szCs w:val="21"/>
                      <w:highlight w:val="none"/>
                      <w:vertAlign w:val="subscript"/>
                      <w:lang w:val="zh-CN"/>
                    </w:rPr>
                    <w:t>2</w:t>
                  </w:r>
                  <w:r>
                    <w:rPr>
                      <w:rFonts w:hint="default" w:ascii="Times New Roman" w:hAnsi="Times New Roman" w:eastAsia="宋体" w:cs="Times New Roman"/>
                      <w:color w:val="auto"/>
                      <w:szCs w:val="21"/>
                      <w:highlight w:val="none"/>
                      <w:lang w:val="zh-CN"/>
                    </w:rPr>
                    <w:t>）和氮氧化物（NOx）排放总量控制在省下达的目标以内，主城区空气中颗粒物（PM</w:t>
                  </w:r>
                  <w:r>
                    <w:rPr>
                      <w:rFonts w:hint="default" w:ascii="Times New Roman" w:hAnsi="Times New Roman" w:eastAsia="宋体" w:cs="Times New Roman"/>
                      <w:color w:val="auto"/>
                      <w:szCs w:val="21"/>
                      <w:highlight w:val="none"/>
                      <w:vertAlign w:val="subscript"/>
                      <w:lang w:val="zh-CN"/>
                    </w:rPr>
                    <w:t>10</w:t>
                  </w:r>
                  <w:r>
                    <w:rPr>
                      <w:rFonts w:hint="default" w:ascii="Times New Roman" w:hAnsi="Times New Roman" w:eastAsia="宋体" w:cs="Times New Roman"/>
                      <w:color w:val="auto"/>
                      <w:szCs w:val="21"/>
                      <w:highlight w:val="none"/>
                      <w:lang w:val="zh-CN"/>
                    </w:rPr>
                    <w:t>、PM</w:t>
                  </w:r>
                  <w:r>
                    <w:rPr>
                      <w:rFonts w:hint="default" w:ascii="Times New Roman" w:hAnsi="Times New Roman" w:eastAsia="宋体" w:cs="Times New Roman"/>
                      <w:color w:val="auto"/>
                      <w:szCs w:val="21"/>
                      <w:highlight w:val="none"/>
                      <w:vertAlign w:val="subscript"/>
                      <w:lang w:val="en-US" w:eastAsia="zh-CN"/>
                    </w:rPr>
                    <w:t>2.5</w:t>
                  </w:r>
                  <w:r>
                    <w:rPr>
                      <w:rFonts w:hint="default" w:ascii="Times New Roman" w:hAnsi="Times New Roman" w:eastAsia="宋体" w:cs="Times New Roman"/>
                      <w:color w:val="auto"/>
                      <w:szCs w:val="21"/>
                      <w:highlight w:val="none"/>
                      <w:lang w:val="zh-CN"/>
                    </w:rPr>
                    <w:t>）稳定达《环境空气质量标准》二级标准以上。到2035年，全市环境空气质量全面改善，各县（市）区、开发（度假）区环境空气质量稳定达到国家二级标准。</w:t>
                  </w:r>
                </w:p>
              </w:tc>
              <w:tc>
                <w:tcPr>
                  <w:tcW w:w="2679" w:type="dxa"/>
                  <w:tcBorders>
                    <w:tl2br w:val="nil"/>
                    <w:tr2bl w:val="nil"/>
                  </w:tcBorders>
                  <w:noWrap w:val="0"/>
                  <w:vAlign w:val="center"/>
                </w:tcPr>
                <w:p w14:paraId="1B8EC9D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项目区属于环境空气质量达标区，</w:t>
                  </w:r>
                  <w:r>
                    <w:rPr>
                      <w:rFonts w:hint="default" w:ascii="Times New Roman" w:hAnsi="Times New Roman" w:eastAsia="宋体" w:cs="Times New Roman"/>
                      <w:color w:val="auto"/>
                      <w:szCs w:val="21"/>
                      <w:highlight w:val="none"/>
                      <w:lang w:val="zh-CN"/>
                    </w:rPr>
                    <w:t>本项目建设排放的废气均经过有效治理，实现达标排放，满足区域环境质量要求，不会改变区域大气环境功能区划</w:t>
                  </w:r>
                  <w:r>
                    <w:rPr>
                      <w:rFonts w:hint="default" w:ascii="Times New Roman" w:hAnsi="Times New Roman" w:eastAsia="宋体" w:cs="Times New Roman"/>
                      <w:color w:val="auto"/>
                      <w:szCs w:val="21"/>
                      <w:highlight w:val="none"/>
                    </w:rPr>
                    <w:t>，对大气环境质量影响较小，不会突破当地环境质量底线。</w:t>
                  </w:r>
                </w:p>
              </w:tc>
              <w:tc>
                <w:tcPr>
                  <w:tcW w:w="699" w:type="dxa"/>
                  <w:tcBorders>
                    <w:tl2br w:val="nil"/>
                    <w:tr2bl w:val="nil"/>
                  </w:tcBorders>
                  <w:noWrap w:val="0"/>
                  <w:vAlign w:val="center"/>
                </w:tcPr>
                <w:p w14:paraId="118E9C3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661D896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94" w:type="dxa"/>
                  <w:vMerge w:val="continue"/>
                  <w:tcBorders>
                    <w:tl2br w:val="nil"/>
                    <w:tr2bl w:val="nil"/>
                  </w:tcBorders>
                  <w:noWrap w:val="0"/>
                  <w:vAlign w:val="center"/>
                </w:tcPr>
                <w:p w14:paraId="0E86A8CD">
                  <w:pPr>
                    <w:jc w:val="center"/>
                    <w:rPr>
                      <w:rFonts w:hint="default" w:ascii="Times New Roman" w:hAnsi="Times New Roman" w:eastAsia="宋体" w:cs="Times New Roman"/>
                      <w:color w:val="auto"/>
                      <w:szCs w:val="21"/>
                      <w:highlight w:val="none"/>
                    </w:rPr>
                  </w:pPr>
                </w:p>
              </w:tc>
              <w:tc>
                <w:tcPr>
                  <w:tcW w:w="688" w:type="dxa"/>
                  <w:tcBorders>
                    <w:tl2br w:val="nil"/>
                    <w:tr2bl w:val="nil"/>
                  </w:tcBorders>
                  <w:noWrap w:val="0"/>
                  <w:vAlign w:val="center"/>
                </w:tcPr>
                <w:p w14:paraId="719C90D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水环境质量底线</w:t>
                  </w:r>
                </w:p>
              </w:tc>
              <w:tc>
                <w:tcPr>
                  <w:tcW w:w="3417" w:type="dxa"/>
                  <w:gridSpan w:val="2"/>
                  <w:tcBorders>
                    <w:tl2br w:val="nil"/>
                    <w:tr2bl w:val="nil"/>
                  </w:tcBorders>
                  <w:noWrap w:val="0"/>
                  <w:vAlign w:val="center"/>
                </w:tcPr>
                <w:p w14:paraId="4FC313C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纳入国家和省级考核的地表水监测断面水质优良率稳步提升，滇池流域、阳宗海流域水环境质量明显改善，水生态系统功能逐步恢复，滇池草海水质达IV类，滇池外海水质达IV类（化学需氧量≤40毫克/升），阳宗海水质达Ⅲ类，集中式饮用水源水质巩固改善。</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地表水体水质优良率全面提升，各监测断面水质达到水环境功能要求，消除劣V类水体，集中式饮用水水源水质稳定达标。</w:t>
                  </w:r>
                </w:p>
              </w:tc>
              <w:tc>
                <w:tcPr>
                  <w:tcW w:w="2679" w:type="dxa"/>
                  <w:tcBorders>
                    <w:tl2br w:val="nil"/>
                    <w:tr2bl w:val="nil"/>
                  </w:tcBorders>
                  <w:noWrap w:val="0"/>
                  <w:vAlign w:val="center"/>
                </w:tcPr>
                <w:p w14:paraId="125CFBA0">
                  <w:pPr>
                    <w:widowControl/>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rPr>
                    <w:t>项目</w:t>
                  </w:r>
                  <w:r>
                    <w:rPr>
                      <w:rFonts w:hint="default" w:ascii="Times New Roman" w:hAnsi="Times New Roman" w:eastAsia="宋体" w:cs="Times New Roman"/>
                      <w:b w:val="0"/>
                      <w:bCs w:val="0"/>
                      <w:color w:val="auto"/>
                      <w:sz w:val="21"/>
                      <w:szCs w:val="21"/>
                      <w:highlight w:val="none"/>
                      <w:lang w:val="en-US" w:eastAsia="zh-CN"/>
                    </w:rPr>
                    <w:t>排水采用雨污分流的排水方式，项目区建筑物屋面及地面雨水经厂区雨水沟收集后排入园区雨水市政管网；项目</w:t>
                  </w:r>
                  <w:r>
                    <w:rPr>
                      <w:rFonts w:hint="eastAsia" w:cs="Times New Roman"/>
                      <w:color w:val="auto"/>
                      <w:kern w:val="0"/>
                      <w:sz w:val="21"/>
                      <w:szCs w:val="21"/>
                      <w:highlight w:val="none"/>
                      <w:lang w:val="en-US" w:eastAsia="zh-CN"/>
                    </w:rPr>
                    <w:t>设备冷却废水</w:t>
                  </w:r>
                  <w:r>
                    <w:rPr>
                      <w:rFonts w:hint="default" w:cs="Times New Roman"/>
                      <w:color w:val="auto"/>
                      <w:kern w:val="0"/>
                      <w:sz w:val="21"/>
                      <w:szCs w:val="21"/>
                      <w:highlight w:val="none"/>
                      <w:lang w:val="en-US" w:eastAsia="zh-CN"/>
                    </w:rPr>
                    <w:t>经循环冷却池冷却后循环使用不外排；</w:t>
                  </w:r>
                  <w:r>
                    <w:rPr>
                      <w:rFonts w:hint="eastAsia" w:cs="Times New Roman"/>
                      <w:color w:val="auto"/>
                      <w:kern w:val="0"/>
                      <w:sz w:val="21"/>
                      <w:szCs w:val="21"/>
                      <w:highlight w:val="none"/>
                      <w:lang w:val="en-US" w:eastAsia="zh-CN"/>
                    </w:rPr>
                    <w:t>化验后的容器清洗废水通过投加絮凝剂、加入酸碱中和剂等方式对废水进行沉淀、中和等简易处理，处理后的废水排入厂内拟建的污水处理站统一处置；吸收氨气的清水浓度大于10%时直接作为脱硝使用喷入</w:t>
                  </w:r>
                </w:p>
                <w:p w14:paraId="4436921F">
                  <w:pPr>
                    <w:jc w:val="center"/>
                    <w:rPr>
                      <w:rFonts w:hint="default" w:ascii="Times New Roman" w:hAnsi="Times New Roman" w:eastAsia="宋体" w:cs="Times New Roman"/>
                      <w:color w:val="auto"/>
                      <w:szCs w:val="21"/>
                      <w:highlight w:val="none"/>
                    </w:rPr>
                  </w:pPr>
                  <w:r>
                    <w:rPr>
                      <w:rFonts w:hint="eastAsia" w:cs="Times New Roman"/>
                      <w:color w:val="auto"/>
                      <w:kern w:val="0"/>
                      <w:sz w:val="21"/>
                      <w:szCs w:val="21"/>
                      <w:highlight w:val="none"/>
                      <w:lang w:val="en-US" w:eastAsia="zh-CN"/>
                    </w:rPr>
                    <w:t>炉膛内，不外排；</w:t>
                  </w:r>
                  <w:r>
                    <w:rPr>
                      <w:rFonts w:hint="default" w:ascii="Times New Roman" w:hAnsi="Times New Roman" w:eastAsia="宋体" w:cs="Times New Roman"/>
                      <w:color w:val="auto"/>
                      <w:sz w:val="21"/>
                      <w:szCs w:val="21"/>
                      <w:highlight w:val="none"/>
                      <w:lang w:eastAsia="zh-CN"/>
                    </w:rPr>
                    <w:t>生活污水处理达标后，</w:t>
                  </w:r>
                  <w:r>
                    <w:rPr>
                      <w:rFonts w:hint="default" w:ascii="Times New Roman" w:hAnsi="Times New Roman" w:eastAsia="宋体" w:cs="Times New Roman"/>
                      <w:b w:val="0"/>
                      <w:bCs w:val="0"/>
                      <w:color w:val="auto"/>
                      <w:sz w:val="21"/>
                      <w:szCs w:val="21"/>
                      <w:highlight w:val="none"/>
                      <w:lang w:val="en-US" w:eastAsia="zh-CN"/>
                    </w:rPr>
                    <w:t>用于项目区内绿化及道路场地洒水降尘，不外排</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color w:val="auto"/>
                      <w:szCs w:val="21"/>
                      <w:highlight w:val="none"/>
                      <w:lang w:val="zh-CN"/>
                    </w:rPr>
                    <w:t>不会对区域地表水环境造成影响，不会改变区域地表水环境功能区划</w:t>
                  </w:r>
                  <w:r>
                    <w:rPr>
                      <w:rFonts w:hint="default" w:ascii="Times New Roman" w:hAnsi="Times New Roman" w:eastAsia="宋体" w:cs="Times New Roman"/>
                      <w:color w:val="auto"/>
                      <w:szCs w:val="21"/>
                      <w:highlight w:val="none"/>
                    </w:rPr>
                    <w:t>。</w:t>
                  </w:r>
                </w:p>
              </w:tc>
              <w:tc>
                <w:tcPr>
                  <w:tcW w:w="699" w:type="dxa"/>
                  <w:tcBorders>
                    <w:tl2br w:val="nil"/>
                    <w:tr2bl w:val="nil"/>
                  </w:tcBorders>
                  <w:noWrap w:val="0"/>
                  <w:vAlign w:val="center"/>
                </w:tcPr>
                <w:p w14:paraId="619D958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5B7FBA3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94" w:type="dxa"/>
                  <w:vMerge w:val="continue"/>
                  <w:tcBorders>
                    <w:tl2br w:val="nil"/>
                    <w:tr2bl w:val="nil"/>
                  </w:tcBorders>
                  <w:noWrap w:val="0"/>
                  <w:vAlign w:val="center"/>
                </w:tcPr>
                <w:p w14:paraId="179669D0">
                  <w:pPr>
                    <w:jc w:val="center"/>
                    <w:rPr>
                      <w:rFonts w:hint="default" w:ascii="Times New Roman" w:hAnsi="Times New Roman" w:eastAsia="宋体" w:cs="Times New Roman"/>
                      <w:color w:val="auto"/>
                      <w:szCs w:val="21"/>
                      <w:highlight w:val="none"/>
                    </w:rPr>
                  </w:pPr>
                </w:p>
              </w:tc>
              <w:tc>
                <w:tcPr>
                  <w:tcW w:w="688" w:type="dxa"/>
                  <w:tcBorders>
                    <w:tl2br w:val="nil"/>
                    <w:tr2bl w:val="nil"/>
                  </w:tcBorders>
                  <w:noWrap w:val="0"/>
                  <w:vAlign w:val="center"/>
                </w:tcPr>
                <w:p w14:paraId="3A8AA2A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土壤环境风险防控底线</w:t>
                  </w:r>
                </w:p>
              </w:tc>
              <w:tc>
                <w:tcPr>
                  <w:tcW w:w="3417" w:type="dxa"/>
                  <w:gridSpan w:val="2"/>
                  <w:tcBorders>
                    <w:tl2br w:val="nil"/>
                    <w:tr2bl w:val="nil"/>
                  </w:tcBorders>
                  <w:noWrap w:val="0"/>
                  <w:vAlign w:val="center"/>
                </w:tcPr>
                <w:p w14:paraId="06FC6C4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土壤环境质量稳中向好，农用地和建设用地土壤环境安全得到有效保障，土壤环境风险得到全面管控。</w:t>
                  </w:r>
                </w:p>
              </w:tc>
              <w:tc>
                <w:tcPr>
                  <w:tcW w:w="2679" w:type="dxa"/>
                  <w:tcBorders>
                    <w:tl2br w:val="nil"/>
                    <w:tr2bl w:val="nil"/>
                  </w:tcBorders>
                  <w:noWrap w:val="0"/>
                  <w:vAlign w:val="center"/>
                </w:tcPr>
                <w:p w14:paraId="3694D39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Cs w:val="21"/>
                      <w:highlight w:val="none"/>
                      <w:lang w:val="zh-CN"/>
                    </w:rPr>
                    <w:t>采用“</w:t>
                  </w:r>
                  <w:r>
                    <w:rPr>
                      <w:rFonts w:hint="default" w:ascii="Times New Roman" w:hAnsi="Times New Roman" w:eastAsia="宋体" w:cs="Times New Roman"/>
                      <w:color w:val="auto"/>
                      <w:szCs w:val="21"/>
                      <w:highlight w:val="none"/>
                    </w:rPr>
                    <w:t>抗渗混凝土</w:t>
                  </w:r>
                  <w:r>
                    <w:rPr>
                      <w:rFonts w:hint="default" w:ascii="Times New Roman" w:hAnsi="Times New Roman" w:eastAsia="宋体" w:cs="Times New Roman"/>
                      <w:color w:val="auto"/>
                      <w:szCs w:val="21"/>
                      <w:highlight w:val="none"/>
                      <w:lang w:val="zh-CN"/>
                    </w:rPr>
                    <w:t>+2mm厚HDPE+环氧树脂”</w:t>
                  </w:r>
                  <w:r>
                    <w:rPr>
                      <w:rFonts w:hint="default" w:ascii="Times New Roman" w:hAnsi="Times New Roman" w:eastAsia="宋体" w:cs="Times New Roman"/>
                      <w:color w:val="auto"/>
                      <w:szCs w:val="21"/>
                      <w:highlight w:val="none"/>
                    </w:rPr>
                    <w:t>进行重点防渗处理</w:t>
                  </w:r>
                  <w:r>
                    <w:rPr>
                      <w:rFonts w:hint="default" w:ascii="Times New Roman" w:hAnsi="Times New Roman" w:eastAsia="宋体" w:cs="Times New Roman"/>
                      <w:color w:val="auto"/>
                      <w:szCs w:val="21"/>
                      <w:highlight w:val="none"/>
                      <w:lang w:val="zh-CN"/>
                    </w:rPr>
                    <w:t>，渗透系数≤10</w:t>
                  </w:r>
                  <w:r>
                    <w:rPr>
                      <w:rFonts w:hint="default" w:ascii="Times New Roman" w:hAnsi="Times New Roman" w:eastAsia="宋体" w:cs="Times New Roman"/>
                      <w:color w:val="auto"/>
                      <w:szCs w:val="21"/>
                      <w:highlight w:val="none"/>
                      <w:vertAlign w:val="superscript"/>
                      <w:lang w:val="zh-CN"/>
                    </w:rPr>
                    <w:t>-</w:t>
                  </w:r>
                  <w:r>
                    <w:rPr>
                      <w:rFonts w:hint="default" w:ascii="Times New Roman" w:hAnsi="Times New Roman" w:eastAsia="宋体" w:cs="Times New Roman"/>
                      <w:color w:val="auto"/>
                      <w:szCs w:val="21"/>
                      <w:highlight w:val="none"/>
                      <w:vertAlign w:val="superscript"/>
                      <w:lang w:val="en-US" w:eastAsia="zh-CN"/>
                    </w:rPr>
                    <w:t>10</w:t>
                  </w:r>
                  <w:r>
                    <w:rPr>
                      <w:rFonts w:hint="default" w:ascii="Times New Roman" w:hAnsi="Times New Roman" w:eastAsia="宋体" w:cs="Times New Roman"/>
                      <w:color w:val="auto"/>
                      <w:szCs w:val="21"/>
                      <w:highlight w:val="none"/>
                      <w:lang w:val="zh-CN"/>
                    </w:rPr>
                    <w:t>cm/s</w:t>
                  </w:r>
                  <w:r>
                    <w:rPr>
                      <w:rFonts w:hint="default" w:ascii="Times New Roman" w:hAnsi="Times New Roman" w:eastAsia="宋体" w:cs="Times New Roman"/>
                      <w:color w:val="auto"/>
                      <w:szCs w:val="21"/>
                      <w:highlight w:val="none"/>
                    </w:rPr>
                    <w:t>，并设置围堰等应急设施</w:t>
                  </w:r>
                  <w:r>
                    <w:rPr>
                      <w:rFonts w:hint="eastAsia" w:cs="Times New Roman"/>
                      <w:color w:val="auto"/>
                      <w:szCs w:val="21"/>
                      <w:highlight w:val="none"/>
                      <w:lang w:eastAsia="zh-CN"/>
                    </w:rPr>
                    <w:t>；</w:t>
                  </w:r>
                  <w:r>
                    <w:rPr>
                      <w:rFonts w:hint="default" w:ascii="Times New Roman" w:hAnsi="Times New Roman" w:eastAsia="宋体" w:cs="Times New Roman"/>
                      <w:b w:val="0"/>
                      <w:bCs w:val="0"/>
                      <w:color w:val="auto"/>
                      <w:highlight w:val="none"/>
                      <w:lang w:val="en-US" w:eastAsia="zh-CN"/>
                    </w:rPr>
                    <w:t>循环冷却水池、化粪池、一体化污水处理站、蓄水池、事故应急池、一般固体废物暂存区</w:t>
                  </w:r>
                  <w:r>
                    <w:rPr>
                      <w:rFonts w:hint="default" w:ascii="Times New Roman" w:hAnsi="Times New Roman" w:eastAsia="宋体" w:cs="Times New Roman"/>
                      <w:color w:val="auto"/>
                      <w:highlight w:val="none"/>
                      <w:lang w:val="en-US" w:eastAsia="zh-CN"/>
                    </w:rPr>
                    <w:t>进行一般防渗，</w:t>
                  </w:r>
                  <w:r>
                    <w:rPr>
                      <w:rFonts w:hint="default" w:ascii="Times New Roman" w:hAnsi="Times New Roman" w:eastAsia="宋体" w:cs="Times New Roman"/>
                      <w:b w:val="0"/>
                      <w:bCs w:val="0"/>
                      <w:color w:val="auto"/>
                      <w:highlight w:val="none"/>
                      <w:lang w:val="en-US" w:eastAsia="zh-CN"/>
                    </w:rPr>
                    <w:t>防渗技术要求达到等效黏土防渗层Mb≥1.5m，渗透系数≤10</w:t>
                  </w:r>
                  <w:r>
                    <w:rPr>
                      <w:rFonts w:hint="default" w:ascii="Times New Roman" w:hAnsi="Times New Roman" w:eastAsia="宋体" w:cs="Times New Roman"/>
                      <w:b w:val="0"/>
                      <w:bCs w:val="0"/>
                      <w:color w:val="auto"/>
                      <w:highlight w:val="none"/>
                      <w:vertAlign w:val="superscript"/>
                      <w:lang w:val="en-US" w:eastAsia="zh-CN"/>
                    </w:rPr>
                    <w:t>-7</w:t>
                  </w:r>
                  <w:r>
                    <w:rPr>
                      <w:rFonts w:hint="default" w:ascii="Times New Roman" w:hAnsi="Times New Roman" w:eastAsia="宋体" w:cs="Times New Roman"/>
                      <w:b w:val="0"/>
                      <w:bCs w:val="0"/>
                      <w:color w:val="auto"/>
                      <w:highlight w:val="none"/>
                      <w:lang w:val="en-US" w:eastAsia="zh-CN"/>
                    </w:rPr>
                    <w:t>cm/s</w:t>
                  </w:r>
                  <w:r>
                    <w:rPr>
                      <w:rFonts w:hint="eastAsia"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lang w:val="en-US" w:eastAsia="zh-CN"/>
                    </w:rPr>
                    <w:t>其余生产区、道路及办公区域（除绿化外）进行一般硬化处理。</w:t>
                  </w:r>
                  <w:r>
                    <w:rPr>
                      <w:rFonts w:hint="default" w:ascii="Times New Roman" w:hAnsi="Times New Roman" w:eastAsia="宋体" w:cs="Times New Roman"/>
                      <w:color w:val="auto"/>
                      <w:szCs w:val="21"/>
                      <w:highlight w:val="none"/>
                    </w:rPr>
                    <w:t>项目采取了土壤污染防控措施，对土壤环境质量影响较小。</w:t>
                  </w:r>
                </w:p>
              </w:tc>
              <w:tc>
                <w:tcPr>
                  <w:tcW w:w="699" w:type="dxa"/>
                  <w:tcBorders>
                    <w:tl2br w:val="nil"/>
                    <w:tr2bl w:val="nil"/>
                  </w:tcBorders>
                  <w:noWrap w:val="0"/>
                  <w:vAlign w:val="center"/>
                </w:tcPr>
                <w:p w14:paraId="52097C8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2B6C9C8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94" w:type="dxa"/>
                  <w:vMerge w:val="restart"/>
                  <w:tcBorders>
                    <w:tl2br w:val="nil"/>
                    <w:tr2bl w:val="nil"/>
                  </w:tcBorders>
                  <w:noWrap w:val="0"/>
                  <w:vAlign w:val="center"/>
                </w:tcPr>
                <w:p w14:paraId="4016998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资源利用上线</w:t>
                  </w:r>
                </w:p>
              </w:tc>
              <w:tc>
                <w:tcPr>
                  <w:tcW w:w="688" w:type="dxa"/>
                  <w:tcBorders>
                    <w:tl2br w:val="nil"/>
                    <w:tr2bl w:val="nil"/>
                  </w:tcBorders>
                  <w:noWrap w:val="0"/>
                  <w:vAlign w:val="center"/>
                </w:tcPr>
                <w:p w14:paraId="608C1B0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水资源利用上线</w:t>
                  </w:r>
                </w:p>
              </w:tc>
              <w:tc>
                <w:tcPr>
                  <w:tcW w:w="3417" w:type="dxa"/>
                  <w:gridSpan w:val="2"/>
                  <w:tcBorders>
                    <w:tl2br w:val="nil"/>
                    <w:tr2bl w:val="nil"/>
                  </w:tcBorders>
                  <w:noWrap w:val="0"/>
                  <w:vAlign w:val="center"/>
                </w:tcPr>
                <w:p w14:paraId="33764AF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按照国家、省、市有关要求和规划，按时完成全市用水总量、用水效率、限制纳污“三条红线”水资源上限控制指标；</w:t>
                  </w:r>
                </w:p>
              </w:tc>
              <w:tc>
                <w:tcPr>
                  <w:tcW w:w="2679" w:type="dxa"/>
                  <w:tcBorders>
                    <w:tl2br w:val="nil"/>
                    <w:tr2bl w:val="nil"/>
                  </w:tcBorders>
                  <w:noWrap w:val="0"/>
                  <w:vAlign w:val="center"/>
                </w:tcPr>
                <w:p w14:paraId="43A9A03A">
                  <w:pPr>
                    <w:widowControl/>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w:t>
                  </w:r>
                  <w:r>
                    <w:rPr>
                      <w:rFonts w:hint="eastAsia" w:cs="Times New Roman"/>
                      <w:color w:val="auto"/>
                      <w:kern w:val="0"/>
                      <w:sz w:val="21"/>
                      <w:szCs w:val="21"/>
                      <w:highlight w:val="none"/>
                      <w:lang w:val="en-US" w:eastAsia="zh-CN"/>
                    </w:rPr>
                    <w:t>设备冷却废水</w:t>
                  </w:r>
                  <w:r>
                    <w:rPr>
                      <w:rFonts w:hint="default" w:cs="Times New Roman"/>
                      <w:color w:val="auto"/>
                      <w:kern w:val="0"/>
                      <w:sz w:val="21"/>
                      <w:szCs w:val="21"/>
                      <w:highlight w:val="none"/>
                      <w:lang w:val="en-US" w:eastAsia="zh-CN"/>
                    </w:rPr>
                    <w:t>经循环冷却池冷却后循环使用不外排；</w:t>
                  </w:r>
                  <w:r>
                    <w:rPr>
                      <w:rFonts w:hint="eastAsia" w:cs="Times New Roman"/>
                      <w:color w:val="auto"/>
                      <w:kern w:val="0"/>
                      <w:sz w:val="21"/>
                      <w:szCs w:val="21"/>
                      <w:highlight w:val="none"/>
                      <w:lang w:val="en-US" w:eastAsia="zh-CN"/>
                    </w:rPr>
                    <w:t>化验后的容器清洗废水通过投加絮凝剂、加入酸碱中和剂等方式对废水进行沉淀、中和等简易处理，处理后的废水排入厂内拟建的污水处理站统一处置；吸收氨气的清水浓度大于10%时直接作为脱硝使用喷入</w:t>
                  </w:r>
                </w:p>
                <w:p w14:paraId="20CA393A">
                  <w:pPr>
                    <w:jc w:val="center"/>
                    <w:rPr>
                      <w:rFonts w:hint="default" w:ascii="Times New Roman" w:hAnsi="Times New Roman" w:eastAsia="宋体" w:cs="Times New Roman"/>
                      <w:color w:val="auto"/>
                      <w:szCs w:val="21"/>
                      <w:highlight w:val="none"/>
                    </w:rPr>
                  </w:pPr>
                  <w:r>
                    <w:rPr>
                      <w:rFonts w:hint="eastAsia" w:cs="Times New Roman"/>
                      <w:color w:val="auto"/>
                      <w:kern w:val="0"/>
                      <w:sz w:val="21"/>
                      <w:szCs w:val="21"/>
                      <w:highlight w:val="none"/>
                      <w:lang w:val="en-US" w:eastAsia="zh-CN"/>
                    </w:rPr>
                    <w:t>炉膛内，不外排；</w:t>
                  </w:r>
                  <w:r>
                    <w:rPr>
                      <w:rFonts w:hint="default" w:ascii="Times New Roman" w:hAnsi="Times New Roman" w:eastAsia="宋体" w:cs="Times New Roman"/>
                      <w:color w:val="auto"/>
                      <w:sz w:val="21"/>
                      <w:szCs w:val="21"/>
                      <w:highlight w:val="none"/>
                      <w:lang w:eastAsia="zh-CN"/>
                    </w:rPr>
                    <w:t>生活污水处理达标后，</w:t>
                  </w:r>
                  <w:r>
                    <w:rPr>
                      <w:rFonts w:hint="default" w:ascii="Times New Roman" w:hAnsi="Times New Roman" w:eastAsia="宋体" w:cs="Times New Roman"/>
                      <w:b w:val="0"/>
                      <w:bCs w:val="0"/>
                      <w:color w:val="auto"/>
                      <w:sz w:val="21"/>
                      <w:szCs w:val="21"/>
                      <w:highlight w:val="none"/>
                      <w:lang w:val="en-US" w:eastAsia="zh-CN"/>
                    </w:rPr>
                    <w:t>用于项目区内绿化及道路场地洒水降尘，不外排</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color w:val="auto"/>
                      <w:szCs w:val="21"/>
                      <w:highlight w:val="none"/>
                    </w:rPr>
                    <w:t>不属于高耗水项目。</w:t>
                  </w:r>
                </w:p>
              </w:tc>
              <w:tc>
                <w:tcPr>
                  <w:tcW w:w="699" w:type="dxa"/>
                  <w:tcBorders>
                    <w:tl2br w:val="nil"/>
                    <w:tr2bl w:val="nil"/>
                  </w:tcBorders>
                  <w:noWrap w:val="0"/>
                  <w:vAlign w:val="center"/>
                </w:tcPr>
                <w:p w14:paraId="258C578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775DB42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94" w:type="dxa"/>
                  <w:vMerge w:val="continue"/>
                  <w:tcBorders>
                    <w:tl2br w:val="nil"/>
                    <w:tr2bl w:val="nil"/>
                  </w:tcBorders>
                  <w:noWrap w:val="0"/>
                  <w:vAlign w:val="center"/>
                </w:tcPr>
                <w:p w14:paraId="68C78D54">
                  <w:pPr>
                    <w:jc w:val="center"/>
                    <w:rPr>
                      <w:rFonts w:hint="default" w:ascii="Times New Roman" w:hAnsi="Times New Roman" w:eastAsia="宋体" w:cs="Times New Roman"/>
                      <w:color w:val="auto"/>
                      <w:szCs w:val="21"/>
                      <w:highlight w:val="none"/>
                    </w:rPr>
                  </w:pPr>
                </w:p>
              </w:tc>
              <w:tc>
                <w:tcPr>
                  <w:tcW w:w="688" w:type="dxa"/>
                  <w:tcBorders>
                    <w:tl2br w:val="nil"/>
                    <w:tr2bl w:val="nil"/>
                  </w:tcBorders>
                  <w:noWrap w:val="0"/>
                  <w:vAlign w:val="center"/>
                </w:tcPr>
                <w:p w14:paraId="39B0233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能源利用上线</w:t>
                  </w:r>
                </w:p>
              </w:tc>
              <w:tc>
                <w:tcPr>
                  <w:tcW w:w="3417" w:type="dxa"/>
                  <w:gridSpan w:val="2"/>
                  <w:tcBorders>
                    <w:tl2br w:val="nil"/>
                    <w:tr2bl w:val="nil"/>
                  </w:tcBorders>
                  <w:noWrap w:val="0"/>
                  <w:vAlign w:val="center"/>
                </w:tcPr>
                <w:p w14:paraId="13251E0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按时完成单位GDP能耗下降率、能源消费总量等能源控制指标。</w:t>
                  </w:r>
                </w:p>
              </w:tc>
              <w:tc>
                <w:tcPr>
                  <w:tcW w:w="2679" w:type="dxa"/>
                  <w:tcBorders>
                    <w:tl2br w:val="nil"/>
                    <w:tr2bl w:val="nil"/>
                  </w:tcBorders>
                  <w:noWrap w:val="0"/>
                  <w:vAlign w:val="center"/>
                </w:tcPr>
                <w:p w14:paraId="1BE54CD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项目生产过程中</w:t>
                  </w:r>
                  <w:r>
                    <w:rPr>
                      <w:rFonts w:hint="eastAsia" w:cs="Times New Roman"/>
                      <w:color w:val="auto"/>
                      <w:szCs w:val="21"/>
                      <w:highlight w:val="none"/>
                      <w:lang w:eastAsia="zh-CN"/>
                    </w:rPr>
                    <w:t>主要</w:t>
                  </w:r>
                  <w:r>
                    <w:rPr>
                      <w:rFonts w:hint="default" w:ascii="Times New Roman" w:hAnsi="Times New Roman" w:eastAsia="宋体" w:cs="Times New Roman"/>
                      <w:color w:val="auto"/>
                      <w:szCs w:val="21"/>
                      <w:highlight w:val="none"/>
                    </w:rPr>
                    <w:t>使用电能，</w:t>
                  </w:r>
                  <w:r>
                    <w:rPr>
                      <w:rFonts w:hint="eastAsia" w:cs="Times New Roman"/>
                      <w:color w:val="auto"/>
                      <w:szCs w:val="21"/>
                      <w:highlight w:val="none"/>
                      <w:lang w:eastAsia="zh-CN"/>
                    </w:rPr>
                    <w:t>烘干工序使用生物质颗粒作为燃料，</w:t>
                  </w:r>
                  <w:r>
                    <w:rPr>
                      <w:rFonts w:hint="default" w:ascii="Times New Roman" w:hAnsi="Times New Roman" w:eastAsia="宋体" w:cs="Times New Roman"/>
                      <w:color w:val="auto"/>
                      <w:szCs w:val="21"/>
                      <w:highlight w:val="none"/>
                    </w:rPr>
                    <w:t>不属于高耗能项目。</w:t>
                  </w:r>
                </w:p>
              </w:tc>
              <w:tc>
                <w:tcPr>
                  <w:tcW w:w="699" w:type="dxa"/>
                  <w:tcBorders>
                    <w:tl2br w:val="nil"/>
                    <w:tr2bl w:val="nil"/>
                  </w:tcBorders>
                  <w:noWrap w:val="0"/>
                  <w:vAlign w:val="center"/>
                </w:tcPr>
                <w:p w14:paraId="6C333A1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54CAB20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94" w:type="dxa"/>
                  <w:vMerge w:val="continue"/>
                  <w:tcBorders>
                    <w:tl2br w:val="nil"/>
                    <w:tr2bl w:val="nil"/>
                  </w:tcBorders>
                  <w:noWrap w:val="0"/>
                  <w:vAlign w:val="center"/>
                </w:tcPr>
                <w:p w14:paraId="1BED1689">
                  <w:pPr>
                    <w:jc w:val="center"/>
                    <w:rPr>
                      <w:rFonts w:hint="default" w:ascii="Times New Roman" w:hAnsi="Times New Roman" w:eastAsia="宋体" w:cs="Times New Roman"/>
                      <w:color w:val="auto"/>
                      <w:szCs w:val="21"/>
                      <w:highlight w:val="none"/>
                    </w:rPr>
                  </w:pPr>
                </w:p>
              </w:tc>
              <w:tc>
                <w:tcPr>
                  <w:tcW w:w="688" w:type="dxa"/>
                  <w:tcBorders>
                    <w:tl2br w:val="nil"/>
                    <w:tr2bl w:val="nil"/>
                  </w:tcBorders>
                  <w:noWrap w:val="0"/>
                  <w:vAlign w:val="center"/>
                </w:tcPr>
                <w:p w14:paraId="4E9BEF1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土地资源利用上线</w:t>
                  </w:r>
                </w:p>
              </w:tc>
              <w:tc>
                <w:tcPr>
                  <w:tcW w:w="3417" w:type="dxa"/>
                  <w:gridSpan w:val="2"/>
                  <w:tcBorders>
                    <w:tl2br w:val="nil"/>
                    <w:tr2bl w:val="nil"/>
                  </w:tcBorders>
                  <w:noWrap w:val="0"/>
                  <w:vAlign w:val="center"/>
                </w:tcPr>
                <w:p w14:paraId="689AF6D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按时完成耕地保有量、基本农田保护面积、建设用地总规模等土地资源利用上限控制指标。</w:t>
                  </w:r>
                </w:p>
              </w:tc>
              <w:tc>
                <w:tcPr>
                  <w:tcW w:w="2679" w:type="dxa"/>
                  <w:tcBorders>
                    <w:tl2br w:val="nil"/>
                    <w:tr2bl w:val="nil"/>
                  </w:tcBorders>
                  <w:noWrap w:val="0"/>
                  <w:vAlign w:val="center"/>
                </w:tcPr>
                <w:p w14:paraId="436F1EA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项目不占用耕地及基本农田，用地类型为工业</w:t>
                  </w:r>
                  <w:r>
                    <w:rPr>
                      <w:rFonts w:hint="eastAsia" w:cs="Times New Roman"/>
                      <w:color w:val="auto"/>
                      <w:szCs w:val="21"/>
                      <w:highlight w:val="none"/>
                      <w:lang w:eastAsia="zh-CN"/>
                    </w:rPr>
                    <w:t>用</w:t>
                  </w:r>
                  <w:r>
                    <w:rPr>
                      <w:rFonts w:hint="default" w:ascii="Times New Roman" w:hAnsi="Times New Roman" w:eastAsia="宋体" w:cs="Times New Roman"/>
                      <w:color w:val="auto"/>
                      <w:szCs w:val="21"/>
                      <w:highlight w:val="none"/>
                    </w:rPr>
                    <w:t>地，不会突破当地土地资源利用</w:t>
                  </w:r>
                  <w:r>
                    <w:rPr>
                      <w:rFonts w:hint="eastAsia" w:cs="Times New Roman"/>
                      <w:color w:val="auto"/>
                      <w:szCs w:val="21"/>
                      <w:highlight w:val="none"/>
                      <w:lang w:eastAsia="zh-CN"/>
                    </w:rPr>
                    <w:t>上限</w:t>
                  </w:r>
                  <w:r>
                    <w:rPr>
                      <w:rFonts w:hint="default" w:ascii="Times New Roman" w:hAnsi="Times New Roman" w:eastAsia="宋体" w:cs="Times New Roman"/>
                      <w:color w:val="auto"/>
                      <w:szCs w:val="21"/>
                      <w:highlight w:val="none"/>
                    </w:rPr>
                    <w:t>。</w:t>
                  </w:r>
                </w:p>
              </w:tc>
              <w:tc>
                <w:tcPr>
                  <w:tcW w:w="699" w:type="dxa"/>
                  <w:tcBorders>
                    <w:tl2br w:val="nil"/>
                    <w:tr2bl w:val="nil"/>
                  </w:tcBorders>
                  <w:noWrap w:val="0"/>
                  <w:vAlign w:val="center"/>
                </w:tcPr>
                <w:p w14:paraId="3445124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2D2AD77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94" w:type="dxa"/>
                  <w:vMerge w:val="restart"/>
                  <w:tcBorders>
                    <w:tl2br w:val="nil"/>
                    <w:tr2bl w:val="nil"/>
                  </w:tcBorders>
                  <w:noWrap w:val="0"/>
                  <w:vAlign w:val="center"/>
                </w:tcPr>
                <w:p w14:paraId="616F806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生态环境准入清单</w:t>
                  </w:r>
                </w:p>
              </w:tc>
              <w:tc>
                <w:tcPr>
                  <w:tcW w:w="688" w:type="dxa"/>
                  <w:vMerge w:val="restart"/>
                  <w:tcBorders>
                    <w:tl2br w:val="nil"/>
                    <w:tr2bl w:val="nil"/>
                  </w:tcBorders>
                  <w:noWrap w:val="0"/>
                  <w:vAlign w:val="center"/>
                </w:tcPr>
                <w:p w14:paraId="0C5E042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重点管控单元（云南寻甸特色产业园区重点管控单元）</w:t>
                  </w:r>
                </w:p>
              </w:tc>
              <w:tc>
                <w:tcPr>
                  <w:tcW w:w="421" w:type="dxa"/>
                  <w:tcBorders>
                    <w:tl2br w:val="nil"/>
                    <w:tr2bl w:val="nil"/>
                  </w:tcBorders>
                  <w:noWrap w:val="0"/>
                  <w:vAlign w:val="center"/>
                </w:tcPr>
                <w:p w14:paraId="07A9F04A">
                  <w:pPr>
                    <w:snapToGrid w:val="0"/>
                    <w:jc w:val="center"/>
                    <w:rPr>
                      <w:rStyle w:val="103"/>
                      <w:rFonts w:hint="default" w:ascii="Times New Roman" w:hAnsi="Times New Roman" w:eastAsia="宋体" w:cs="Times New Roman"/>
                      <w:color w:val="auto"/>
                      <w:kern w:val="0"/>
                      <w:szCs w:val="21"/>
                      <w:highlight w:val="none"/>
                    </w:rPr>
                  </w:pPr>
                  <w:r>
                    <w:rPr>
                      <w:rStyle w:val="103"/>
                      <w:rFonts w:hint="default" w:ascii="Times New Roman" w:hAnsi="Times New Roman" w:eastAsia="宋体" w:cs="Times New Roman"/>
                      <w:color w:val="auto"/>
                      <w:kern w:val="0"/>
                      <w:szCs w:val="21"/>
                      <w:highlight w:val="none"/>
                    </w:rPr>
                    <w:t>空间布局</w:t>
                  </w:r>
                </w:p>
                <w:p w14:paraId="2810C7F1">
                  <w:pPr>
                    <w:snapToGrid w:val="0"/>
                    <w:jc w:val="center"/>
                    <w:rPr>
                      <w:rFonts w:hint="default" w:ascii="Times New Roman" w:hAnsi="Times New Roman" w:eastAsia="宋体" w:cs="Times New Roman"/>
                      <w:color w:val="auto"/>
                      <w:szCs w:val="21"/>
                      <w:highlight w:val="none"/>
                    </w:rPr>
                  </w:pPr>
                  <w:r>
                    <w:rPr>
                      <w:rStyle w:val="103"/>
                      <w:rFonts w:hint="default" w:ascii="Times New Roman" w:hAnsi="Times New Roman" w:eastAsia="宋体" w:cs="Times New Roman"/>
                      <w:color w:val="auto"/>
                      <w:kern w:val="0"/>
                      <w:szCs w:val="21"/>
                      <w:highlight w:val="none"/>
                    </w:rPr>
                    <w:t>约束</w:t>
                  </w:r>
                </w:p>
              </w:tc>
              <w:tc>
                <w:tcPr>
                  <w:tcW w:w="2996" w:type="dxa"/>
                  <w:tcBorders>
                    <w:tl2br w:val="nil"/>
                    <w:tr2bl w:val="nil"/>
                  </w:tcBorders>
                  <w:noWrap w:val="0"/>
                  <w:vAlign w:val="center"/>
                </w:tcPr>
                <w:p w14:paraId="7478A234">
                  <w:pPr>
                    <w:snapToGrid/>
                    <w:spacing w:line="240" w:lineRule="auto"/>
                    <w:jc w:val="center"/>
                    <w:outlineLvl w:val="9"/>
                    <w:rPr>
                      <w:rStyle w:val="103"/>
                      <w:rFonts w:hint="default" w:ascii="Times New Roman" w:hAnsi="Times New Roman" w:eastAsia="宋体" w:cs="Times New Roman"/>
                      <w:color w:val="auto"/>
                      <w:kern w:val="0"/>
                      <w:szCs w:val="21"/>
                      <w:highlight w:val="none"/>
                    </w:rPr>
                  </w:pPr>
                  <w:r>
                    <w:rPr>
                      <w:rStyle w:val="103"/>
                      <w:rFonts w:hint="default" w:ascii="Times New Roman" w:hAnsi="Times New Roman" w:eastAsia="宋体" w:cs="Times New Roman"/>
                      <w:color w:val="auto"/>
                      <w:kern w:val="0"/>
                      <w:szCs w:val="21"/>
                      <w:highlight w:val="none"/>
                    </w:rPr>
                    <w:t>1.金所片区重点发展新型材料和家具制造产业，羊街片区重点发展先进装备制造和家具制造产业。</w:t>
                  </w:r>
                </w:p>
                <w:p w14:paraId="52E580BF">
                  <w:pPr>
                    <w:snapToGrid/>
                    <w:spacing w:line="240" w:lineRule="auto"/>
                    <w:jc w:val="center"/>
                    <w:outlineLvl w:val="9"/>
                    <w:rPr>
                      <w:rStyle w:val="103"/>
                      <w:rFonts w:hint="default" w:ascii="Times New Roman" w:hAnsi="Times New Roman" w:eastAsia="宋体" w:cs="Times New Roman"/>
                      <w:color w:val="auto"/>
                      <w:spacing w:val="-6"/>
                      <w:kern w:val="0"/>
                      <w:szCs w:val="21"/>
                      <w:highlight w:val="none"/>
                    </w:rPr>
                  </w:pPr>
                  <w:r>
                    <w:rPr>
                      <w:rStyle w:val="103"/>
                      <w:rFonts w:hint="default" w:ascii="Times New Roman" w:hAnsi="Times New Roman" w:eastAsia="宋体" w:cs="Times New Roman"/>
                      <w:color w:val="auto"/>
                      <w:kern w:val="0"/>
                      <w:szCs w:val="21"/>
                      <w:highlight w:val="none"/>
                    </w:rPr>
                    <w:t>2.禁止引入造纸、印染等需水量大，生产废水不能实现循环回用不外排的企业。</w:t>
                  </w:r>
                </w:p>
              </w:tc>
              <w:tc>
                <w:tcPr>
                  <w:tcW w:w="2679" w:type="dxa"/>
                  <w:tcBorders>
                    <w:tl2br w:val="nil"/>
                    <w:tr2bl w:val="nil"/>
                  </w:tcBorders>
                  <w:noWrap w:val="0"/>
                  <w:vAlign w:val="center"/>
                </w:tcPr>
                <w:p w14:paraId="3BFF3912">
                  <w:pPr>
                    <w:snapToGrid/>
                    <w:spacing w:line="240" w:lineRule="auto"/>
                    <w:jc w:val="center"/>
                    <w:outlineLvl w:val="9"/>
                    <w:rPr>
                      <w:rStyle w:val="103"/>
                      <w:rFonts w:hint="default" w:ascii="Times New Roman" w:hAnsi="Times New Roman" w:eastAsia="宋体" w:cs="Times New Roman"/>
                      <w:color w:val="auto"/>
                      <w:kern w:val="0"/>
                      <w:szCs w:val="21"/>
                      <w:highlight w:val="none"/>
                      <w:lang w:val="en-US" w:eastAsia="zh-CN"/>
                    </w:rPr>
                  </w:pPr>
                  <w:r>
                    <w:rPr>
                      <w:rStyle w:val="103"/>
                      <w:rFonts w:hint="default" w:ascii="Times New Roman" w:hAnsi="Times New Roman" w:eastAsia="宋体" w:cs="Times New Roman"/>
                      <w:color w:val="auto"/>
                      <w:kern w:val="0"/>
                      <w:szCs w:val="21"/>
                      <w:highlight w:val="none"/>
                      <w:lang w:val="en-US" w:eastAsia="zh-CN"/>
                    </w:rPr>
                    <w:t>1.</w:t>
                  </w:r>
                  <w:r>
                    <w:rPr>
                      <w:rStyle w:val="103"/>
                      <w:rFonts w:hint="default" w:ascii="Times New Roman" w:hAnsi="Times New Roman" w:eastAsia="宋体" w:cs="Times New Roman"/>
                      <w:color w:val="auto"/>
                      <w:kern w:val="0"/>
                      <w:sz w:val="21"/>
                      <w:szCs w:val="21"/>
                      <w:highlight w:val="none"/>
                      <w:lang w:val="en-US" w:eastAsia="zh-CN"/>
                    </w:rPr>
                    <w:t>本项目位于</w:t>
                  </w:r>
                  <w:r>
                    <w:rPr>
                      <w:rFonts w:hint="default" w:ascii="Times New Roman" w:hAnsi="Times New Roman" w:eastAsia="宋体" w:cs="Times New Roman"/>
                      <w:color w:val="auto"/>
                      <w:kern w:val="0"/>
                      <w:szCs w:val="21"/>
                      <w:highlight w:val="none"/>
                      <w:lang w:eastAsia="zh-CN"/>
                    </w:rPr>
                    <w:t>云南寻甸产业园区金所片区金所组团内</w:t>
                  </w:r>
                  <w:r>
                    <w:rPr>
                      <w:rStyle w:val="103"/>
                      <w:rFonts w:hint="default" w:ascii="Times New Roman" w:hAnsi="Times New Roman" w:eastAsia="宋体" w:cs="Times New Roman"/>
                      <w:color w:val="auto"/>
                      <w:kern w:val="0"/>
                      <w:szCs w:val="21"/>
                      <w:highlight w:val="none"/>
                      <w:lang w:val="en-US" w:eastAsia="zh-CN"/>
                    </w:rPr>
                    <w:t>，属于</w:t>
                  </w:r>
                  <w:r>
                    <w:rPr>
                      <w:rFonts w:hint="eastAsia" w:ascii="Times New Roman" w:hAnsi="Times New Roman" w:eastAsia="宋体" w:cs="Times New Roman"/>
                      <w:color w:val="auto"/>
                      <w:sz w:val="21"/>
                      <w:szCs w:val="21"/>
                      <w:highlight w:val="none"/>
                      <w:lang w:val="en-US" w:eastAsia="zh-CN"/>
                    </w:rPr>
                    <w:t>其他煤炭加工</w:t>
                  </w:r>
                  <w:r>
                    <w:rPr>
                      <w:rStyle w:val="103"/>
                      <w:rFonts w:hint="default" w:ascii="Times New Roman" w:hAnsi="Times New Roman" w:eastAsia="宋体" w:cs="Times New Roman"/>
                      <w:color w:val="auto"/>
                      <w:kern w:val="0"/>
                      <w:szCs w:val="21"/>
                      <w:highlight w:val="none"/>
                      <w:lang w:val="en-US" w:eastAsia="zh-CN"/>
                    </w:rPr>
                    <w:t>，与金所片区发展规划不冲突</w:t>
                  </w:r>
                  <w:r>
                    <w:rPr>
                      <w:rStyle w:val="103"/>
                      <w:rFonts w:hint="default" w:ascii="Times New Roman" w:hAnsi="Times New Roman" w:eastAsia="宋体" w:cs="Times New Roman"/>
                      <w:color w:val="auto"/>
                      <w:kern w:val="0"/>
                      <w:szCs w:val="21"/>
                      <w:highlight w:val="none"/>
                    </w:rPr>
                    <w:t>。</w:t>
                  </w:r>
                </w:p>
                <w:p w14:paraId="04A70946">
                  <w:pPr>
                    <w:widowControl/>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Style w:val="103"/>
                      <w:rFonts w:hint="default" w:ascii="Times New Roman" w:hAnsi="Times New Roman" w:eastAsia="宋体" w:cs="Times New Roman"/>
                      <w:color w:val="auto"/>
                      <w:kern w:val="0"/>
                      <w:szCs w:val="21"/>
                      <w:highlight w:val="none"/>
                      <w:lang w:val="en-US" w:eastAsia="zh-CN"/>
                    </w:rPr>
                    <w:t>2</w:t>
                  </w:r>
                  <w:r>
                    <w:rPr>
                      <w:rStyle w:val="103"/>
                      <w:rFonts w:hint="default" w:ascii="Times New Roman" w:hAnsi="Times New Roman" w:eastAsia="宋体" w:cs="Times New Roman"/>
                      <w:color w:val="auto"/>
                      <w:kern w:val="0"/>
                      <w:szCs w:val="21"/>
                      <w:highlight w:val="none"/>
                    </w:rPr>
                    <w:t>.</w:t>
                  </w:r>
                  <w:r>
                    <w:rPr>
                      <w:rStyle w:val="103"/>
                      <w:rFonts w:hint="default" w:ascii="Times New Roman" w:hAnsi="Times New Roman" w:eastAsia="宋体" w:cs="Times New Roman"/>
                      <w:color w:val="auto"/>
                      <w:kern w:val="0"/>
                      <w:szCs w:val="21"/>
                      <w:highlight w:val="none"/>
                      <w:lang w:val="en-US" w:eastAsia="zh-CN"/>
                    </w:rPr>
                    <w:t>本项目不属于造纸、印染类企业，</w:t>
                  </w:r>
                  <w:r>
                    <w:rPr>
                      <w:rFonts w:hint="default" w:ascii="Times New Roman" w:hAnsi="Times New Roman" w:eastAsia="宋体" w:cs="Times New Roman"/>
                      <w:b w:val="0"/>
                      <w:bCs w:val="0"/>
                      <w:color w:val="auto"/>
                      <w:sz w:val="21"/>
                      <w:szCs w:val="21"/>
                      <w:highlight w:val="none"/>
                      <w:lang w:val="en-US" w:eastAsia="zh-CN"/>
                    </w:rPr>
                    <w:t>项目</w:t>
                  </w:r>
                  <w:r>
                    <w:rPr>
                      <w:rFonts w:hint="eastAsia" w:cs="Times New Roman"/>
                      <w:color w:val="auto"/>
                      <w:kern w:val="0"/>
                      <w:sz w:val="21"/>
                      <w:szCs w:val="21"/>
                      <w:highlight w:val="none"/>
                      <w:lang w:val="en-US" w:eastAsia="zh-CN"/>
                    </w:rPr>
                    <w:t>设备冷却废水</w:t>
                  </w:r>
                  <w:r>
                    <w:rPr>
                      <w:rFonts w:hint="default" w:cs="Times New Roman"/>
                      <w:color w:val="auto"/>
                      <w:kern w:val="0"/>
                      <w:sz w:val="21"/>
                      <w:szCs w:val="21"/>
                      <w:highlight w:val="none"/>
                      <w:lang w:val="en-US" w:eastAsia="zh-CN"/>
                    </w:rPr>
                    <w:t>经循环冷却池冷却后循环使用不外排；</w:t>
                  </w:r>
                  <w:r>
                    <w:rPr>
                      <w:rFonts w:hint="eastAsia" w:cs="Times New Roman"/>
                      <w:color w:val="auto"/>
                      <w:kern w:val="0"/>
                      <w:sz w:val="21"/>
                      <w:szCs w:val="21"/>
                      <w:highlight w:val="none"/>
                      <w:lang w:val="en-US" w:eastAsia="zh-CN"/>
                    </w:rPr>
                    <w:t>化验后的容器清洗废水通过投加絮凝剂、加入酸碱中和剂等方式对废水进行沉淀、中和等简易处理，处理后的废水排入厂内拟建的污水处理站统一处置；吸收氨气的清水浓度大于10%时直接作为脱硝使用喷入</w:t>
                  </w:r>
                </w:p>
                <w:p w14:paraId="5BD836D9">
                  <w:pPr>
                    <w:snapToGrid/>
                    <w:spacing w:line="240" w:lineRule="auto"/>
                    <w:jc w:val="center"/>
                    <w:outlineLvl w:val="9"/>
                    <w:rPr>
                      <w:rStyle w:val="103"/>
                      <w:rFonts w:hint="default" w:ascii="Times New Roman" w:hAnsi="Times New Roman" w:eastAsia="宋体" w:cs="Times New Roman"/>
                      <w:color w:val="auto"/>
                      <w:kern w:val="0"/>
                      <w:szCs w:val="21"/>
                      <w:highlight w:val="none"/>
                    </w:rPr>
                  </w:pPr>
                  <w:r>
                    <w:rPr>
                      <w:rFonts w:hint="eastAsia" w:cs="Times New Roman"/>
                      <w:color w:val="auto"/>
                      <w:kern w:val="0"/>
                      <w:sz w:val="21"/>
                      <w:szCs w:val="21"/>
                      <w:highlight w:val="none"/>
                      <w:lang w:val="en-US" w:eastAsia="zh-CN"/>
                    </w:rPr>
                    <w:t>炉膛内，不外排；</w:t>
                  </w:r>
                  <w:r>
                    <w:rPr>
                      <w:rFonts w:hint="default" w:ascii="Times New Roman" w:hAnsi="Times New Roman" w:eastAsia="宋体" w:cs="Times New Roman"/>
                      <w:color w:val="auto"/>
                      <w:sz w:val="21"/>
                      <w:szCs w:val="21"/>
                      <w:highlight w:val="none"/>
                      <w:lang w:eastAsia="zh-CN"/>
                    </w:rPr>
                    <w:t>生活污水处理达标后，</w:t>
                  </w:r>
                  <w:r>
                    <w:rPr>
                      <w:rFonts w:hint="default" w:ascii="Times New Roman" w:hAnsi="Times New Roman" w:eastAsia="宋体" w:cs="Times New Roman"/>
                      <w:b w:val="0"/>
                      <w:bCs w:val="0"/>
                      <w:color w:val="auto"/>
                      <w:sz w:val="21"/>
                      <w:szCs w:val="21"/>
                      <w:highlight w:val="none"/>
                      <w:lang w:val="en-US" w:eastAsia="zh-CN"/>
                    </w:rPr>
                    <w:t>用于项目区内绿化及道路场地洒水降尘，不外排</w:t>
                  </w:r>
                  <w:r>
                    <w:rPr>
                      <w:rStyle w:val="103"/>
                      <w:rFonts w:hint="default" w:ascii="Times New Roman" w:hAnsi="Times New Roman" w:eastAsia="宋体" w:cs="Times New Roman"/>
                      <w:color w:val="auto"/>
                      <w:kern w:val="0"/>
                      <w:szCs w:val="21"/>
                      <w:highlight w:val="none"/>
                    </w:rPr>
                    <w:t>。</w:t>
                  </w:r>
                </w:p>
              </w:tc>
              <w:tc>
                <w:tcPr>
                  <w:tcW w:w="699" w:type="dxa"/>
                  <w:tcBorders>
                    <w:tl2br w:val="nil"/>
                    <w:tr2bl w:val="nil"/>
                  </w:tcBorders>
                  <w:noWrap w:val="0"/>
                  <w:vAlign w:val="center"/>
                </w:tcPr>
                <w:p w14:paraId="56C793B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268D801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94" w:type="dxa"/>
                  <w:vMerge w:val="continue"/>
                  <w:tcBorders>
                    <w:tl2br w:val="nil"/>
                    <w:tr2bl w:val="nil"/>
                  </w:tcBorders>
                  <w:noWrap w:val="0"/>
                  <w:vAlign w:val="center"/>
                </w:tcPr>
                <w:p w14:paraId="54076276">
                  <w:pPr>
                    <w:jc w:val="center"/>
                    <w:rPr>
                      <w:rFonts w:hint="default" w:ascii="Times New Roman" w:hAnsi="Times New Roman" w:eastAsia="宋体" w:cs="Times New Roman"/>
                      <w:color w:val="auto"/>
                      <w:szCs w:val="21"/>
                      <w:highlight w:val="none"/>
                    </w:rPr>
                  </w:pPr>
                </w:p>
              </w:tc>
              <w:tc>
                <w:tcPr>
                  <w:tcW w:w="688" w:type="dxa"/>
                  <w:vMerge w:val="continue"/>
                  <w:tcBorders>
                    <w:tl2br w:val="nil"/>
                    <w:tr2bl w:val="nil"/>
                  </w:tcBorders>
                  <w:noWrap w:val="0"/>
                  <w:vAlign w:val="center"/>
                </w:tcPr>
                <w:p w14:paraId="587C47C6">
                  <w:pPr>
                    <w:jc w:val="center"/>
                    <w:rPr>
                      <w:rFonts w:hint="default" w:ascii="Times New Roman" w:hAnsi="Times New Roman" w:eastAsia="宋体" w:cs="Times New Roman"/>
                      <w:color w:val="auto"/>
                      <w:szCs w:val="21"/>
                      <w:highlight w:val="none"/>
                    </w:rPr>
                  </w:pPr>
                </w:p>
              </w:tc>
              <w:tc>
                <w:tcPr>
                  <w:tcW w:w="421" w:type="dxa"/>
                  <w:tcBorders>
                    <w:tl2br w:val="nil"/>
                    <w:tr2bl w:val="nil"/>
                  </w:tcBorders>
                  <w:noWrap w:val="0"/>
                  <w:vAlign w:val="center"/>
                </w:tcPr>
                <w:p w14:paraId="4CDE2F3C">
                  <w:pPr>
                    <w:snapToGrid w:val="0"/>
                    <w:spacing w:line="240" w:lineRule="auto"/>
                    <w:jc w:val="center"/>
                    <w:rPr>
                      <w:rStyle w:val="103"/>
                      <w:rFonts w:hint="default" w:ascii="Times New Roman" w:hAnsi="Times New Roman" w:eastAsia="宋体" w:cs="Times New Roman"/>
                      <w:color w:val="auto"/>
                      <w:kern w:val="0"/>
                      <w:szCs w:val="21"/>
                      <w:highlight w:val="none"/>
                    </w:rPr>
                  </w:pPr>
                  <w:r>
                    <w:rPr>
                      <w:rStyle w:val="103"/>
                      <w:rFonts w:hint="default" w:ascii="Times New Roman" w:hAnsi="Times New Roman" w:eastAsia="宋体" w:cs="Times New Roman"/>
                      <w:color w:val="auto"/>
                      <w:kern w:val="0"/>
                      <w:szCs w:val="21"/>
                      <w:highlight w:val="none"/>
                    </w:rPr>
                    <w:t>污染物</w:t>
                  </w:r>
                </w:p>
                <w:p w14:paraId="1E6D8B2B">
                  <w:pPr>
                    <w:bidi w:val="0"/>
                    <w:snapToGrid w:val="0"/>
                    <w:jc w:val="center"/>
                    <w:outlineLvl w:val="9"/>
                    <w:rPr>
                      <w:rFonts w:hint="default" w:ascii="Times New Roman" w:hAnsi="Times New Roman" w:eastAsia="宋体" w:cs="Times New Roman"/>
                      <w:color w:val="auto"/>
                      <w:szCs w:val="21"/>
                      <w:highlight w:val="none"/>
                    </w:rPr>
                  </w:pPr>
                  <w:r>
                    <w:rPr>
                      <w:rStyle w:val="103"/>
                      <w:rFonts w:hint="default" w:ascii="Times New Roman" w:hAnsi="Times New Roman" w:eastAsia="宋体" w:cs="Times New Roman"/>
                      <w:color w:val="auto"/>
                      <w:kern w:val="0"/>
                      <w:szCs w:val="21"/>
                      <w:highlight w:val="none"/>
                    </w:rPr>
                    <w:t>排放管控</w:t>
                  </w:r>
                </w:p>
              </w:tc>
              <w:tc>
                <w:tcPr>
                  <w:tcW w:w="2996" w:type="dxa"/>
                  <w:tcBorders>
                    <w:tl2br w:val="nil"/>
                    <w:tr2bl w:val="nil"/>
                  </w:tcBorders>
                  <w:noWrap w:val="0"/>
                  <w:vAlign w:val="center"/>
                </w:tcPr>
                <w:p w14:paraId="3C24FFB3">
                  <w:pPr>
                    <w:snapToGrid/>
                    <w:spacing w:line="240" w:lineRule="auto"/>
                    <w:jc w:val="center"/>
                    <w:outlineLvl w:val="9"/>
                    <w:rPr>
                      <w:rStyle w:val="103"/>
                      <w:rFonts w:hint="default" w:ascii="Times New Roman" w:hAnsi="Times New Roman" w:eastAsia="宋体" w:cs="Times New Roman"/>
                      <w:color w:val="auto"/>
                      <w:kern w:val="0"/>
                      <w:szCs w:val="21"/>
                      <w:highlight w:val="none"/>
                    </w:rPr>
                  </w:pPr>
                  <w:r>
                    <w:rPr>
                      <w:rStyle w:val="103"/>
                      <w:rFonts w:hint="default" w:ascii="Times New Roman" w:hAnsi="Times New Roman" w:eastAsia="宋体" w:cs="Times New Roman"/>
                      <w:color w:val="auto"/>
                      <w:kern w:val="0"/>
                      <w:szCs w:val="21"/>
                      <w:highlight w:val="none"/>
                    </w:rPr>
                    <w:t>1.主要指标二氧化硫、二氧化氮、可吸入颗粒物达到《环境空气质量标准》（GB3095-2012）Ⅱ级标准。</w:t>
                  </w:r>
                </w:p>
                <w:p w14:paraId="67240BDD">
                  <w:pPr>
                    <w:snapToGrid/>
                    <w:spacing w:line="240" w:lineRule="auto"/>
                    <w:jc w:val="center"/>
                    <w:outlineLvl w:val="9"/>
                    <w:rPr>
                      <w:rStyle w:val="103"/>
                      <w:rFonts w:hint="default" w:ascii="Times New Roman" w:hAnsi="Times New Roman" w:eastAsia="宋体" w:cs="Times New Roman"/>
                      <w:color w:val="auto"/>
                      <w:kern w:val="0"/>
                      <w:szCs w:val="21"/>
                      <w:highlight w:val="none"/>
                      <w:lang w:eastAsia="zh-CN"/>
                    </w:rPr>
                  </w:pPr>
                  <w:r>
                    <w:rPr>
                      <w:rStyle w:val="103"/>
                      <w:rFonts w:hint="default" w:ascii="Times New Roman" w:hAnsi="Times New Roman" w:eastAsia="宋体" w:cs="Times New Roman"/>
                      <w:color w:val="auto"/>
                      <w:kern w:val="0"/>
                      <w:szCs w:val="21"/>
                      <w:highlight w:val="none"/>
                    </w:rPr>
                    <w:t>2.现状已发展成熟的煤磷盐化工企业及目前做到零排放的企业按现状方式排水，未来</w:t>
                  </w:r>
                  <w:r>
                    <w:rPr>
                      <w:rStyle w:val="103"/>
                      <w:rFonts w:hint="eastAsia" w:cs="Times New Roman"/>
                      <w:color w:val="auto"/>
                      <w:kern w:val="0"/>
                      <w:szCs w:val="21"/>
                      <w:highlight w:val="none"/>
                      <w:lang w:eastAsia="zh-CN"/>
                    </w:rPr>
                    <w:t>入驻</w:t>
                  </w:r>
                  <w:r>
                    <w:rPr>
                      <w:rStyle w:val="103"/>
                      <w:rFonts w:hint="default" w:ascii="Times New Roman" w:hAnsi="Times New Roman" w:eastAsia="宋体" w:cs="Times New Roman"/>
                      <w:color w:val="auto"/>
                      <w:kern w:val="0"/>
                      <w:szCs w:val="21"/>
                      <w:highlight w:val="none"/>
                    </w:rPr>
                    <w:t>企业生产废水由企业自行处理达标后循环回用不外排。</w:t>
                  </w:r>
                </w:p>
                <w:p w14:paraId="58566F7B">
                  <w:pPr>
                    <w:snapToGrid/>
                    <w:spacing w:line="240" w:lineRule="auto"/>
                    <w:jc w:val="center"/>
                    <w:outlineLvl w:val="9"/>
                    <w:rPr>
                      <w:rStyle w:val="103"/>
                      <w:rFonts w:hint="default" w:ascii="Times New Roman" w:hAnsi="Times New Roman" w:eastAsia="宋体" w:cs="Times New Roman"/>
                      <w:color w:val="auto"/>
                      <w:spacing w:val="-6"/>
                      <w:kern w:val="0"/>
                      <w:szCs w:val="21"/>
                      <w:highlight w:val="none"/>
                    </w:rPr>
                  </w:pPr>
                  <w:r>
                    <w:rPr>
                      <w:rStyle w:val="103"/>
                      <w:rFonts w:hint="default" w:ascii="Times New Roman" w:hAnsi="Times New Roman" w:eastAsia="宋体" w:cs="Times New Roman"/>
                      <w:color w:val="auto"/>
                      <w:kern w:val="0"/>
                      <w:szCs w:val="21"/>
                      <w:highlight w:val="none"/>
                    </w:rPr>
                    <w:t>3.生活垃圾无害化处理率90%以上，工业固废处置利用率不小于95%。</w:t>
                  </w:r>
                </w:p>
              </w:tc>
              <w:tc>
                <w:tcPr>
                  <w:tcW w:w="2679" w:type="dxa"/>
                  <w:tcBorders>
                    <w:tl2br w:val="nil"/>
                    <w:tr2bl w:val="nil"/>
                  </w:tcBorders>
                  <w:noWrap w:val="0"/>
                  <w:vAlign w:val="center"/>
                </w:tcPr>
                <w:p w14:paraId="468D7A73">
                  <w:pPr>
                    <w:snapToGrid/>
                    <w:spacing w:line="240" w:lineRule="auto"/>
                    <w:jc w:val="center"/>
                    <w:outlineLvl w:val="9"/>
                    <w:rPr>
                      <w:rStyle w:val="103"/>
                      <w:rFonts w:hint="default" w:ascii="Times New Roman" w:hAnsi="Times New Roman" w:eastAsia="宋体" w:cs="Times New Roman"/>
                      <w:color w:val="auto"/>
                      <w:kern w:val="0"/>
                      <w:szCs w:val="21"/>
                      <w:highlight w:val="none"/>
                    </w:rPr>
                  </w:pPr>
                  <w:r>
                    <w:rPr>
                      <w:rStyle w:val="103"/>
                      <w:rFonts w:hint="default" w:ascii="Times New Roman" w:hAnsi="Times New Roman" w:eastAsia="宋体" w:cs="Times New Roman"/>
                      <w:color w:val="auto"/>
                      <w:kern w:val="0"/>
                      <w:szCs w:val="21"/>
                      <w:highlight w:val="none"/>
                    </w:rPr>
                    <w:t>1.</w:t>
                  </w:r>
                  <w:r>
                    <w:rPr>
                      <w:rStyle w:val="103"/>
                      <w:rFonts w:hint="default" w:ascii="Times New Roman" w:hAnsi="Times New Roman" w:eastAsia="宋体" w:cs="Times New Roman"/>
                      <w:color w:val="auto"/>
                      <w:kern w:val="0"/>
                      <w:szCs w:val="21"/>
                      <w:highlight w:val="none"/>
                      <w:lang w:val="en-US" w:eastAsia="zh-CN"/>
                    </w:rPr>
                    <w:t>项目所在</w:t>
                  </w:r>
                  <w:r>
                    <w:rPr>
                      <w:rStyle w:val="103"/>
                      <w:rFonts w:hint="default" w:ascii="Times New Roman" w:hAnsi="Times New Roman" w:eastAsia="宋体" w:cs="Times New Roman"/>
                      <w:color w:val="auto"/>
                      <w:kern w:val="0"/>
                      <w:szCs w:val="21"/>
                      <w:highlight w:val="none"/>
                    </w:rPr>
                    <w:t>园区空气质量</w:t>
                  </w:r>
                  <w:r>
                    <w:rPr>
                      <w:rStyle w:val="103"/>
                      <w:rFonts w:hint="default" w:ascii="Times New Roman" w:hAnsi="Times New Roman" w:eastAsia="宋体" w:cs="Times New Roman"/>
                      <w:color w:val="auto"/>
                      <w:kern w:val="0"/>
                      <w:szCs w:val="21"/>
                      <w:highlight w:val="none"/>
                      <w:lang w:val="en-US" w:eastAsia="zh-CN"/>
                    </w:rPr>
                    <w:t>满足</w:t>
                  </w:r>
                  <w:r>
                    <w:rPr>
                      <w:rStyle w:val="103"/>
                      <w:rFonts w:hint="default" w:ascii="Times New Roman" w:hAnsi="Times New Roman" w:eastAsia="宋体" w:cs="Times New Roman"/>
                      <w:color w:val="auto"/>
                      <w:kern w:val="0"/>
                      <w:szCs w:val="21"/>
                      <w:highlight w:val="none"/>
                    </w:rPr>
                    <w:t>《环境空气质量标准》（GB3095－2012）中二级标准</w:t>
                  </w:r>
                  <w:r>
                    <w:rPr>
                      <w:rStyle w:val="103"/>
                      <w:rFonts w:hint="default" w:ascii="Times New Roman" w:hAnsi="Times New Roman" w:eastAsia="宋体" w:cs="Times New Roman"/>
                      <w:color w:val="auto"/>
                      <w:kern w:val="0"/>
                      <w:szCs w:val="21"/>
                      <w:highlight w:val="none"/>
                      <w:lang w:val="en-US" w:eastAsia="zh-CN"/>
                    </w:rPr>
                    <w:t>要求</w:t>
                  </w:r>
                  <w:r>
                    <w:rPr>
                      <w:rStyle w:val="103"/>
                      <w:rFonts w:hint="default" w:ascii="Times New Roman" w:hAnsi="Times New Roman" w:eastAsia="宋体" w:cs="Times New Roman"/>
                      <w:color w:val="auto"/>
                      <w:kern w:val="0"/>
                      <w:szCs w:val="21"/>
                      <w:highlight w:val="none"/>
                    </w:rPr>
                    <w:t>。</w:t>
                  </w:r>
                </w:p>
                <w:p w14:paraId="4A0667CA">
                  <w:pPr>
                    <w:widowControl/>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Style w:val="103"/>
                      <w:rFonts w:hint="default" w:ascii="Times New Roman" w:hAnsi="Times New Roman" w:eastAsia="宋体" w:cs="Times New Roman"/>
                      <w:color w:val="auto"/>
                      <w:kern w:val="0"/>
                      <w:szCs w:val="21"/>
                      <w:highlight w:val="none"/>
                    </w:rPr>
                    <w:t>2.</w:t>
                  </w:r>
                  <w:r>
                    <w:rPr>
                      <w:rStyle w:val="103"/>
                      <w:rFonts w:hint="default" w:ascii="Times New Roman" w:hAnsi="Times New Roman" w:eastAsia="宋体" w:cs="Times New Roman"/>
                      <w:color w:val="auto"/>
                      <w:kern w:val="0"/>
                      <w:szCs w:val="21"/>
                      <w:highlight w:val="none"/>
                      <w:lang w:val="en-US" w:eastAsia="zh-CN"/>
                    </w:rPr>
                    <w:t>本项目</w:t>
                  </w:r>
                  <w:r>
                    <w:rPr>
                      <w:rFonts w:hint="eastAsia" w:cs="Times New Roman"/>
                      <w:color w:val="auto"/>
                      <w:kern w:val="0"/>
                      <w:sz w:val="21"/>
                      <w:szCs w:val="21"/>
                      <w:highlight w:val="none"/>
                      <w:lang w:val="en-US" w:eastAsia="zh-CN"/>
                    </w:rPr>
                    <w:t>设备冷却废水</w:t>
                  </w:r>
                  <w:r>
                    <w:rPr>
                      <w:rFonts w:hint="default" w:cs="Times New Roman"/>
                      <w:color w:val="auto"/>
                      <w:kern w:val="0"/>
                      <w:sz w:val="21"/>
                      <w:szCs w:val="21"/>
                      <w:highlight w:val="none"/>
                      <w:lang w:val="en-US" w:eastAsia="zh-CN"/>
                    </w:rPr>
                    <w:t>经循环冷却池冷却后循环使用不外排；</w:t>
                  </w:r>
                  <w:r>
                    <w:rPr>
                      <w:rFonts w:hint="eastAsia" w:cs="Times New Roman"/>
                      <w:color w:val="auto"/>
                      <w:kern w:val="0"/>
                      <w:sz w:val="21"/>
                      <w:szCs w:val="21"/>
                      <w:highlight w:val="none"/>
                      <w:lang w:val="en-US" w:eastAsia="zh-CN"/>
                    </w:rPr>
                    <w:t>化验后的容器清洗废水通过投加絮凝剂、加入酸碱中和剂等方式对废水进行沉淀、中和等简易处理，处理后的废水排入厂内拟建的污水处理站统一处置；吸收氨气的清水浓度大于10%时直接作为脱</w:t>
                  </w:r>
                </w:p>
                <w:p w14:paraId="3F52839A">
                  <w:pPr>
                    <w:widowControl/>
                    <w:adjustRightInd w:val="0"/>
                    <w:snapToGrid w:val="0"/>
                    <w:spacing w:line="240" w:lineRule="auto"/>
                    <w:ind w:firstLine="0" w:firstLineChars="0"/>
                    <w:jc w:val="both"/>
                    <w:rPr>
                      <w:rStyle w:val="103"/>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 w:val="21"/>
                      <w:szCs w:val="21"/>
                      <w:highlight w:val="none"/>
                      <w:lang w:val="en-US" w:eastAsia="zh-CN"/>
                    </w:rPr>
                    <w:t>硝使用喷入炉膛内，不外排；</w:t>
                  </w:r>
                  <w:r>
                    <w:rPr>
                      <w:rFonts w:hint="default" w:ascii="Times New Roman" w:hAnsi="Times New Roman" w:eastAsia="宋体" w:cs="Times New Roman"/>
                      <w:color w:val="auto"/>
                      <w:sz w:val="21"/>
                      <w:szCs w:val="21"/>
                      <w:highlight w:val="none"/>
                      <w:lang w:eastAsia="zh-CN"/>
                    </w:rPr>
                    <w:t>生活污水处理达标后，</w:t>
                  </w:r>
                  <w:r>
                    <w:rPr>
                      <w:rFonts w:hint="default" w:ascii="Times New Roman" w:hAnsi="Times New Roman" w:eastAsia="宋体" w:cs="Times New Roman"/>
                      <w:b w:val="0"/>
                      <w:bCs w:val="0"/>
                      <w:color w:val="auto"/>
                      <w:sz w:val="21"/>
                      <w:szCs w:val="21"/>
                      <w:highlight w:val="none"/>
                      <w:lang w:val="en-US" w:eastAsia="zh-CN"/>
                    </w:rPr>
                    <w:t>用于项目区内绿化及道路场地洒水降尘，不外排</w:t>
                  </w:r>
                  <w:r>
                    <w:rPr>
                      <w:rFonts w:hint="eastAsia" w:ascii="Times New Roman" w:hAnsi="Times New Roman" w:eastAsia="宋体" w:cs="Times New Roman"/>
                      <w:b w:val="0"/>
                      <w:bCs w:val="0"/>
                      <w:color w:val="auto"/>
                      <w:sz w:val="21"/>
                      <w:szCs w:val="21"/>
                      <w:highlight w:val="none"/>
                      <w:lang w:val="en-US" w:eastAsia="zh-CN"/>
                    </w:rPr>
                    <w:t>。</w:t>
                  </w:r>
                </w:p>
                <w:p w14:paraId="02198D94">
                  <w:pPr>
                    <w:snapToGrid/>
                    <w:spacing w:line="240" w:lineRule="auto"/>
                    <w:jc w:val="center"/>
                    <w:outlineLvl w:val="9"/>
                    <w:rPr>
                      <w:rStyle w:val="103"/>
                      <w:rFonts w:hint="default" w:ascii="Times New Roman" w:hAnsi="Times New Roman" w:eastAsia="宋体" w:cs="Times New Roman"/>
                      <w:color w:val="auto"/>
                      <w:kern w:val="0"/>
                      <w:szCs w:val="21"/>
                      <w:highlight w:val="none"/>
                    </w:rPr>
                  </w:pPr>
                  <w:r>
                    <w:rPr>
                      <w:rStyle w:val="103"/>
                      <w:rFonts w:hint="default" w:ascii="Times New Roman" w:hAnsi="Times New Roman" w:eastAsia="宋体" w:cs="Times New Roman"/>
                      <w:color w:val="auto"/>
                      <w:kern w:val="0"/>
                      <w:szCs w:val="21"/>
                      <w:highlight w:val="none"/>
                    </w:rPr>
                    <w:t>3.</w:t>
                  </w:r>
                  <w:r>
                    <w:rPr>
                      <w:rStyle w:val="103"/>
                      <w:rFonts w:hint="default" w:ascii="Times New Roman" w:hAnsi="Times New Roman" w:eastAsia="宋体" w:cs="Times New Roman"/>
                      <w:color w:val="auto"/>
                      <w:kern w:val="0"/>
                      <w:szCs w:val="21"/>
                      <w:highlight w:val="none"/>
                      <w:lang w:val="en-US" w:eastAsia="zh-CN"/>
                    </w:rPr>
                    <w:t>本项目产生的生活垃圾委托</w:t>
                  </w:r>
                  <w:r>
                    <w:rPr>
                      <w:rStyle w:val="103"/>
                      <w:rFonts w:hint="default" w:ascii="Times New Roman" w:hAnsi="Times New Roman" w:eastAsia="宋体" w:cs="Times New Roman"/>
                      <w:color w:val="auto"/>
                      <w:kern w:val="0"/>
                      <w:szCs w:val="21"/>
                      <w:highlight w:val="none"/>
                    </w:rPr>
                    <w:t>工业园区</w:t>
                  </w:r>
                  <w:r>
                    <w:rPr>
                      <w:rStyle w:val="103"/>
                      <w:rFonts w:hint="default" w:ascii="Times New Roman" w:hAnsi="Times New Roman" w:eastAsia="宋体" w:cs="Times New Roman"/>
                      <w:color w:val="auto"/>
                      <w:kern w:val="0"/>
                      <w:szCs w:val="21"/>
                      <w:highlight w:val="none"/>
                      <w:lang w:val="en-US" w:eastAsia="zh-CN"/>
                    </w:rPr>
                    <w:t>环卫部门统一收集后进行</w:t>
                  </w:r>
                  <w:r>
                    <w:rPr>
                      <w:rStyle w:val="103"/>
                      <w:rFonts w:hint="default" w:ascii="Times New Roman" w:hAnsi="Times New Roman" w:eastAsia="宋体" w:cs="Times New Roman"/>
                      <w:color w:val="auto"/>
                      <w:kern w:val="0"/>
                      <w:szCs w:val="21"/>
                      <w:highlight w:val="none"/>
                    </w:rPr>
                    <w:t>无害化处理</w:t>
                  </w:r>
                  <w:r>
                    <w:rPr>
                      <w:rStyle w:val="103"/>
                      <w:rFonts w:hint="default" w:ascii="Times New Roman" w:hAnsi="Times New Roman" w:eastAsia="宋体" w:cs="Times New Roman"/>
                      <w:color w:val="auto"/>
                      <w:kern w:val="0"/>
                      <w:szCs w:val="21"/>
                      <w:highlight w:val="none"/>
                      <w:lang w:eastAsia="zh-CN"/>
                    </w:rPr>
                    <w:t>，</w:t>
                  </w:r>
                  <w:r>
                    <w:rPr>
                      <w:rStyle w:val="103"/>
                      <w:rFonts w:hint="default" w:ascii="Times New Roman" w:hAnsi="Times New Roman" w:eastAsia="宋体" w:cs="Times New Roman"/>
                      <w:color w:val="auto"/>
                      <w:kern w:val="0"/>
                      <w:szCs w:val="21"/>
                      <w:highlight w:val="none"/>
                      <w:lang w:val="en-US" w:eastAsia="zh-CN"/>
                    </w:rPr>
                    <w:t>处理</w:t>
                  </w:r>
                  <w:r>
                    <w:rPr>
                      <w:rStyle w:val="103"/>
                      <w:rFonts w:hint="default" w:ascii="Times New Roman" w:hAnsi="Times New Roman" w:eastAsia="宋体" w:cs="Times New Roman"/>
                      <w:color w:val="auto"/>
                      <w:kern w:val="0"/>
                      <w:szCs w:val="21"/>
                      <w:highlight w:val="none"/>
                    </w:rPr>
                    <w:t>率达到100%。</w:t>
                  </w:r>
                </w:p>
              </w:tc>
              <w:tc>
                <w:tcPr>
                  <w:tcW w:w="699" w:type="dxa"/>
                  <w:tcBorders>
                    <w:tl2br w:val="nil"/>
                    <w:tr2bl w:val="nil"/>
                  </w:tcBorders>
                  <w:noWrap w:val="0"/>
                  <w:vAlign w:val="center"/>
                </w:tcPr>
                <w:p w14:paraId="6DD4FB7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7277C3B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94" w:type="dxa"/>
                  <w:vMerge w:val="continue"/>
                  <w:tcBorders>
                    <w:tl2br w:val="nil"/>
                    <w:tr2bl w:val="nil"/>
                  </w:tcBorders>
                  <w:noWrap w:val="0"/>
                  <w:vAlign w:val="center"/>
                </w:tcPr>
                <w:p w14:paraId="0EDEE472">
                  <w:pPr>
                    <w:jc w:val="center"/>
                    <w:rPr>
                      <w:rFonts w:hint="default" w:ascii="Times New Roman" w:hAnsi="Times New Roman" w:eastAsia="宋体" w:cs="Times New Roman"/>
                      <w:color w:val="auto"/>
                      <w:szCs w:val="21"/>
                      <w:highlight w:val="none"/>
                    </w:rPr>
                  </w:pPr>
                </w:p>
              </w:tc>
              <w:tc>
                <w:tcPr>
                  <w:tcW w:w="688" w:type="dxa"/>
                  <w:vMerge w:val="continue"/>
                  <w:tcBorders>
                    <w:tl2br w:val="nil"/>
                    <w:tr2bl w:val="nil"/>
                  </w:tcBorders>
                  <w:noWrap w:val="0"/>
                  <w:vAlign w:val="center"/>
                </w:tcPr>
                <w:p w14:paraId="5B826689">
                  <w:pPr>
                    <w:jc w:val="center"/>
                    <w:rPr>
                      <w:rFonts w:hint="default" w:ascii="Times New Roman" w:hAnsi="Times New Roman" w:eastAsia="宋体" w:cs="Times New Roman"/>
                      <w:color w:val="auto"/>
                      <w:szCs w:val="21"/>
                      <w:highlight w:val="none"/>
                    </w:rPr>
                  </w:pPr>
                </w:p>
              </w:tc>
              <w:tc>
                <w:tcPr>
                  <w:tcW w:w="421" w:type="dxa"/>
                  <w:tcBorders>
                    <w:tl2br w:val="nil"/>
                    <w:tr2bl w:val="nil"/>
                  </w:tcBorders>
                  <w:noWrap w:val="0"/>
                  <w:vAlign w:val="center"/>
                </w:tcPr>
                <w:p w14:paraId="58D18E32">
                  <w:pPr>
                    <w:snapToGrid w:val="0"/>
                    <w:jc w:val="center"/>
                    <w:rPr>
                      <w:rStyle w:val="103"/>
                      <w:rFonts w:hint="default" w:ascii="Times New Roman" w:hAnsi="Times New Roman" w:eastAsia="宋体" w:cs="Times New Roman"/>
                      <w:color w:val="auto"/>
                      <w:kern w:val="0"/>
                      <w:szCs w:val="21"/>
                      <w:highlight w:val="none"/>
                    </w:rPr>
                  </w:pPr>
                  <w:r>
                    <w:rPr>
                      <w:rStyle w:val="103"/>
                      <w:rFonts w:hint="default" w:ascii="Times New Roman" w:hAnsi="Times New Roman" w:eastAsia="宋体" w:cs="Times New Roman"/>
                      <w:color w:val="auto"/>
                      <w:kern w:val="0"/>
                      <w:szCs w:val="21"/>
                      <w:highlight w:val="none"/>
                    </w:rPr>
                    <w:t>环境风险</w:t>
                  </w:r>
                </w:p>
                <w:p w14:paraId="056D5730">
                  <w:pPr>
                    <w:bidi w:val="0"/>
                    <w:snapToGrid w:val="0"/>
                    <w:jc w:val="center"/>
                    <w:outlineLvl w:val="9"/>
                    <w:rPr>
                      <w:rFonts w:hint="default" w:ascii="Times New Roman" w:hAnsi="Times New Roman" w:eastAsia="宋体" w:cs="Times New Roman"/>
                      <w:color w:val="auto"/>
                      <w:szCs w:val="21"/>
                      <w:highlight w:val="none"/>
                    </w:rPr>
                  </w:pPr>
                  <w:r>
                    <w:rPr>
                      <w:rStyle w:val="103"/>
                      <w:rFonts w:hint="default" w:ascii="Times New Roman" w:hAnsi="Times New Roman" w:eastAsia="宋体" w:cs="Times New Roman"/>
                      <w:color w:val="auto"/>
                      <w:kern w:val="0"/>
                      <w:szCs w:val="21"/>
                      <w:highlight w:val="none"/>
                    </w:rPr>
                    <w:t>防控</w:t>
                  </w:r>
                </w:p>
              </w:tc>
              <w:tc>
                <w:tcPr>
                  <w:tcW w:w="2996" w:type="dxa"/>
                  <w:tcBorders>
                    <w:tl2br w:val="nil"/>
                    <w:tr2bl w:val="nil"/>
                  </w:tcBorders>
                  <w:noWrap w:val="0"/>
                  <w:vAlign w:val="center"/>
                </w:tcPr>
                <w:p w14:paraId="5145B446">
                  <w:pPr>
                    <w:snapToGrid/>
                    <w:spacing w:line="240" w:lineRule="auto"/>
                    <w:jc w:val="center"/>
                    <w:outlineLvl w:val="9"/>
                    <w:rPr>
                      <w:rStyle w:val="103"/>
                      <w:rFonts w:hint="default" w:ascii="Times New Roman" w:hAnsi="Times New Roman" w:eastAsia="宋体" w:cs="Times New Roman"/>
                      <w:color w:val="auto"/>
                      <w:kern w:val="0"/>
                      <w:szCs w:val="21"/>
                      <w:highlight w:val="none"/>
                    </w:rPr>
                  </w:pPr>
                  <w:r>
                    <w:rPr>
                      <w:rStyle w:val="103"/>
                      <w:rFonts w:hint="default" w:ascii="Times New Roman" w:hAnsi="Times New Roman" w:eastAsia="宋体" w:cs="Times New Roman"/>
                      <w:color w:val="auto"/>
                      <w:kern w:val="0"/>
                      <w:szCs w:val="21"/>
                      <w:highlight w:val="none"/>
                    </w:rPr>
                    <w:t>1.组织编制环境风险应急预案，通过风险源的识别，制定不同风险源的应急处理处置方案，形成应对突发事故应急处理处置能力。</w:t>
                  </w:r>
                </w:p>
                <w:p w14:paraId="3BDE5CA5">
                  <w:pPr>
                    <w:snapToGrid/>
                    <w:spacing w:line="240" w:lineRule="auto"/>
                    <w:jc w:val="center"/>
                    <w:outlineLvl w:val="9"/>
                    <w:rPr>
                      <w:rStyle w:val="103"/>
                      <w:rFonts w:hint="default" w:ascii="Times New Roman" w:hAnsi="Times New Roman" w:eastAsia="宋体" w:cs="Times New Roman"/>
                      <w:color w:val="auto"/>
                      <w:spacing w:val="-6"/>
                      <w:kern w:val="0"/>
                      <w:szCs w:val="21"/>
                      <w:highlight w:val="none"/>
                    </w:rPr>
                  </w:pPr>
                  <w:r>
                    <w:rPr>
                      <w:rStyle w:val="103"/>
                      <w:rFonts w:hint="default" w:ascii="Times New Roman" w:hAnsi="Times New Roman" w:eastAsia="宋体" w:cs="Times New Roman"/>
                      <w:color w:val="auto"/>
                      <w:kern w:val="0"/>
                      <w:szCs w:val="21"/>
                      <w:highlight w:val="none"/>
                    </w:rPr>
                    <w:t>2.建设风险事故废水排放管道及处置池。</w:t>
                  </w:r>
                </w:p>
              </w:tc>
              <w:tc>
                <w:tcPr>
                  <w:tcW w:w="2679" w:type="dxa"/>
                  <w:tcBorders>
                    <w:tl2br w:val="nil"/>
                    <w:tr2bl w:val="nil"/>
                  </w:tcBorders>
                  <w:noWrap w:val="0"/>
                  <w:vAlign w:val="center"/>
                </w:tcPr>
                <w:p w14:paraId="6ABB53AB">
                  <w:pPr>
                    <w:snapToGrid/>
                    <w:spacing w:line="240" w:lineRule="auto"/>
                    <w:jc w:val="center"/>
                    <w:outlineLvl w:val="9"/>
                    <w:rPr>
                      <w:rStyle w:val="103"/>
                      <w:rFonts w:hint="default" w:ascii="Times New Roman" w:hAnsi="Times New Roman" w:eastAsia="宋体" w:cs="Times New Roman"/>
                      <w:color w:val="auto"/>
                      <w:kern w:val="0"/>
                      <w:szCs w:val="21"/>
                      <w:highlight w:val="none"/>
                      <w:lang w:val="en-US" w:eastAsia="zh-CN"/>
                    </w:rPr>
                  </w:pPr>
                  <w:r>
                    <w:rPr>
                      <w:rStyle w:val="103"/>
                      <w:rFonts w:hint="default" w:ascii="Times New Roman" w:hAnsi="Times New Roman" w:eastAsia="宋体" w:cs="Times New Roman"/>
                      <w:color w:val="auto"/>
                      <w:kern w:val="0"/>
                      <w:szCs w:val="21"/>
                      <w:highlight w:val="none"/>
                      <w:lang w:val="en-US" w:eastAsia="zh-CN"/>
                    </w:rPr>
                    <w:t>1.本次环评提出企业建成后按照要求编制</w:t>
                  </w:r>
                  <w:r>
                    <w:rPr>
                      <w:rStyle w:val="103"/>
                      <w:rFonts w:hint="default" w:ascii="Times New Roman" w:hAnsi="Times New Roman" w:eastAsia="宋体" w:cs="Times New Roman"/>
                      <w:color w:val="auto"/>
                      <w:kern w:val="0"/>
                      <w:szCs w:val="21"/>
                      <w:highlight w:val="none"/>
                    </w:rPr>
                    <w:t>环境风险应急预案，</w:t>
                  </w:r>
                  <w:r>
                    <w:rPr>
                      <w:rStyle w:val="103"/>
                      <w:rFonts w:hint="default" w:ascii="Times New Roman" w:hAnsi="Times New Roman" w:eastAsia="宋体" w:cs="Times New Roman"/>
                      <w:color w:val="auto"/>
                      <w:kern w:val="0"/>
                      <w:szCs w:val="21"/>
                      <w:highlight w:val="none"/>
                      <w:lang w:val="en-US" w:eastAsia="zh-CN"/>
                    </w:rPr>
                    <w:t>并报当地环保部门备案。</w:t>
                  </w:r>
                </w:p>
                <w:p w14:paraId="67A1B778">
                  <w:pPr>
                    <w:snapToGrid/>
                    <w:spacing w:line="240" w:lineRule="auto"/>
                    <w:jc w:val="center"/>
                    <w:outlineLvl w:val="9"/>
                    <w:rPr>
                      <w:rStyle w:val="103"/>
                      <w:rFonts w:hint="default" w:ascii="Times New Roman" w:hAnsi="Times New Roman" w:eastAsia="宋体" w:cs="Times New Roman"/>
                      <w:color w:val="auto"/>
                      <w:kern w:val="0"/>
                      <w:szCs w:val="21"/>
                      <w:highlight w:val="none"/>
                    </w:rPr>
                  </w:pPr>
                  <w:r>
                    <w:rPr>
                      <w:rStyle w:val="103"/>
                      <w:rFonts w:hint="default" w:ascii="Times New Roman" w:hAnsi="Times New Roman" w:eastAsia="宋体" w:cs="Times New Roman"/>
                      <w:color w:val="auto"/>
                      <w:kern w:val="0"/>
                      <w:szCs w:val="21"/>
                      <w:highlight w:val="none"/>
                      <w:lang w:val="en-US" w:eastAsia="zh-CN"/>
                    </w:rPr>
                    <w:t>2.本项目后期按照实际需求进行风险事故废水排放管道及处置池的建设。</w:t>
                  </w:r>
                </w:p>
              </w:tc>
              <w:tc>
                <w:tcPr>
                  <w:tcW w:w="699" w:type="dxa"/>
                  <w:tcBorders>
                    <w:tl2br w:val="nil"/>
                    <w:tr2bl w:val="nil"/>
                  </w:tcBorders>
                  <w:noWrap w:val="0"/>
                  <w:vAlign w:val="center"/>
                </w:tcPr>
                <w:p w14:paraId="403A175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1816931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94" w:type="dxa"/>
                  <w:vMerge w:val="continue"/>
                  <w:tcBorders>
                    <w:tl2br w:val="nil"/>
                    <w:tr2bl w:val="nil"/>
                  </w:tcBorders>
                  <w:noWrap w:val="0"/>
                  <w:vAlign w:val="center"/>
                </w:tcPr>
                <w:p w14:paraId="63A73DFC">
                  <w:pPr>
                    <w:jc w:val="center"/>
                    <w:rPr>
                      <w:rFonts w:hint="default" w:ascii="Times New Roman" w:hAnsi="Times New Roman" w:eastAsia="宋体" w:cs="Times New Roman"/>
                      <w:color w:val="auto"/>
                      <w:szCs w:val="21"/>
                      <w:highlight w:val="none"/>
                    </w:rPr>
                  </w:pPr>
                </w:p>
              </w:tc>
              <w:tc>
                <w:tcPr>
                  <w:tcW w:w="688" w:type="dxa"/>
                  <w:vMerge w:val="continue"/>
                  <w:tcBorders>
                    <w:tl2br w:val="nil"/>
                    <w:tr2bl w:val="nil"/>
                  </w:tcBorders>
                  <w:noWrap w:val="0"/>
                  <w:vAlign w:val="center"/>
                </w:tcPr>
                <w:p w14:paraId="41A803DA">
                  <w:pPr>
                    <w:jc w:val="center"/>
                    <w:rPr>
                      <w:rFonts w:hint="default" w:ascii="Times New Roman" w:hAnsi="Times New Roman" w:eastAsia="宋体" w:cs="Times New Roman"/>
                      <w:color w:val="auto"/>
                      <w:szCs w:val="21"/>
                      <w:highlight w:val="none"/>
                    </w:rPr>
                  </w:pPr>
                </w:p>
              </w:tc>
              <w:tc>
                <w:tcPr>
                  <w:tcW w:w="421" w:type="dxa"/>
                  <w:tcBorders>
                    <w:tl2br w:val="nil"/>
                    <w:tr2bl w:val="nil"/>
                  </w:tcBorders>
                  <w:noWrap w:val="0"/>
                  <w:vAlign w:val="center"/>
                </w:tcPr>
                <w:p w14:paraId="18F68965">
                  <w:pPr>
                    <w:bidi w:val="0"/>
                    <w:snapToGrid w:val="0"/>
                    <w:jc w:val="center"/>
                    <w:outlineLvl w:val="9"/>
                    <w:rPr>
                      <w:rFonts w:hint="default" w:ascii="Times New Roman" w:hAnsi="Times New Roman" w:eastAsia="宋体" w:cs="Times New Roman"/>
                      <w:color w:val="auto"/>
                      <w:szCs w:val="21"/>
                      <w:highlight w:val="none"/>
                    </w:rPr>
                  </w:pPr>
                  <w:r>
                    <w:rPr>
                      <w:rStyle w:val="103"/>
                      <w:rFonts w:hint="default" w:ascii="Times New Roman" w:hAnsi="Times New Roman" w:eastAsia="宋体" w:cs="Times New Roman"/>
                      <w:color w:val="auto"/>
                      <w:kern w:val="0"/>
                      <w:szCs w:val="21"/>
                      <w:highlight w:val="none"/>
                    </w:rPr>
                    <w:t>资源开发效率要求</w:t>
                  </w:r>
                </w:p>
              </w:tc>
              <w:tc>
                <w:tcPr>
                  <w:tcW w:w="2996" w:type="dxa"/>
                  <w:tcBorders>
                    <w:tl2br w:val="nil"/>
                    <w:tr2bl w:val="nil"/>
                  </w:tcBorders>
                  <w:noWrap w:val="0"/>
                  <w:vAlign w:val="center"/>
                </w:tcPr>
                <w:p w14:paraId="3ED26BF0">
                  <w:pPr>
                    <w:bidi w:val="0"/>
                    <w:jc w:val="center"/>
                    <w:outlineLvl w:val="9"/>
                    <w:rPr>
                      <w:rStyle w:val="103"/>
                      <w:rFonts w:hint="default" w:ascii="Times New Roman" w:hAnsi="Times New Roman" w:eastAsia="宋体" w:cs="Times New Roman"/>
                      <w:color w:val="auto"/>
                      <w:spacing w:val="-6"/>
                      <w:kern w:val="0"/>
                      <w:szCs w:val="21"/>
                      <w:highlight w:val="none"/>
                      <w:lang w:val="en-US" w:eastAsia="zh-CN"/>
                    </w:rPr>
                  </w:pPr>
                  <w:r>
                    <w:rPr>
                      <w:rStyle w:val="103"/>
                      <w:rFonts w:hint="default" w:ascii="Times New Roman" w:hAnsi="Times New Roman" w:eastAsia="宋体" w:cs="Times New Roman"/>
                      <w:color w:val="auto"/>
                      <w:spacing w:val="-6"/>
                      <w:kern w:val="0"/>
                      <w:szCs w:val="21"/>
                      <w:highlight w:val="none"/>
                      <w:lang w:val="en-US" w:eastAsia="zh-CN"/>
                    </w:rPr>
                    <w:t>1.清洁生产水平不低于国家清洁生产标准规定的国内先进水平。</w:t>
                  </w:r>
                </w:p>
                <w:p w14:paraId="1B41365B">
                  <w:pPr>
                    <w:bidi w:val="0"/>
                    <w:jc w:val="center"/>
                    <w:outlineLvl w:val="9"/>
                    <w:rPr>
                      <w:rStyle w:val="103"/>
                      <w:rFonts w:hint="default" w:ascii="Times New Roman" w:hAnsi="Times New Roman" w:eastAsia="宋体" w:cs="Times New Roman"/>
                      <w:color w:val="auto"/>
                      <w:spacing w:val="-6"/>
                      <w:kern w:val="0"/>
                      <w:szCs w:val="21"/>
                      <w:highlight w:val="none"/>
                    </w:rPr>
                  </w:pPr>
                  <w:r>
                    <w:rPr>
                      <w:rStyle w:val="103"/>
                      <w:rFonts w:hint="default" w:ascii="Times New Roman" w:hAnsi="Times New Roman" w:eastAsia="宋体" w:cs="Times New Roman"/>
                      <w:color w:val="auto"/>
                      <w:spacing w:val="-6"/>
                      <w:kern w:val="0"/>
                      <w:szCs w:val="21"/>
                      <w:highlight w:val="none"/>
                      <w:lang w:val="en-US" w:eastAsia="zh-CN"/>
                    </w:rPr>
                    <w:t>2.工业固废综合利用率≥70%，再生水回用率100%，工业用水重复利用率100%，单位工业增加值综合耗能≤0.5吨标煤/万元。</w:t>
                  </w:r>
                </w:p>
              </w:tc>
              <w:tc>
                <w:tcPr>
                  <w:tcW w:w="2679" w:type="dxa"/>
                  <w:tcBorders>
                    <w:tl2br w:val="nil"/>
                    <w:tr2bl w:val="nil"/>
                  </w:tcBorders>
                  <w:noWrap w:val="0"/>
                  <w:vAlign w:val="center"/>
                </w:tcPr>
                <w:p w14:paraId="3B7450B4">
                  <w:pPr>
                    <w:bidi w:val="0"/>
                    <w:jc w:val="center"/>
                    <w:outlineLvl w:val="9"/>
                    <w:rPr>
                      <w:rStyle w:val="103"/>
                      <w:rFonts w:hint="default" w:ascii="Times New Roman" w:hAnsi="Times New Roman" w:eastAsia="宋体" w:cs="Times New Roman"/>
                      <w:color w:val="auto"/>
                      <w:spacing w:val="-6"/>
                      <w:kern w:val="0"/>
                      <w:szCs w:val="21"/>
                      <w:highlight w:val="none"/>
                      <w:lang w:val="en-US" w:eastAsia="zh-CN"/>
                    </w:rPr>
                  </w:pPr>
                  <w:r>
                    <w:rPr>
                      <w:rStyle w:val="103"/>
                      <w:rFonts w:hint="default" w:ascii="Times New Roman" w:hAnsi="Times New Roman" w:eastAsia="宋体" w:cs="Times New Roman"/>
                      <w:color w:val="auto"/>
                      <w:spacing w:val="-6"/>
                      <w:kern w:val="0"/>
                      <w:szCs w:val="21"/>
                      <w:highlight w:val="none"/>
                      <w:lang w:val="en-US" w:eastAsia="zh-CN"/>
                    </w:rPr>
                    <w:t>1.本项目清洁生产水平不低于国家清洁生产标准规定的国内先进水平。</w:t>
                  </w:r>
                </w:p>
                <w:p w14:paraId="06AA1ED5">
                  <w:pPr>
                    <w:bidi w:val="0"/>
                    <w:jc w:val="center"/>
                    <w:outlineLvl w:val="9"/>
                    <w:rPr>
                      <w:rStyle w:val="103"/>
                      <w:rFonts w:hint="default" w:ascii="Times New Roman" w:hAnsi="Times New Roman" w:eastAsia="宋体" w:cs="Times New Roman"/>
                      <w:color w:val="auto"/>
                      <w:spacing w:val="-6"/>
                      <w:kern w:val="0"/>
                      <w:szCs w:val="21"/>
                      <w:highlight w:val="none"/>
                    </w:rPr>
                  </w:pPr>
                  <w:r>
                    <w:rPr>
                      <w:rStyle w:val="103"/>
                      <w:rFonts w:hint="default" w:ascii="Times New Roman" w:hAnsi="Times New Roman" w:eastAsia="宋体" w:cs="Times New Roman"/>
                      <w:color w:val="auto"/>
                      <w:spacing w:val="-6"/>
                      <w:kern w:val="0"/>
                      <w:szCs w:val="21"/>
                      <w:highlight w:val="none"/>
                      <w:lang w:val="en-US" w:eastAsia="zh-CN"/>
                    </w:rPr>
                    <w:t>2.工业固体废物综合利用率≥70%。</w:t>
                  </w:r>
                  <w:r>
                    <w:rPr>
                      <w:rStyle w:val="103"/>
                      <w:rFonts w:hint="default" w:ascii="Times New Roman" w:hAnsi="Times New Roman" w:eastAsia="宋体" w:cs="Times New Roman"/>
                      <w:color w:val="auto"/>
                      <w:kern w:val="0"/>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生产过程设备清洗废水经生产废水处理设施处理后回用作为生产补充水，不外排</w:t>
                  </w:r>
                  <w:r>
                    <w:rPr>
                      <w:rStyle w:val="103"/>
                      <w:rFonts w:hint="default" w:ascii="Times New Roman" w:hAnsi="Times New Roman" w:eastAsia="宋体" w:cs="Times New Roman"/>
                      <w:color w:val="auto"/>
                      <w:kern w:val="0"/>
                      <w:szCs w:val="21"/>
                      <w:highlight w:val="none"/>
                    </w:rPr>
                    <w:t>。</w:t>
                  </w:r>
                  <w:r>
                    <w:rPr>
                      <w:rStyle w:val="103"/>
                      <w:rFonts w:hint="eastAsia" w:cs="Times New Roman"/>
                      <w:color w:val="auto"/>
                      <w:kern w:val="0"/>
                      <w:szCs w:val="21"/>
                      <w:highlight w:val="none"/>
                      <w:lang w:eastAsia="zh-CN"/>
                    </w:rPr>
                    <w:t>根据建设单位提供的节能评估报告可知，</w:t>
                  </w:r>
                  <w:r>
                    <w:rPr>
                      <w:rStyle w:val="103"/>
                      <w:rFonts w:hint="default" w:ascii="Times New Roman" w:hAnsi="Times New Roman" w:eastAsia="宋体" w:cs="Times New Roman"/>
                      <w:color w:val="auto"/>
                      <w:spacing w:val="-6"/>
                      <w:kern w:val="0"/>
                      <w:szCs w:val="21"/>
                      <w:highlight w:val="none"/>
                      <w:lang w:val="en-US" w:eastAsia="zh-CN"/>
                    </w:rPr>
                    <w:t>单位工业增加值综合能耗</w:t>
                  </w:r>
                  <w:r>
                    <w:rPr>
                      <w:rStyle w:val="103"/>
                      <w:rFonts w:hint="eastAsia" w:cs="Times New Roman"/>
                      <w:color w:val="auto"/>
                      <w:spacing w:val="-6"/>
                      <w:kern w:val="0"/>
                      <w:szCs w:val="21"/>
                      <w:highlight w:val="none"/>
                      <w:lang w:val="en-US" w:eastAsia="zh-CN"/>
                    </w:rPr>
                    <w:t>为0.46</w:t>
                  </w:r>
                  <w:r>
                    <w:rPr>
                      <w:rStyle w:val="103"/>
                      <w:rFonts w:hint="default" w:ascii="Times New Roman" w:hAnsi="Times New Roman" w:eastAsia="宋体" w:cs="Times New Roman"/>
                      <w:color w:val="auto"/>
                      <w:spacing w:val="-6"/>
                      <w:kern w:val="0"/>
                      <w:szCs w:val="21"/>
                      <w:highlight w:val="none"/>
                      <w:lang w:val="en-US" w:eastAsia="zh-CN"/>
                    </w:rPr>
                    <w:t>吨标煤/万元</w:t>
                  </w:r>
                  <w:r>
                    <w:rPr>
                      <w:rStyle w:val="103"/>
                      <w:rFonts w:hint="eastAsia" w:cs="Times New Roman"/>
                      <w:color w:val="auto"/>
                      <w:spacing w:val="-6"/>
                      <w:kern w:val="0"/>
                      <w:szCs w:val="21"/>
                      <w:highlight w:val="none"/>
                      <w:lang w:val="en-US" w:eastAsia="zh-CN"/>
                    </w:rPr>
                    <w:t>，</w:t>
                  </w:r>
                  <w:r>
                    <w:rPr>
                      <w:rStyle w:val="103"/>
                      <w:rFonts w:hint="default" w:ascii="Times New Roman" w:hAnsi="Times New Roman" w:eastAsia="宋体" w:cs="Times New Roman"/>
                      <w:color w:val="auto"/>
                      <w:spacing w:val="-6"/>
                      <w:kern w:val="0"/>
                      <w:szCs w:val="21"/>
                      <w:highlight w:val="none"/>
                      <w:lang w:val="en-US" w:eastAsia="zh-CN"/>
                    </w:rPr>
                    <w:t>≤0.5吨标煤/万元。</w:t>
                  </w:r>
                </w:p>
              </w:tc>
              <w:tc>
                <w:tcPr>
                  <w:tcW w:w="699" w:type="dxa"/>
                  <w:tcBorders>
                    <w:tl2br w:val="nil"/>
                    <w:tr2bl w:val="nil"/>
                  </w:tcBorders>
                  <w:noWrap w:val="0"/>
                  <w:vAlign w:val="center"/>
                </w:tcPr>
                <w:p w14:paraId="0601D17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14:paraId="7359C093">
            <w:pPr>
              <w:pStyle w:val="84"/>
              <w:shd w:val="clear"/>
              <w:ind w:firstLine="482"/>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rPr>
              <w:t>由上表可知，本项目建设符合</w:t>
            </w:r>
            <w:r>
              <w:rPr>
                <w:rFonts w:hint="default" w:ascii="Times New Roman" w:hAnsi="Times New Roman" w:eastAsia="宋体" w:cs="Times New Roman"/>
                <w:color w:val="auto"/>
                <w:sz w:val="24"/>
                <w:highlight w:val="none"/>
                <w:lang w:val="zh-CN"/>
              </w:rPr>
              <w:t>《昆明市人民政府关于昆明市“三线一单”生态环境分区管控的实施意见》（</w:t>
            </w:r>
            <w:r>
              <w:rPr>
                <w:rFonts w:hint="default" w:ascii="Times New Roman" w:hAnsi="Times New Roman" w:eastAsia="宋体" w:cs="Times New Roman"/>
                <w:color w:val="auto"/>
                <w:sz w:val="24"/>
                <w:highlight w:val="none"/>
              </w:rPr>
              <w:t>昆政发2021[21号]</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中相关要求。</w:t>
            </w:r>
          </w:p>
          <w:bookmarkEnd w:id="7"/>
          <w:bookmarkEnd w:id="8"/>
          <w:bookmarkEnd w:id="9"/>
          <w:p w14:paraId="3CCA1FEE">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2、产业政策符合性分析</w:t>
            </w:r>
          </w:p>
          <w:p w14:paraId="50822493">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pacing w:val="-3"/>
                <w:sz w:val="24"/>
                <w:highlight w:val="none"/>
              </w:rPr>
            </w:pPr>
            <w:r>
              <w:rPr>
                <w:rFonts w:hint="default" w:ascii="Times New Roman" w:hAnsi="Times New Roman" w:eastAsia="宋体" w:cs="Times New Roman"/>
                <w:color w:val="auto"/>
                <w:sz w:val="24"/>
                <w:szCs w:val="24"/>
                <w:highlight w:val="none"/>
              </w:rPr>
              <w:t>本项目为</w:t>
            </w:r>
            <w:r>
              <w:rPr>
                <w:rFonts w:hint="eastAsia" w:ascii="Times New Roman" w:hAnsi="Times New Roman" w:eastAsia="宋体" w:cs="Times New Roman"/>
                <w:color w:val="auto"/>
                <w:sz w:val="24"/>
                <w:szCs w:val="24"/>
                <w:highlight w:val="none"/>
                <w:lang w:val="en-US" w:eastAsia="zh-CN"/>
              </w:rPr>
              <w:t>其他煤炭加工</w:t>
            </w:r>
            <w:r>
              <w:rPr>
                <w:rFonts w:hint="eastAsia" w:ascii="Times New Roman" w:hAnsi="Times New Roman" w:eastAsia="宋体" w:cs="Times New Roman"/>
                <w:color w:val="auto"/>
                <w:sz w:val="24"/>
                <w:szCs w:val="24"/>
                <w:highlight w:val="none"/>
                <w:lang w:eastAsia="zh-CN"/>
              </w:rPr>
              <w:t>项</w:t>
            </w:r>
            <w:r>
              <w:rPr>
                <w:rFonts w:hint="eastAsia" w:cs="Times New Roman"/>
                <w:color w:val="auto"/>
                <w:sz w:val="24"/>
                <w:szCs w:val="24"/>
                <w:highlight w:val="none"/>
                <w:lang w:eastAsia="zh-CN"/>
              </w:rPr>
              <w:t>目</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根据《产业结构调整指导目录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w:t>
            </w:r>
            <w:r>
              <w:rPr>
                <w:rFonts w:hint="eastAsia" w:ascii="Times New Roman" w:hAnsi="Times New Roman"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年本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不属于产业结构调整政策内的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限制</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淘汰类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鼓励类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行业，为允许类项目</w:t>
            </w:r>
            <w:r>
              <w:rPr>
                <w:rFonts w:hint="default" w:ascii="Times New Roman" w:hAnsi="Times New Roman" w:eastAsia="宋体" w:cs="Times New Roman"/>
                <w:color w:val="auto"/>
                <w:sz w:val="24"/>
                <w:szCs w:val="24"/>
                <w:highlight w:val="none"/>
                <w:lang w:val="en-US" w:eastAsia="zh-CN"/>
              </w:rPr>
              <w:t>。同时，</w:t>
            </w:r>
            <w:r>
              <w:rPr>
                <w:rFonts w:hint="default" w:ascii="Times New Roman" w:hAnsi="Times New Roman" w:eastAsia="宋体" w:cs="Times New Roman"/>
                <w:color w:val="auto"/>
                <w:kern w:val="0"/>
                <w:sz w:val="24"/>
                <w:highlight w:val="none"/>
                <w:lang w:eastAsia="zh-CN"/>
              </w:rPr>
              <w:t>本项目设备不属于国家明令淘汰的落后设备</w:t>
            </w:r>
            <w:r>
              <w:rPr>
                <w:rFonts w:hint="default" w:ascii="Times New Roman" w:hAnsi="Times New Roman" w:eastAsia="宋体" w:cs="Times New Roman"/>
                <w:color w:val="auto"/>
                <w:spacing w:val="-3"/>
                <w:sz w:val="24"/>
                <w:highlight w:val="none"/>
              </w:rPr>
              <w:t>，符合国家和云南省</w:t>
            </w:r>
            <w:r>
              <w:rPr>
                <w:rFonts w:hint="default" w:ascii="Times New Roman" w:hAnsi="Times New Roman" w:eastAsia="宋体" w:cs="Times New Roman"/>
                <w:color w:val="auto"/>
                <w:spacing w:val="-3"/>
                <w:sz w:val="24"/>
                <w:highlight w:val="none"/>
                <w:lang w:val="en-US" w:eastAsia="zh-CN"/>
              </w:rPr>
              <w:t>现行相关</w:t>
            </w:r>
            <w:r>
              <w:rPr>
                <w:rFonts w:hint="default" w:ascii="Times New Roman" w:hAnsi="Times New Roman" w:eastAsia="宋体" w:cs="Times New Roman"/>
                <w:color w:val="auto"/>
                <w:spacing w:val="-3"/>
                <w:sz w:val="24"/>
                <w:highlight w:val="none"/>
              </w:rPr>
              <w:t>产业政策。</w:t>
            </w:r>
          </w:p>
          <w:p w14:paraId="72F02834">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68"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3"/>
                <w:sz w:val="24"/>
                <w:highlight w:val="none"/>
                <w:lang w:val="en-US" w:eastAsia="zh-CN"/>
              </w:rPr>
              <w:t>综上，本项目</w:t>
            </w:r>
            <w:r>
              <w:rPr>
                <w:rFonts w:hint="default" w:ascii="Times New Roman" w:hAnsi="Times New Roman" w:eastAsia="宋体" w:cs="Times New Roman"/>
                <w:color w:val="auto"/>
                <w:sz w:val="24"/>
                <w:szCs w:val="24"/>
                <w:highlight w:val="none"/>
                <w:lang w:val="en-US" w:eastAsia="zh-CN"/>
              </w:rPr>
              <w:t>符合国家和地方相关产业政策。</w:t>
            </w:r>
          </w:p>
          <w:p w14:paraId="09399433">
            <w:pPr>
              <w:keepNext w:val="0"/>
              <w:keepLines w:val="0"/>
              <w:pageBreakBefore w:val="0"/>
              <w:kinsoku/>
              <w:wordWrap/>
              <w:overflowPunct/>
              <w:topLinePunct w:val="0"/>
              <w:bidi w:val="0"/>
              <w:spacing w:line="360" w:lineRule="auto"/>
              <w:ind w:firstLine="482"/>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3、与《云南省牛栏江保护条例》符合性分析</w:t>
            </w:r>
          </w:p>
          <w:p w14:paraId="4A51C636">
            <w:pPr>
              <w:pStyle w:val="76"/>
              <w:keepNext w:val="0"/>
              <w:keepLines w:val="0"/>
              <w:pageBreakBefore w:val="0"/>
              <w:kinsoku/>
              <w:wordWrap/>
              <w:overflowPunct/>
              <w:topLinePunct w:val="0"/>
              <w:bidi w:val="0"/>
              <w:spacing w:line="360" w:lineRule="auto"/>
              <w:textAlignment w:val="auto"/>
              <w:rPr>
                <w:rStyle w:val="75"/>
                <w:rFonts w:hint="default" w:ascii="Times New Roman" w:hAnsi="Times New Roman" w:eastAsia="宋体" w:cs="Times New Roman"/>
                <w:color w:val="auto"/>
                <w:sz w:val="24"/>
                <w:highlight w:val="none"/>
              </w:rPr>
            </w:pPr>
            <w:r>
              <w:rPr>
                <w:rStyle w:val="75"/>
                <w:rFonts w:hint="default" w:ascii="Times New Roman" w:hAnsi="Times New Roman" w:eastAsia="宋体" w:cs="Times New Roman"/>
                <w:color w:val="auto"/>
                <w:sz w:val="24"/>
                <w:highlight w:val="none"/>
              </w:rPr>
              <w:t>根据《云南省牛栏江保护条例》牛栏江流域上游保护区划分为水源保护核心区、重点污染控制区和重点水源涵养区。</w:t>
            </w:r>
          </w:p>
          <w:p w14:paraId="568F6641">
            <w:pPr>
              <w:pStyle w:val="76"/>
              <w:keepNext w:val="0"/>
              <w:keepLines w:val="0"/>
              <w:pageBreakBefore w:val="0"/>
              <w:kinsoku/>
              <w:wordWrap/>
              <w:overflowPunct/>
              <w:topLinePunct w:val="0"/>
              <w:bidi w:val="0"/>
              <w:spacing w:line="360" w:lineRule="auto"/>
              <w:textAlignment w:val="auto"/>
              <w:rPr>
                <w:rStyle w:val="75"/>
                <w:rFonts w:hint="default" w:ascii="Times New Roman" w:hAnsi="Times New Roman" w:eastAsia="宋体" w:cs="Times New Roman"/>
                <w:color w:val="auto"/>
                <w:sz w:val="24"/>
                <w:highlight w:val="none"/>
              </w:rPr>
            </w:pPr>
            <w:r>
              <w:rPr>
                <w:rStyle w:val="75"/>
                <w:rFonts w:hint="default" w:ascii="Times New Roman" w:hAnsi="Times New Roman" w:eastAsia="宋体" w:cs="Times New Roman"/>
                <w:color w:val="auto"/>
                <w:sz w:val="24"/>
                <w:highlight w:val="none"/>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14:paraId="22126956">
            <w:pPr>
              <w:pStyle w:val="76"/>
              <w:rPr>
                <w:rStyle w:val="75"/>
                <w:rFonts w:hint="default" w:ascii="Times New Roman" w:hAnsi="Times New Roman" w:eastAsia="宋体" w:cs="Times New Roman"/>
                <w:color w:val="auto"/>
                <w:sz w:val="24"/>
                <w:highlight w:val="none"/>
              </w:rPr>
            </w:pPr>
            <w:r>
              <w:rPr>
                <w:rStyle w:val="75"/>
                <w:rFonts w:hint="default" w:ascii="Times New Roman" w:hAnsi="Times New Roman" w:eastAsia="宋体" w:cs="Times New Roman"/>
                <w:color w:val="auto"/>
                <w:sz w:val="24"/>
                <w:highlight w:val="none"/>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14:paraId="5A636972">
            <w:pPr>
              <w:pStyle w:val="76"/>
              <w:rPr>
                <w:rStyle w:val="75"/>
                <w:rFonts w:hint="default" w:ascii="Times New Roman" w:hAnsi="Times New Roman" w:eastAsia="宋体" w:cs="Times New Roman"/>
                <w:color w:val="auto"/>
                <w:sz w:val="24"/>
                <w:highlight w:val="none"/>
              </w:rPr>
            </w:pPr>
            <w:r>
              <w:rPr>
                <w:rStyle w:val="75"/>
                <w:rFonts w:hint="default" w:ascii="Times New Roman" w:hAnsi="Times New Roman" w:eastAsia="宋体" w:cs="Times New Roman"/>
                <w:color w:val="auto"/>
                <w:sz w:val="24"/>
                <w:highlight w:val="none"/>
              </w:rPr>
              <w:t>（三）重点水源涵养区为流域范围内除水源保护核心区、重点污染控制区以外的集水区域。</w:t>
            </w:r>
          </w:p>
          <w:p w14:paraId="7F4B4E32">
            <w:pPr>
              <w:pStyle w:val="76"/>
              <w:rPr>
                <w:rStyle w:val="75"/>
                <w:rFonts w:hint="default" w:ascii="Times New Roman" w:hAnsi="Times New Roman" w:eastAsia="宋体" w:cs="Times New Roman"/>
                <w:color w:val="auto"/>
                <w:sz w:val="24"/>
                <w:highlight w:val="none"/>
              </w:rPr>
            </w:pPr>
            <w:r>
              <w:rPr>
                <w:rStyle w:val="75"/>
                <w:rFonts w:hint="default" w:ascii="Times New Roman" w:hAnsi="Times New Roman" w:eastAsia="宋体" w:cs="Times New Roman"/>
                <w:color w:val="auto"/>
                <w:sz w:val="24"/>
                <w:highlight w:val="none"/>
              </w:rPr>
              <w:t>本项目位于云南寻甸产业园区金所片区金所组团内，根据牛栏江水系功能规划图可知，项目区属于</w:t>
            </w:r>
            <w:r>
              <w:rPr>
                <w:rStyle w:val="75"/>
                <w:rFonts w:hint="default" w:ascii="Times New Roman" w:hAnsi="Times New Roman" w:eastAsia="宋体" w:cs="Times New Roman"/>
                <w:color w:val="auto"/>
                <w:sz w:val="24"/>
                <w:highlight w:val="none"/>
                <w:lang w:val="en-US"/>
              </w:rPr>
              <w:t>重点</w:t>
            </w:r>
            <w:r>
              <w:rPr>
                <w:rStyle w:val="75"/>
                <w:rFonts w:hint="default" w:ascii="Times New Roman" w:hAnsi="Times New Roman" w:eastAsia="宋体" w:cs="Times New Roman"/>
                <w:color w:val="auto"/>
                <w:sz w:val="24"/>
                <w:highlight w:val="none"/>
              </w:rPr>
              <w:t>污染控制区，本项目与牛栏江流域的位置关系详见附图</w:t>
            </w:r>
            <w:r>
              <w:rPr>
                <w:rStyle w:val="75"/>
                <w:rFonts w:hint="default" w:ascii="Times New Roman" w:hAnsi="Times New Roman" w:eastAsia="宋体" w:cs="Times New Roman"/>
                <w:color w:val="auto"/>
                <w:sz w:val="24"/>
                <w:highlight w:val="none"/>
                <w:lang w:val="en-US"/>
              </w:rPr>
              <w:t>6</w:t>
            </w:r>
            <w:r>
              <w:rPr>
                <w:rStyle w:val="75"/>
                <w:rFonts w:hint="default" w:ascii="Times New Roman" w:hAnsi="Times New Roman" w:eastAsia="宋体" w:cs="Times New Roman"/>
                <w:color w:val="auto"/>
                <w:sz w:val="24"/>
                <w:highlight w:val="none"/>
              </w:rPr>
              <w:t>。根据《云南省牛栏江保护条例》中第三十二、三十三条中规定的禁止行为分析项目选址符合性。</w:t>
            </w:r>
          </w:p>
          <w:p w14:paraId="54C01C91">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1-6</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建设内容与《云南省牛栏江保护条例》符合性分析</w:t>
            </w:r>
          </w:p>
          <w:tbl>
            <w:tblPr>
              <w:tblStyle w:val="27"/>
              <w:tblW w:w="7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3153"/>
              <w:gridCol w:w="3224"/>
              <w:gridCol w:w="680"/>
            </w:tblGrid>
            <w:tr w14:paraId="31E0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noWrap w:val="0"/>
                  <w:vAlign w:val="center"/>
                </w:tcPr>
                <w:p w14:paraId="1BAC1EEA">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b/>
                      <w:bCs/>
                      <w:color w:val="auto"/>
                      <w:sz w:val="21"/>
                      <w:szCs w:val="21"/>
                      <w:highlight w:val="none"/>
                    </w:rPr>
                  </w:pPr>
                  <w:r>
                    <w:rPr>
                      <w:rStyle w:val="75"/>
                      <w:rFonts w:hint="default" w:ascii="Times New Roman" w:hAnsi="Times New Roman" w:eastAsia="宋体" w:cs="Times New Roman"/>
                      <w:b/>
                      <w:bCs/>
                      <w:color w:val="auto"/>
                      <w:sz w:val="21"/>
                      <w:szCs w:val="21"/>
                      <w:highlight w:val="none"/>
                    </w:rPr>
                    <w:t>保护区划分</w:t>
                  </w:r>
                </w:p>
              </w:tc>
              <w:tc>
                <w:tcPr>
                  <w:tcW w:w="3153" w:type="dxa"/>
                  <w:noWrap w:val="0"/>
                  <w:vAlign w:val="center"/>
                </w:tcPr>
                <w:p w14:paraId="4A0FF2AE">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b/>
                      <w:bCs/>
                      <w:color w:val="auto"/>
                      <w:sz w:val="21"/>
                      <w:szCs w:val="21"/>
                      <w:highlight w:val="none"/>
                    </w:rPr>
                  </w:pPr>
                  <w:r>
                    <w:rPr>
                      <w:rStyle w:val="75"/>
                      <w:rFonts w:hint="default" w:ascii="Times New Roman" w:hAnsi="Times New Roman" w:eastAsia="宋体" w:cs="Times New Roman"/>
                      <w:b/>
                      <w:bCs/>
                      <w:color w:val="auto"/>
                      <w:sz w:val="21"/>
                      <w:szCs w:val="21"/>
                      <w:highlight w:val="none"/>
                    </w:rPr>
                    <w:t>禁止行为</w:t>
                  </w:r>
                </w:p>
              </w:tc>
              <w:tc>
                <w:tcPr>
                  <w:tcW w:w="3224" w:type="dxa"/>
                  <w:noWrap w:val="0"/>
                  <w:vAlign w:val="center"/>
                </w:tcPr>
                <w:p w14:paraId="75EBCDDC">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b/>
                      <w:bCs/>
                      <w:color w:val="auto"/>
                      <w:sz w:val="21"/>
                      <w:szCs w:val="21"/>
                      <w:highlight w:val="none"/>
                    </w:rPr>
                  </w:pPr>
                  <w:r>
                    <w:rPr>
                      <w:rStyle w:val="75"/>
                      <w:rFonts w:hint="default" w:ascii="Times New Roman" w:hAnsi="Times New Roman" w:eastAsia="宋体" w:cs="Times New Roman"/>
                      <w:b/>
                      <w:bCs/>
                      <w:color w:val="auto"/>
                      <w:sz w:val="21"/>
                      <w:szCs w:val="21"/>
                      <w:highlight w:val="none"/>
                    </w:rPr>
                    <w:t>建设内容</w:t>
                  </w:r>
                </w:p>
              </w:tc>
              <w:tc>
                <w:tcPr>
                  <w:tcW w:w="680" w:type="dxa"/>
                  <w:noWrap w:val="0"/>
                  <w:vAlign w:val="center"/>
                </w:tcPr>
                <w:p w14:paraId="2C024984">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b/>
                      <w:bCs/>
                      <w:color w:val="auto"/>
                      <w:sz w:val="21"/>
                      <w:szCs w:val="21"/>
                      <w:highlight w:val="none"/>
                    </w:rPr>
                  </w:pPr>
                  <w:r>
                    <w:rPr>
                      <w:rStyle w:val="75"/>
                      <w:rFonts w:hint="default" w:ascii="Times New Roman" w:hAnsi="Times New Roman" w:eastAsia="宋体" w:cs="Times New Roman"/>
                      <w:b/>
                      <w:bCs/>
                      <w:color w:val="auto"/>
                      <w:sz w:val="21"/>
                      <w:szCs w:val="21"/>
                      <w:highlight w:val="none"/>
                    </w:rPr>
                    <w:t>符合性</w:t>
                  </w:r>
                </w:p>
              </w:tc>
            </w:tr>
            <w:tr w14:paraId="75EB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19" w:type="dxa"/>
                  <w:vMerge w:val="restart"/>
                  <w:noWrap w:val="0"/>
                  <w:vAlign w:val="center"/>
                </w:tcPr>
                <w:p w14:paraId="386E0C20">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lang w:val="en-US"/>
                    </w:rPr>
                    <w:t>重点</w:t>
                  </w:r>
                  <w:r>
                    <w:rPr>
                      <w:rStyle w:val="75"/>
                      <w:rFonts w:hint="default" w:ascii="Times New Roman" w:hAnsi="Times New Roman" w:eastAsia="宋体" w:cs="Times New Roman"/>
                      <w:color w:val="auto"/>
                      <w:sz w:val="21"/>
                      <w:szCs w:val="21"/>
                      <w:highlight w:val="none"/>
                    </w:rPr>
                    <w:t>污染控制区</w:t>
                  </w:r>
                </w:p>
              </w:tc>
              <w:tc>
                <w:tcPr>
                  <w:tcW w:w="3153" w:type="dxa"/>
                  <w:noWrap w:val="0"/>
                  <w:vAlign w:val="center"/>
                </w:tcPr>
                <w:p w14:paraId="633B31D1">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（一）盗伐、滥伐林木和破坏草地；</w:t>
                  </w:r>
                </w:p>
              </w:tc>
              <w:tc>
                <w:tcPr>
                  <w:tcW w:w="3224" w:type="dxa"/>
                  <w:noWrap w:val="0"/>
                  <w:vAlign w:val="center"/>
                </w:tcPr>
                <w:p w14:paraId="444B22DB">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项目位于云南寻甸产业园区金所片区金所组团内，为</w:t>
                  </w:r>
                  <w:r>
                    <w:rPr>
                      <w:rStyle w:val="75"/>
                      <w:rFonts w:hint="default" w:ascii="Times New Roman" w:hAnsi="Times New Roman" w:eastAsia="宋体" w:cs="Times New Roman"/>
                      <w:color w:val="auto"/>
                      <w:sz w:val="21"/>
                      <w:szCs w:val="21"/>
                      <w:highlight w:val="none"/>
                      <w:lang w:val="en-US"/>
                    </w:rPr>
                    <w:t>新建</w:t>
                  </w:r>
                  <w:r>
                    <w:rPr>
                      <w:rStyle w:val="75"/>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18"/>
                      <w:highlight w:val="none"/>
                    </w:rPr>
                    <w:t>项目用地属于园区工业用地，不存在盗伐、滥伐林木和破坏草地行为</w:t>
                  </w:r>
                  <w:r>
                    <w:rPr>
                      <w:rStyle w:val="75"/>
                      <w:rFonts w:hint="default" w:ascii="Times New Roman" w:hAnsi="Times New Roman" w:eastAsia="宋体" w:cs="Times New Roman"/>
                      <w:color w:val="auto"/>
                      <w:sz w:val="21"/>
                      <w:szCs w:val="21"/>
                      <w:highlight w:val="none"/>
                    </w:rPr>
                    <w:t>。</w:t>
                  </w:r>
                </w:p>
              </w:tc>
              <w:tc>
                <w:tcPr>
                  <w:tcW w:w="680" w:type="dxa"/>
                  <w:noWrap w:val="0"/>
                  <w:vAlign w:val="center"/>
                </w:tcPr>
                <w:p w14:paraId="7F8EE26F">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符合</w:t>
                  </w:r>
                </w:p>
              </w:tc>
            </w:tr>
            <w:tr w14:paraId="1F56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14:paraId="26C42486">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p>
              </w:tc>
              <w:tc>
                <w:tcPr>
                  <w:tcW w:w="3153" w:type="dxa"/>
                  <w:noWrap w:val="0"/>
                  <w:vAlign w:val="center"/>
                </w:tcPr>
                <w:p w14:paraId="11D6F43D">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（二）使用高毒、高残留农药；</w:t>
                  </w:r>
                </w:p>
              </w:tc>
              <w:tc>
                <w:tcPr>
                  <w:tcW w:w="3224" w:type="dxa"/>
                  <w:noWrap w:val="0"/>
                  <w:vAlign w:val="center"/>
                </w:tcPr>
                <w:p w14:paraId="655200A5">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不涉及。</w:t>
                  </w:r>
                </w:p>
              </w:tc>
              <w:tc>
                <w:tcPr>
                  <w:tcW w:w="680" w:type="dxa"/>
                  <w:noWrap w:val="0"/>
                  <w:vAlign w:val="center"/>
                </w:tcPr>
                <w:p w14:paraId="41420658">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符合</w:t>
                  </w:r>
                </w:p>
              </w:tc>
            </w:tr>
            <w:tr w14:paraId="3DE7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14:paraId="6C1B362E">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p>
              </w:tc>
              <w:tc>
                <w:tcPr>
                  <w:tcW w:w="3153" w:type="dxa"/>
                  <w:noWrap w:val="0"/>
                  <w:vAlign w:val="center"/>
                </w:tcPr>
                <w:p w14:paraId="220BFCE4">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（三）利用溶洞、渗井、渗坑、裂隙排放、倾倒含有毒有害物质的废水、废渣；</w:t>
                  </w:r>
                </w:p>
              </w:tc>
              <w:tc>
                <w:tcPr>
                  <w:tcW w:w="3224" w:type="dxa"/>
                  <w:vMerge w:val="restart"/>
                  <w:noWrap w:val="0"/>
                  <w:vAlign w:val="center"/>
                </w:tcPr>
                <w:p w14:paraId="22B50B7A">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1.项目无废水外排。</w:t>
                  </w:r>
                </w:p>
                <w:p w14:paraId="57625957">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2.项目所有固体废弃物均得到合理有效的利用和处置，处置率为100%。</w:t>
                  </w:r>
                </w:p>
              </w:tc>
              <w:tc>
                <w:tcPr>
                  <w:tcW w:w="680" w:type="dxa"/>
                  <w:noWrap w:val="0"/>
                  <w:vAlign w:val="center"/>
                </w:tcPr>
                <w:p w14:paraId="690D2532">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符合</w:t>
                  </w:r>
                </w:p>
              </w:tc>
            </w:tr>
            <w:tr w14:paraId="5BCA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14:paraId="7A9954B6">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p>
              </w:tc>
              <w:tc>
                <w:tcPr>
                  <w:tcW w:w="3153" w:type="dxa"/>
                  <w:noWrap w:val="0"/>
                  <w:vAlign w:val="center"/>
                </w:tcPr>
                <w:p w14:paraId="74995C36">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（四）向水体排放废水、倾倒工业废渣、城镇垃圾或者其他废弃物；</w:t>
                  </w:r>
                </w:p>
              </w:tc>
              <w:tc>
                <w:tcPr>
                  <w:tcW w:w="3224" w:type="dxa"/>
                  <w:vMerge w:val="continue"/>
                  <w:noWrap w:val="0"/>
                  <w:vAlign w:val="center"/>
                </w:tcPr>
                <w:p w14:paraId="7B06052C">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p>
              </w:tc>
              <w:tc>
                <w:tcPr>
                  <w:tcW w:w="680" w:type="dxa"/>
                  <w:noWrap w:val="0"/>
                  <w:vAlign w:val="center"/>
                </w:tcPr>
                <w:p w14:paraId="617BB571">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符合</w:t>
                  </w:r>
                </w:p>
              </w:tc>
            </w:tr>
            <w:tr w14:paraId="793D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14:paraId="56B8D6CF">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p>
              </w:tc>
              <w:tc>
                <w:tcPr>
                  <w:tcW w:w="3153" w:type="dxa"/>
                  <w:noWrap w:val="0"/>
                  <w:vAlign w:val="center"/>
                </w:tcPr>
                <w:p w14:paraId="6A5E3939">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（五）在江河、渠道、水库最高水位线以下的滩地、岸坡堆放、存贮固体废弃物或者其他污染物；</w:t>
                  </w:r>
                </w:p>
              </w:tc>
              <w:tc>
                <w:tcPr>
                  <w:tcW w:w="3224" w:type="dxa"/>
                  <w:noWrap w:val="0"/>
                  <w:vAlign w:val="center"/>
                </w:tcPr>
                <w:p w14:paraId="12DE36B8">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项目设置危险废物暂存间暂存危险废物，并委托资质单位进行处置，危险废物贮存设施的选址与设计、运行与管理、安全防护、环境监测及应急措施以及关闭等</w:t>
                  </w:r>
                  <w:r>
                    <w:rPr>
                      <w:rStyle w:val="75"/>
                      <w:rFonts w:hint="default" w:ascii="Times New Roman" w:hAnsi="Times New Roman" w:eastAsia="宋体" w:cs="Times New Roman"/>
                      <w:color w:val="auto"/>
                      <w:sz w:val="21"/>
                      <w:szCs w:val="21"/>
                      <w:highlight w:val="none"/>
                      <w:lang w:val="en-US"/>
                    </w:rPr>
                    <w:t>按照</w:t>
                  </w:r>
                  <w:r>
                    <w:rPr>
                      <w:rStyle w:val="75"/>
                      <w:rFonts w:hint="default" w:ascii="Times New Roman" w:hAnsi="Times New Roman" w:eastAsia="宋体" w:cs="Times New Roman"/>
                      <w:color w:val="auto"/>
                      <w:sz w:val="21"/>
                      <w:szCs w:val="21"/>
                      <w:highlight w:val="none"/>
                    </w:rPr>
                    <w:t>《危险废物贮存污染控制标准》（GB18597-2023）的规定。</w:t>
                  </w:r>
                </w:p>
              </w:tc>
              <w:tc>
                <w:tcPr>
                  <w:tcW w:w="680" w:type="dxa"/>
                  <w:noWrap w:val="0"/>
                  <w:vAlign w:val="center"/>
                </w:tcPr>
                <w:p w14:paraId="2A560CCF">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符合</w:t>
                  </w:r>
                </w:p>
              </w:tc>
            </w:tr>
            <w:tr w14:paraId="203C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14:paraId="7A902EB9">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p>
              </w:tc>
              <w:tc>
                <w:tcPr>
                  <w:tcW w:w="3153" w:type="dxa"/>
                  <w:noWrap w:val="0"/>
                  <w:vAlign w:val="center"/>
                </w:tcPr>
                <w:p w14:paraId="32663AC9">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（六）利用无防渗漏措施的沟渠、坑塘等输送或者存贮含有毒污染物的废水、含病原体的污水或者其他废弃物。</w:t>
                  </w:r>
                </w:p>
              </w:tc>
              <w:tc>
                <w:tcPr>
                  <w:tcW w:w="3224" w:type="dxa"/>
                  <w:noWrap w:val="0"/>
                  <w:vAlign w:val="center"/>
                </w:tcPr>
                <w:p w14:paraId="521EF11F">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项目不产生含有毒、病原体的污水，项目各污染物均得到妥善处置，无此行为。</w:t>
                  </w:r>
                </w:p>
              </w:tc>
              <w:tc>
                <w:tcPr>
                  <w:tcW w:w="680" w:type="dxa"/>
                  <w:noWrap w:val="0"/>
                  <w:vAlign w:val="center"/>
                </w:tcPr>
                <w:p w14:paraId="590C4BF5">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符合</w:t>
                  </w:r>
                </w:p>
              </w:tc>
            </w:tr>
            <w:tr w14:paraId="1D67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14:paraId="5BE36904">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p>
              </w:tc>
              <w:tc>
                <w:tcPr>
                  <w:tcW w:w="3153" w:type="dxa"/>
                  <w:noWrap w:val="0"/>
                  <w:vAlign w:val="center"/>
                </w:tcPr>
                <w:p w14:paraId="06645EC6">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（七）新建、扩建工业园区；</w:t>
                  </w:r>
                </w:p>
              </w:tc>
              <w:tc>
                <w:tcPr>
                  <w:tcW w:w="3224" w:type="dxa"/>
                  <w:noWrap w:val="0"/>
                  <w:vAlign w:val="center"/>
                </w:tcPr>
                <w:p w14:paraId="5AF9CF40">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无此行为。</w:t>
                  </w:r>
                </w:p>
              </w:tc>
              <w:tc>
                <w:tcPr>
                  <w:tcW w:w="680" w:type="dxa"/>
                  <w:noWrap w:val="0"/>
                  <w:vAlign w:val="center"/>
                </w:tcPr>
                <w:p w14:paraId="244E9FCB">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符合</w:t>
                  </w:r>
                </w:p>
              </w:tc>
            </w:tr>
            <w:tr w14:paraId="48BF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14:paraId="37960114">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p>
              </w:tc>
              <w:tc>
                <w:tcPr>
                  <w:tcW w:w="3153" w:type="dxa"/>
                  <w:noWrap w:val="0"/>
                  <w:vAlign w:val="center"/>
                </w:tcPr>
                <w:p w14:paraId="0C912079">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（八）新建、扩建重点水污染物排放的工业项目；</w:t>
                  </w:r>
                </w:p>
              </w:tc>
              <w:tc>
                <w:tcPr>
                  <w:tcW w:w="3224" w:type="dxa"/>
                  <w:noWrap w:val="0"/>
                  <w:vAlign w:val="center"/>
                </w:tcPr>
                <w:p w14:paraId="277BD332">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项目不是重点水污染物排放的工业项目。</w:t>
                  </w:r>
                </w:p>
              </w:tc>
              <w:tc>
                <w:tcPr>
                  <w:tcW w:w="680" w:type="dxa"/>
                  <w:noWrap w:val="0"/>
                  <w:vAlign w:val="center"/>
                </w:tcPr>
                <w:p w14:paraId="798497EB">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符合</w:t>
                  </w:r>
                </w:p>
              </w:tc>
            </w:tr>
            <w:tr w14:paraId="5349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14:paraId="2634168D">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p>
              </w:tc>
              <w:tc>
                <w:tcPr>
                  <w:tcW w:w="3153" w:type="dxa"/>
                  <w:noWrap w:val="0"/>
                  <w:vAlign w:val="center"/>
                </w:tcPr>
                <w:p w14:paraId="3E442FF8">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（九）新建、改建、扩建经营性陵园、公墓。</w:t>
                  </w:r>
                </w:p>
              </w:tc>
              <w:tc>
                <w:tcPr>
                  <w:tcW w:w="3224" w:type="dxa"/>
                  <w:noWrap w:val="0"/>
                  <w:vAlign w:val="center"/>
                </w:tcPr>
                <w:p w14:paraId="051437AD">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与项目无关。</w:t>
                  </w:r>
                </w:p>
              </w:tc>
              <w:tc>
                <w:tcPr>
                  <w:tcW w:w="680" w:type="dxa"/>
                  <w:noWrap w:val="0"/>
                  <w:vAlign w:val="center"/>
                </w:tcPr>
                <w:p w14:paraId="195F0696">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5"/>
                      <w:rFonts w:hint="default" w:ascii="Times New Roman" w:hAnsi="Times New Roman" w:eastAsia="宋体" w:cs="Times New Roman"/>
                      <w:color w:val="auto"/>
                      <w:sz w:val="21"/>
                      <w:szCs w:val="21"/>
                      <w:highlight w:val="none"/>
                    </w:rPr>
                  </w:pPr>
                  <w:r>
                    <w:rPr>
                      <w:rStyle w:val="75"/>
                      <w:rFonts w:hint="default" w:ascii="Times New Roman" w:hAnsi="Times New Roman" w:eastAsia="宋体" w:cs="Times New Roman"/>
                      <w:color w:val="auto"/>
                      <w:sz w:val="21"/>
                      <w:szCs w:val="21"/>
                      <w:highlight w:val="none"/>
                    </w:rPr>
                    <w:t>符合</w:t>
                  </w:r>
                </w:p>
              </w:tc>
            </w:tr>
          </w:tbl>
          <w:p w14:paraId="0D8AB420">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Style w:val="75"/>
                <w:rFonts w:hint="default" w:ascii="Times New Roman" w:hAnsi="Times New Roman" w:eastAsia="宋体" w:cs="Times New Roman"/>
                <w:color w:val="auto"/>
                <w:sz w:val="24"/>
                <w:highlight w:val="none"/>
              </w:rPr>
              <w:t>综上所述，本项目生产中不涉及高毒、高残留农药，项目废水不外排；固废均能得到有效处置，处置率达100%。项目建设和运营期不存在牛栏江污染控制区禁止的行为，故项目与《云南省牛栏江保护条例》相符。</w:t>
            </w:r>
          </w:p>
          <w:p w14:paraId="2BACAAEA">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4、与《牛栏江流域（云南部分）水环境保护规划（2009~2030）》的相符性分析</w:t>
            </w:r>
          </w:p>
          <w:p w14:paraId="04A4A3B8">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w:t>
            </w:r>
            <w:r>
              <w:rPr>
                <w:rFonts w:hint="eastAsia" w:cs="Times New Roman"/>
                <w:color w:val="auto"/>
                <w:kern w:val="0"/>
                <w:sz w:val="24"/>
                <w:szCs w:val="24"/>
                <w:highlight w:val="none"/>
                <w:lang w:val="en-US" w:eastAsia="zh-CN" w:bidi="ar-SA"/>
              </w:rPr>
              <w:t>5</w:t>
            </w:r>
            <w:r>
              <w:rPr>
                <w:rFonts w:hint="default" w:ascii="Times New Roman" w:hAnsi="Times New Roman" w:eastAsia="宋体" w:cs="Times New Roman"/>
                <w:color w:val="auto"/>
                <w:kern w:val="0"/>
                <w:sz w:val="24"/>
                <w:szCs w:val="24"/>
                <w:highlight w:val="none"/>
                <w:lang w:val="en-US" w:eastAsia="zh-CN" w:bidi="ar-SA"/>
              </w:rPr>
              <w:t>6km²，属于污染重点治理区。水源涵养区包括除水源保护核心区、重点污染控制区以外的山地。涉及杨林镇、仁德镇、通泉镇、王家庄镇、马过河镇、旧县镇六个乡镇，面积1764.16km²。</w:t>
            </w:r>
          </w:p>
          <w:p w14:paraId="1200A35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云南寻甸产业园区金所片区金所组团内，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14:paraId="18EB72C2">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 xml:space="preserve">    </w:t>
            </w:r>
            <w:r>
              <w:rPr>
                <w:rFonts w:hint="default" w:cs="Times New Roman"/>
                <w:color w:val="auto"/>
                <w:kern w:val="0"/>
                <w:sz w:val="24"/>
                <w:szCs w:val="24"/>
                <w:highlight w:val="none"/>
                <w:lang w:val="en-US" w:eastAsia="zh-CN"/>
              </w:rPr>
              <w:t>项目排水采用雨污分流的排水方式，</w:t>
            </w:r>
            <w:r>
              <w:rPr>
                <w:rFonts w:hint="eastAsia" w:cs="Times New Roman"/>
                <w:color w:val="auto"/>
                <w:kern w:val="0"/>
                <w:sz w:val="24"/>
                <w:szCs w:val="24"/>
                <w:highlight w:val="none"/>
                <w:lang w:val="en-US" w:eastAsia="zh-CN"/>
              </w:rPr>
              <w:t>设备冷却废水</w:t>
            </w:r>
            <w:r>
              <w:rPr>
                <w:rFonts w:hint="default" w:cs="Times New Roman"/>
                <w:color w:val="auto"/>
                <w:kern w:val="0"/>
                <w:sz w:val="24"/>
                <w:szCs w:val="24"/>
                <w:highlight w:val="none"/>
                <w:lang w:val="en-US" w:eastAsia="zh-CN"/>
              </w:rPr>
              <w:t>经循环冷却池冷却后循环使用不外排；</w:t>
            </w:r>
            <w:r>
              <w:rPr>
                <w:rFonts w:hint="eastAsia" w:cs="Times New Roman"/>
                <w:color w:val="auto"/>
                <w:kern w:val="0"/>
                <w:sz w:val="24"/>
                <w:szCs w:val="24"/>
                <w:highlight w:val="none"/>
                <w:lang w:val="en-US" w:eastAsia="zh-CN"/>
              </w:rPr>
              <w:t>化验后的容器清洗废水通过投加絮凝剂、加入酸碱中和剂等方式对废水进行沉淀、中和等简易处理，处理后的废水排入厂内拟建的污水处理站统一处置；吸收氨气的清水浓度大于10%时直接作为脱硝使用喷入</w:t>
            </w:r>
          </w:p>
          <w:p w14:paraId="716F753F">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rPr>
              <w:t>炉膛内，不外排；</w:t>
            </w:r>
            <w:r>
              <w:rPr>
                <w:rFonts w:hint="default" w:cs="Times New Roman"/>
                <w:color w:val="auto"/>
                <w:kern w:val="0"/>
                <w:sz w:val="24"/>
                <w:szCs w:val="24"/>
                <w:highlight w:val="none"/>
                <w:lang w:val="en-US" w:eastAsia="zh-CN"/>
              </w:rPr>
              <w:t>初期雨水</w:t>
            </w:r>
            <w:r>
              <w:rPr>
                <w:rFonts w:hint="eastAsia" w:cs="Times New Roman"/>
                <w:color w:val="auto"/>
                <w:kern w:val="0"/>
                <w:sz w:val="24"/>
                <w:szCs w:val="24"/>
                <w:highlight w:val="none"/>
                <w:lang w:val="en-US" w:eastAsia="zh-CN"/>
              </w:rPr>
              <w:t>经沉淀</w:t>
            </w:r>
            <w:r>
              <w:rPr>
                <w:rFonts w:hint="default" w:cs="Times New Roman"/>
                <w:color w:val="auto"/>
                <w:kern w:val="0"/>
                <w:sz w:val="24"/>
                <w:szCs w:val="24"/>
                <w:highlight w:val="none"/>
                <w:lang w:val="en-US" w:eastAsia="zh-CN"/>
              </w:rPr>
              <w:t>处理后回用于</w:t>
            </w:r>
            <w:r>
              <w:rPr>
                <w:rFonts w:hint="eastAsia" w:cs="Times New Roman"/>
                <w:color w:val="auto"/>
                <w:kern w:val="0"/>
                <w:sz w:val="24"/>
                <w:szCs w:val="24"/>
                <w:highlight w:val="none"/>
                <w:lang w:val="en-US" w:eastAsia="zh-CN"/>
              </w:rPr>
              <w:t>厂区洒水抑尘</w:t>
            </w:r>
            <w:r>
              <w:rPr>
                <w:rFonts w:hint="default" w:cs="Times New Roman"/>
                <w:color w:val="auto"/>
                <w:kern w:val="0"/>
                <w:sz w:val="24"/>
                <w:szCs w:val="24"/>
                <w:highlight w:val="none"/>
                <w:lang w:val="en-US" w:eastAsia="zh-CN"/>
              </w:rPr>
              <w:t>，不外排</w:t>
            </w:r>
            <w:r>
              <w:rPr>
                <w:rFonts w:hint="eastAsia" w:cs="Times New Roman"/>
                <w:color w:val="auto"/>
                <w:kern w:val="0"/>
                <w:sz w:val="24"/>
                <w:szCs w:val="24"/>
                <w:highlight w:val="none"/>
                <w:lang w:val="en-US" w:eastAsia="zh-CN"/>
              </w:rPr>
              <w:t>；</w:t>
            </w:r>
            <w:r>
              <w:rPr>
                <w:rFonts w:hint="default" w:cs="Times New Roman"/>
                <w:color w:val="auto"/>
                <w:kern w:val="0"/>
                <w:sz w:val="24"/>
                <w:szCs w:val="24"/>
                <w:highlight w:val="none"/>
                <w:lang w:val="en-US" w:eastAsia="zh-CN"/>
              </w:rPr>
              <w:t>办公生活污水</w:t>
            </w:r>
            <w:r>
              <w:rPr>
                <w:rFonts w:hint="eastAsia" w:cs="Times New Roman"/>
                <w:color w:val="auto"/>
                <w:kern w:val="0"/>
                <w:sz w:val="24"/>
                <w:szCs w:val="24"/>
                <w:highlight w:val="none"/>
                <w:lang w:val="en-US" w:eastAsia="zh-CN"/>
              </w:rPr>
              <w:t>排</w:t>
            </w:r>
            <w:r>
              <w:rPr>
                <w:rFonts w:hint="default" w:cs="Times New Roman"/>
                <w:color w:val="auto"/>
                <w:kern w:val="0"/>
                <w:sz w:val="24"/>
                <w:szCs w:val="24"/>
                <w:highlight w:val="none"/>
                <w:lang w:val="en-US" w:eastAsia="zh-CN"/>
              </w:rPr>
              <w:t>入化粪</w:t>
            </w:r>
            <w:r>
              <w:rPr>
                <w:rFonts w:hint="eastAsia" w:cs="Times New Roman"/>
                <w:color w:val="auto"/>
                <w:kern w:val="0"/>
                <w:sz w:val="24"/>
                <w:szCs w:val="24"/>
                <w:highlight w:val="none"/>
                <w:lang w:val="en-US" w:eastAsia="zh-CN"/>
              </w:rPr>
              <w:t>池处理后同化验废水一并进入</w:t>
            </w:r>
            <w:r>
              <w:rPr>
                <w:rFonts w:hint="default" w:cs="Times New Roman"/>
                <w:color w:val="auto"/>
                <w:kern w:val="0"/>
                <w:sz w:val="24"/>
                <w:szCs w:val="24"/>
                <w:highlight w:val="none"/>
                <w:lang w:val="en-US" w:eastAsia="zh-CN"/>
              </w:rPr>
              <w:t>地埋式一体化污水处理站处理达《城市污水再生利用 城市杂用水水质》（GB/T18920-2020）中的城市绿化、道路清扫、消防、建筑施工标准后，用于项目区内绿化及道路场地洒水降尘，不外排</w:t>
            </w:r>
            <w:r>
              <w:rPr>
                <w:rFonts w:hint="default" w:ascii="Times New Roman" w:hAnsi="Times New Roman" w:eastAsia="宋体" w:cs="Times New Roman"/>
                <w:color w:val="auto"/>
                <w:kern w:val="2"/>
                <w:sz w:val="24"/>
                <w:szCs w:val="24"/>
                <w:highlight w:val="none"/>
                <w:shd w:val="clear" w:color="auto" w:fill="auto"/>
                <w:lang w:val="en-US" w:eastAsia="zh-CN" w:bidi="ar-SA"/>
              </w:rPr>
              <w:t>。</w:t>
            </w:r>
            <w:r>
              <w:rPr>
                <w:rFonts w:hint="default" w:ascii="Times New Roman" w:hAnsi="Times New Roman" w:eastAsia="宋体" w:cs="Times New Roman"/>
                <w:color w:val="auto"/>
                <w:kern w:val="0"/>
                <w:sz w:val="24"/>
                <w:szCs w:val="24"/>
                <w:highlight w:val="none"/>
                <w:lang w:val="en-US" w:eastAsia="zh-CN" w:bidi="ar-SA"/>
              </w:rPr>
              <w:t>项目内设有垃圾和危废收集设施，可保证固废合理收集处置，一般生活固废由环卫部门进行处置，危废收集后委托有资质单位处理。项目选址符合《云南省牛栏江保护条例》中的选址要求。</w:t>
            </w:r>
          </w:p>
          <w:p w14:paraId="3CB4DD09">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综上所述，项目选址符合《牛栏江流域（云南部分）水环境保护规划（2009~2030）》对重点污染控制区的水环境保护要求。</w:t>
            </w:r>
          </w:p>
          <w:p w14:paraId="674EB293">
            <w:pPr>
              <w:autoSpaceDE w:val="0"/>
              <w:autoSpaceDN w:val="0"/>
              <w:adjustRightInd w:val="0"/>
              <w:snapToGrid w:val="0"/>
              <w:spacing w:line="360" w:lineRule="auto"/>
              <w:ind w:firstLine="482" w:firstLineChars="200"/>
              <w:jc w:val="left"/>
              <w:rPr>
                <w:color w:val="auto"/>
                <w:kern w:val="0"/>
                <w:sz w:val="24"/>
              </w:rPr>
            </w:pPr>
            <w:r>
              <w:rPr>
                <w:rFonts w:hint="eastAsia" w:ascii="Times New Roman" w:hAnsi="Times New Roman" w:cs="Times New Roman"/>
                <w:b/>
                <w:bCs w:val="0"/>
                <w:color w:val="auto"/>
                <w:sz w:val="24"/>
                <w:szCs w:val="24"/>
                <w:highlight w:val="none"/>
                <w:lang w:val="en-US" w:eastAsia="zh-CN"/>
              </w:rPr>
              <w:t>5、</w:t>
            </w:r>
            <w:r>
              <w:rPr>
                <w:b/>
                <w:bCs/>
                <w:color w:val="auto"/>
                <w:kern w:val="0"/>
                <w:sz w:val="24"/>
              </w:rPr>
              <w:t>与《牛栏江流域（寻甸段）水环境保护规划（20</w:t>
            </w:r>
            <w:r>
              <w:rPr>
                <w:rFonts w:hint="eastAsia"/>
                <w:b/>
                <w:bCs/>
                <w:color w:val="auto"/>
                <w:kern w:val="0"/>
                <w:sz w:val="24"/>
              </w:rPr>
              <w:t>09</w:t>
            </w:r>
            <w:r>
              <w:rPr>
                <w:b/>
                <w:bCs/>
                <w:color w:val="auto"/>
                <w:kern w:val="0"/>
                <w:sz w:val="24"/>
              </w:rPr>
              <w:t>~2030）》的相符性分析</w:t>
            </w:r>
          </w:p>
          <w:p w14:paraId="2FFD5C1A">
            <w:pPr>
              <w:autoSpaceDE w:val="0"/>
              <w:autoSpaceDN w:val="0"/>
              <w:adjustRightInd w:val="0"/>
              <w:snapToGrid w:val="0"/>
              <w:spacing w:line="360" w:lineRule="auto"/>
              <w:ind w:firstLine="480" w:firstLineChars="200"/>
              <w:jc w:val="left"/>
              <w:rPr>
                <w:color w:val="auto"/>
                <w:kern w:val="0"/>
                <w:sz w:val="24"/>
              </w:rPr>
            </w:pPr>
            <w:r>
              <w:rPr>
                <w:color w:val="auto"/>
                <w:kern w:val="0"/>
                <w:sz w:val="24"/>
              </w:rPr>
              <w:t>根据《牛栏江流域（寻甸段）水环境保护规划》分区结果，牛栏江流域（寻甸段）共分为三个区进行保护，水源保护核心区、重点污染控制区、重点水源涵养区，各分区范围节点如下：</w:t>
            </w:r>
          </w:p>
          <w:p w14:paraId="40B2E95D">
            <w:pPr>
              <w:autoSpaceDE w:val="0"/>
              <w:autoSpaceDN w:val="0"/>
              <w:adjustRightInd w:val="0"/>
              <w:snapToGrid w:val="0"/>
              <w:spacing w:line="360" w:lineRule="auto"/>
              <w:ind w:firstLine="480" w:firstLineChars="200"/>
              <w:jc w:val="left"/>
              <w:rPr>
                <w:color w:val="auto"/>
                <w:kern w:val="0"/>
                <w:sz w:val="24"/>
              </w:rPr>
            </w:pPr>
            <w:r>
              <w:rPr>
                <w:color w:val="auto"/>
                <w:kern w:val="0"/>
                <w:sz w:val="24"/>
              </w:rPr>
              <w:t>①水源保护核心区范围为牛栏江流域（寻甸段）干流1000m范围。水源保护核心区分为禁止建设区、限制建设区两个区，禁止建设区范围指干流河面水域及沿岸外延200m的区域，限制建设区范围指干流沿岸外200m—1000m之间的区域。</w:t>
            </w:r>
          </w:p>
          <w:p w14:paraId="60DC964F">
            <w:pPr>
              <w:autoSpaceDE w:val="0"/>
              <w:autoSpaceDN w:val="0"/>
              <w:adjustRightInd w:val="0"/>
              <w:snapToGrid w:val="0"/>
              <w:spacing w:line="360" w:lineRule="auto"/>
              <w:ind w:firstLine="480" w:firstLineChars="200"/>
              <w:jc w:val="left"/>
              <w:rPr>
                <w:color w:val="auto"/>
                <w:kern w:val="0"/>
                <w:sz w:val="24"/>
              </w:rPr>
            </w:pPr>
            <w:r>
              <w:rPr>
                <w:color w:val="auto"/>
                <w:kern w:val="0"/>
                <w:sz w:val="24"/>
              </w:rPr>
              <w:t>②重点污染控制区范围指水体保护核心区外，主要入江支流水域外延3000m的区域和流域范围内的坝区，若区域范围超过一级山脊，按一级山脊线划定。</w:t>
            </w:r>
          </w:p>
          <w:p w14:paraId="1F1BCEC2">
            <w:pPr>
              <w:autoSpaceDE w:val="0"/>
              <w:autoSpaceDN w:val="0"/>
              <w:adjustRightInd w:val="0"/>
              <w:snapToGrid w:val="0"/>
              <w:spacing w:line="360" w:lineRule="auto"/>
              <w:ind w:firstLine="480" w:firstLineChars="200"/>
              <w:jc w:val="left"/>
              <w:rPr>
                <w:color w:val="auto"/>
                <w:kern w:val="0"/>
                <w:sz w:val="24"/>
              </w:rPr>
            </w:pPr>
            <w:r>
              <w:rPr>
                <w:color w:val="auto"/>
                <w:kern w:val="0"/>
                <w:sz w:val="24"/>
              </w:rPr>
              <w:t>③重点水源涵养区范围指流域范围内除水源保护核心区、重点污染控制区以外的区域。</w:t>
            </w:r>
          </w:p>
          <w:p w14:paraId="018809B6">
            <w:pPr>
              <w:autoSpaceDE w:val="0"/>
              <w:autoSpaceDN w:val="0"/>
              <w:adjustRightInd w:val="0"/>
              <w:snapToGrid w:val="0"/>
              <w:spacing w:line="360" w:lineRule="auto"/>
              <w:ind w:firstLine="480" w:firstLineChars="200"/>
              <w:jc w:val="left"/>
              <w:rPr>
                <w:color w:val="auto"/>
                <w:kern w:val="0"/>
                <w:sz w:val="24"/>
              </w:rPr>
            </w:pPr>
            <w:r>
              <w:rPr>
                <w:color w:val="auto"/>
                <w:kern w:val="0"/>
                <w:sz w:val="24"/>
              </w:rPr>
              <w:t>本项目位于</w:t>
            </w:r>
            <w:r>
              <w:rPr>
                <w:rFonts w:hint="default" w:ascii="Times New Roman" w:hAnsi="Times New Roman" w:eastAsia="宋体" w:cs="Times New Roman"/>
                <w:color w:val="auto"/>
                <w:sz w:val="24"/>
                <w:szCs w:val="24"/>
                <w:highlight w:val="none"/>
                <w:u w:val="none"/>
                <w:lang w:val="en-US" w:eastAsia="zh-CN"/>
              </w:rPr>
              <w:t>云南寻甸产业园区金所片区金所组团内</w:t>
            </w:r>
            <w:r>
              <w:rPr>
                <w:color w:val="auto"/>
                <w:kern w:val="0"/>
                <w:sz w:val="24"/>
              </w:rPr>
              <w:t>，属重点污染控制区。对照《牛栏江（寻甸段）水环境保护规划（20</w:t>
            </w:r>
            <w:r>
              <w:rPr>
                <w:rFonts w:hint="eastAsia"/>
                <w:color w:val="auto"/>
                <w:kern w:val="0"/>
                <w:sz w:val="24"/>
                <w:lang w:val="en-US" w:eastAsia="zh-CN"/>
              </w:rPr>
              <w:t>09</w:t>
            </w:r>
            <w:r>
              <w:rPr>
                <w:color w:val="auto"/>
                <w:kern w:val="0"/>
                <w:sz w:val="24"/>
              </w:rPr>
              <w:t>~2030）》对</w:t>
            </w:r>
            <w:r>
              <w:rPr>
                <w:rFonts w:hint="default"/>
                <w:color w:val="auto"/>
                <w:kern w:val="0"/>
                <w:sz w:val="24"/>
              </w:rPr>
              <w:t>重点污染控制区</w:t>
            </w:r>
            <w:r>
              <w:rPr>
                <w:color w:val="auto"/>
                <w:kern w:val="0"/>
                <w:sz w:val="24"/>
              </w:rPr>
              <w:t>的水环境保护策略，项目符合性分析见表1-</w:t>
            </w:r>
            <w:r>
              <w:rPr>
                <w:rFonts w:hint="eastAsia"/>
                <w:color w:val="auto"/>
                <w:kern w:val="0"/>
                <w:sz w:val="24"/>
                <w:lang w:val="en-US" w:eastAsia="zh-CN"/>
              </w:rPr>
              <w:t>7</w:t>
            </w:r>
            <w:r>
              <w:rPr>
                <w:color w:val="auto"/>
                <w:kern w:val="0"/>
                <w:sz w:val="24"/>
              </w:rPr>
              <w:t>。</w:t>
            </w:r>
          </w:p>
          <w:p w14:paraId="5362999C">
            <w:pPr>
              <w:autoSpaceDE w:val="0"/>
              <w:autoSpaceDN w:val="0"/>
              <w:adjustRightInd w:val="0"/>
              <w:snapToGrid w:val="0"/>
              <w:jc w:val="center"/>
              <w:rPr>
                <w:b/>
                <w:bCs/>
                <w:color w:val="auto"/>
                <w:kern w:val="0"/>
                <w:szCs w:val="21"/>
              </w:rPr>
            </w:pPr>
            <w:r>
              <w:rPr>
                <w:b/>
                <w:bCs/>
                <w:color w:val="auto"/>
                <w:kern w:val="0"/>
                <w:szCs w:val="21"/>
              </w:rPr>
              <w:t>表1-</w:t>
            </w:r>
            <w:r>
              <w:rPr>
                <w:rFonts w:hint="eastAsia"/>
                <w:b/>
                <w:bCs/>
                <w:color w:val="auto"/>
                <w:kern w:val="0"/>
                <w:szCs w:val="21"/>
                <w:lang w:val="en-US" w:eastAsia="zh-CN"/>
              </w:rPr>
              <w:t>7</w:t>
            </w:r>
            <w:r>
              <w:rPr>
                <w:b/>
                <w:bCs/>
                <w:color w:val="auto"/>
                <w:kern w:val="0"/>
                <w:szCs w:val="21"/>
              </w:rPr>
              <w:t xml:space="preserve">  对照分析符合表</w:t>
            </w:r>
          </w:p>
          <w:tbl>
            <w:tblPr>
              <w:tblStyle w:val="27"/>
              <w:tblW w:w="7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3115"/>
              <w:gridCol w:w="3947"/>
              <w:gridCol w:w="461"/>
            </w:tblGrid>
            <w:tr w14:paraId="3A00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443" w:type="dxa"/>
                  <w:vAlign w:val="center"/>
                </w:tcPr>
                <w:p w14:paraId="61F335F0">
                  <w:pPr>
                    <w:autoSpaceDE w:val="0"/>
                    <w:autoSpaceDN w:val="0"/>
                    <w:adjustRightInd w:val="0"/>
                    <w:snapToGrid w:val="0"/>
                    <w:jc w:val="center"/>
                    <w:rPr>
                      <w:color w:val="auto"/>
                      <w:kern w:val="0"/>
                      <w:szCs w:val="21"/>
                    </w:rPr>
                  </w:pPr>
                  <w:r>
                    <w:rPr>
                      <w:color w:val="auto"/>
                      <w:kern w:val="0"/>
                      <w:szCs w:val="21"/>
                    </w:rPr>
                    <w:t>序号</w:t>
                  </w:r>
                </w:p>
              </w:tc>
              <w:tc>
                <w:tcPr>
                  <w:tcW w:w="3115" w:type="dxa"/>
                  <w:vAlign w:val="center"/>
                </w:tcPr>
                <w:p w14:paraId="40157A0C">
                  <w:pPr>
                    <w:autoSpaceDE w:val="0"/>
                    <w:autoSpaceDN w:val="0"/>
                    <w:adjustRightInd w:val="0"/>
                    <w:snapToGrid w:val="0"/>
                    <w:jc w:val="center"/>
                    <w:rPr>
                      <w:color w:val="auto"/>
                      <w:kern w:val="0"/>
                      <w:szCs w:val="21"/>
                    </w:rPr>
                  </w:pPr>
                  <w:r>
                    <w:rPr>
                      <w:color w:val="auto"/>
                      <w:kern w:val="0"/>
                      <w:szCs w:val="21"/>
                    </w:rPr>
                    <w:t>《牛栏江流域（寻甸段）水环境保护规划》水环境保护策略</w:t>
                  </w:r>
                </w:p>
              </w:tc>
              <w:tc>
                <w:tcPr>
                  <w:tcW w:w="3947" w:type="dxa"/>
                  <w:vAlign w:val="center"/>
                </w:tcPr>
                <w:p w14:paraId="76C47C9D">
                  <w:pPr>
                    <w:autoSpaceDE w:val="0"/>
                    <w:autoSpaceDN w:val="0"/>
                    <w:adjustRightInd w:val="0"/>
                    <w:snapToGrid w:val="0"/>
                    <w:jc w:val="center"/>
                    <w:rPr>
                      <w:color w:val="auto"/>
                      <w:kern w:val="0"/>
                      <w:szCs w:val="21"/>
                    </w:rPr>
                  </w:pPr>
                  <w:r>
                    <w:rPr>
                      <w:color w:val="auto"/>
                      <w:kern w:val="0"/>
                      <w:szCs w:val="21"/>
                    </w:rPr>
                    <w:t>该项目情况</w:t>
                  </w:r>
                </w:p>
              </w:tc>
              <w:tc>
                <w:tcPr>
                  <w:tcW w:w="461" w:type="dxa"/>
                  <w:vAlign w:val="center"/>
                </w:tcPr>
                <w:p w14:paraId="3580FB8F">
                  <w:pPr>
                    <w:autoSpaceDE w:val="0"/>
                    <w:autoSpaceDN w:val="0"/>
                    <w:adjustRightInd w:val="0"/>
                    <w:snapToGrid w:val="0"/>
                    <w:jc w:val="center"/>
                    <w:rPr>
                      <w:color w:val="auto"/>
                      <w:kern w:val="0"/>
                      <w:szCs w:val="21"/>
                    </w:rPr>
                  </w:pPr>
                  <w:r>
                    <w:rPr>
                      <w:color w:val="auto"/>
                      <w:kern w:val="0"/>
                      <w:szCs w:val="21"/>
                    </w:rPr>
                    <w:t>相符性</w:t>
                  </w:r>
                </w:p>
              </w:tc>
            </w:tr>
            <w:tr w14:paraId="43B2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43" w:type="dxa"/>
                  <w:vAlign w:val="center"/>
                </w:tcPr>
                <w:p w14:paraId="2658B03A">
                  <w:pPr>
                    <w:autoSpaceDE w:val="0"/>
                    <w:autoSpaceDN w:val="0"/>
                    <w:adjustRightInd w:val="0"/>
                    <w:snapToGrid w:val="0"/>
                    <w:jc w:val="center"/>
                    <w:rPr>
                      <w:color w:val="auto"/>
                      <w:kern w:val="0"/>
                      <w:szCs w:val="21"/>
                    </w:rPr>
                  </w:pPr>
                  <w:r>
                    <w:rPr>
                      <w:color w:val="auto"/>
                      <w:kern w:val="0"/>
                      <w:szCs w:val="21"/>
                    </w:rPr>
                    <w:t>1</w:t>
                  </w:r>
                </w:p>
              </w:tc>
              <w:tc>
                <w:tcPr>
                  <w:tcW w:w="3115" w:type="dxa"/>
                  <w:vAlign w:val="center"/>
                </w:tcPr>
                <w:p w14:paraId="32F2877A">
                  <w:pPr>
                    <w:autoSpaceDE w:val="0"/>
                    <w:autoSpaceDN w:val="0"/>
                    <w:adjustRightInd w:val="0"/>
                    <w:snapToGrid w:val="0"/>
                    <w:jc w:val="center"/>
                    <w:rPr>
                      <w:color w:val="auto"/>
                      <w:kern w:val="0"/>
                      <w:szCs w:val="21"/>
                    </w:rPr>
                  </w:pPr>
                  <w:r>
                    <w:rPr>
                      <w:color w:val="auto"/>
                      <w:kern w:val="0"/>
                      <w:szCs w:val="21"/>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3947" w:type="dxa"/>
                  <w:vAlign w:val="center"/>
                </w:tcPr>
                <w:p w14:paraId="5BD64CCF">
                  <w:pPr>
                    <w:autoSpaceDE w:val="0"/>
                    <w:autoSpaceDN w:val="0"/>
                    <w:adjustRightInd w:val="0"/>
                    <w:snapToGrid w:val="0"/>
                    <w:jc w:val="center"/>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项目排水采用雨污分流的排水方式，</w:t>
                  </w:r>
                  <w:r>
                    <w:rPr>
                      <w:rFonts w:hint="eastAsia" w:ascii="Times New Roman" w:hAnsi="Times New Roman" w:eastAsia="宋体" w:cs="Times New Roman"/>
                      <w:color w:val="auto"/>
                      <w:kern w:val="0"/>
                      <w:szCs w:val="21"/>
                      <w:lang w:val="en-US" w:eastAsia="zh-CN"/>
                    </w:rPr>
                    <w:t>设备冷却废水</w:t>
                  </w:r>
                  <w:r>
                    <w:rPr>
                      <w:rFonts w:hint="default" w:ascii="Times New Roman" w:hAnsi="Times New Roman" w:eastAsia="宋体" w:cs="Times New Roman"/>
                      <w:color w:val="auto"/>
                      <w:kern w:val="0"/>
                      <w:szCs w:val="21"/>
                      <w:lang w:val="en-US" w:eastAsia="zh-CN"/>
                    </w:rPr>
                    <w:t>经循环冷却池冷却后循环使用不外排；</w:t>
                  </w:r>
                  <w:r>
                    <w:rPr>
                      <w:rFonts w:hint="eastAsia" w:ascii="Times New Roman" w:hAnsi="Times New Roman" w:eastAsia="宋体" w:cs="Times New Roman"/>
                      <w:color w:val="auto"/>
                      <w:kern w:val="0"/>
                      <w:szCs w:val="21"/>
                      <w:lang w:val="en-US" w:eastAsia="zh-CN"/>
                    </w:rPr>
                    <w:t>化验后的容器清洗废水通过投加絮凝剂、加入酸碱中和剂等方式对废水进行沉淀、中和等简易处理，处理后的废水排入厂内拟建的污水处理站统一处置；吸收氨气的清水浓度大于10%时直接作为脱硝使用喷入</w:t>
                  </w:r>
                </w:p>
                <w:p w14:paraId="6A842761">
                  <w:pPr>
                    <w:autoSpaceDE w:val="0"/>
                    <w:autoSpaceDN w:val="0"/>
                    <w:adjustRightInd w:val="0"/>
                    <w:snapToGrid w:val="0"/>
                    <w:jc w:val="center"/>
                    <w:rPr>
                      <w:color w:val="auto"/>
                      <w:kern w:val="0"/>
                      <w:szCs w:val="21"/>
                    </w:rPr>
                  </w:pPr>
                  <w:r>
                    <w:rPr>
                      <w:rFonts w:hint="eastAsia" w:ascii="Times New Roman" w:hAnsi="Times New Roman" w:eastAsia="宋体" w:cs="Times New Roman"/>
                      <w:color w:val="auto"/>
                      <w:kern w:val="0"/>
                      <w:szCs w:val="21"/>
                      <w:lang w:val="en-US" w:eastAsia="zh-CN"/>
                    </w:rPr>
                    <w:t>炉膛内，不外排；</w:t>
                  </w:r>
                  <w:r>
                    <w:rPr>
                      <w:rFonts w:hint="default" w:ascii="Times New Roman" w:hAnsi="Times New Roman" w:eastAsia="宋体" w:cs="Times New Roman"/>
                      <w:color w:val="auto"/>
                      <w:kern w:val="0"/>
                      <w:szCs w:val="21"/>
                      <w:lang w:val="en-US" w:eastAsia="zh-CN"/>
                    </w:rPr>
                    <w:t>初期雨水</w:t>
                  </w:r>
                  <w:r>
                    <w:rPr>
                      <w:rFonts w:hint="eastAsia" w:ascii="Times New Roman" w:hAnsi="Times New Roman" w:eastAsia="宋体" w:cs="Times New Roman"/>
                      <w:color w:val="auto"/>
                      <w:kern w:val="0"/>
                      <w:szCs w:val="21"/>
                      <w:lang w:val="en-US" w:eastAsia="zh-CN"/>
                    </w:rPr>
                    <w:t>经沉淀</w:t>
                  </w:r>
                  <w:r>
                    <w:rPr>
                      <w:rFonts w:hint="default" w:ascii="Times New Roman" w:hAnsi="Times New Roman" w:eastAsia="宋体" w:cs="Times New Roman"/>
                      <w:color w:val="auto"/>
                      <w:kern w:val="0"/>
                      <w:szCs w:val="21"/>
                      <w:lang w:val="en-US" w:eastAsia="zh-CN"/>
                    </w:rPr>
                    <w:t>处理后回用于</w:t>
                  </w:r>
                  <w:r>
                    <w:rPr>
                      <w:rFonts w:hint="eastAsia" w:ascii="Times New Roman" w:hAnsi="Times New Roman" w:eastAsia="宋体" w:cs="Times New Roman"/>
                      <w:color w:val="auto"/>
                      <w:kern w:val="0"/>
                      <w:szCs w:val="21"/>
                      <w:lang w:val="en-US" w:eastAsia="zh-CN"/>
                    </w:rPr>
                    <w:t>厂区洒水抑尘</w:t>
                  </w:r>
                  <w:r>
                    <w:rPr>
                      <w:rFonts w:hint="default" w:ascii="Times New Roman" w:hAnsi="Times New Roman" w:eastAsia="宋体" w:cs="Times New Roman"/>
                      <w:color w:val="auto"/>
                      <w:kern w:val="0"/>
                      <w:szCs w:val="21"/>
                      <w:lang w:val="en-US" w:eastAsia="zh-CN"/>
                    </w:rPr>
                    <w:t>，不外排</w:t>
                  </w:r>
                  <w:r>
                    <w:rPr>
                      <w:rFonts w:hint="eastAsia"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办公生活污水</w:t>
                  </w:r>
                  <w:r>
                    <w:rPr>
                      <w:rFonts w:hint="eastAsia" w:ascii="Times New Roman" w:hAnsi="Times New Roman" w:eastAsia="宋体" w:cs="Times New Roman"/>
                      <w:color w:val="auto"/>
                      <w:kern w:val="0"/>
                      <w:szCs w:val="21"/>
                      <w:lang w:val="en-US" w:eastAsia="zh-CN"/>
                    </w:rPr>
                    <w:t>排</w:t>
                  </w:r>
                  <w:r>
                    <w:rPr>
                      <w:rFonts w:hint="default" w:ascii="Times New Roman" w:hAnsi="Times New Roman" w:eastAsia="宋体" w:cs="Times New Roman"/>
                      <w:color w:val="auto"/>
                      <w:kern w:val="0"/>
                      <w:szCs w:val="21"/>
                      <w:lang w:val="en-US" w:eastAsia="zh-CN"/>
                    </w:rPr>
                    <w:t>入化粪</w:t>
                  </w:r>
                  <w:r>
                    <w:rPr>
                      <w:rFonts w:hint="eastAsia" w:ascii="Times New Roman" w:hAnsi="Times New Roman" w:eastAsia="宋体" w:cs="Times New Roman"/>
                      <w:color w:val="auto"/>
                      <w:kern w:val="0"/>
                      <w:szCs w:val="21"/>
                      <w:lang w:val="en-US" w:eastAsia="zh-CN"/>
                    </w:rPr>
                    <w:t>池处理后同化验废水一并进入</w:t>
                  </w:r>
                  <w:r>
                    <w:rPr>
                      <w:rFonts w:hint="default" w:ascii="Times New Roman" w:hAnsi="Times New Roman" w:eastAsia="宋体" w:cs="Times New Roman"/>
                      <w:color w:val="auto"/>
                      <w:kern w:val="0"/>
                      <w:szCs w:val="21"/>
                      <w:lang w:val="en-US" w:eastAsia="zh-CN"/>
                    </w:rPr>
                    <w:t>地埋式一体化污水处理站处理达《城市污水再生利用 城市杂用水水质》（GB/T18920-2020）中的城市绿化、道路清扫、消防、建筑施工标准后，用于项目区内绿化及道路场地洒水降尘，不外排。</w:t>
                  </w:r>
                  <w:r>
                    <w:rPr>
                      <w:rFonts w:hint="default" w:ascii="Times New Roman" w:hAnsi="Times New Roman" w:eastAsia="宋体" w:cs="Times New Roman"/>
                      <w:color w:val="auto"/>
                      <w:kern w:val="0"/>
                      <w:sz w:val="21"/>
                      <w:szCs w:val="21"/>
                      <w:highlight w:val="none"/>
                      <w:lang w:val="en-US" w:eastAsia="zh-CN" w:bidi="ar-SA"/>
                    </w:rPr>
                    <w:t>项目内设有垃圾和危废收集设施，可保证固废合理收集处置，一般生活固废由环卫部门进行处置，危废收集后委托有资质单位处理。</w:t>
                  </w:r>
                </w:p>
              </w:tc>
              <w:tc>
                <w:tcPr>
                  <w:tcW w:w="461" w:type="dxa"/>
                  <w:vAlign w:val="center"/>
                </w:tcPr>
                <w:p w14:paraId="19C680FA">
                  <w:pPr>
                    <w:autoSpaceDE w:val="0"/>
                    <w:autoSpaceDN w:val="0"/>
                    <w:adjustRightInd w:val="0"/>
                    <w:snapToGrid w:val="0"/>
                    <w:jc w:val="center"/>
                    <w:rPr>
                      <w:color w:val="auto"/>
                      <w:kern w:val="0"/>
                      <w:szCs w:val="21"/>
                    </w:rPr>
                  </w:pPr>
                  <w:r>
                    <w:rPr>
                      <w:color w:val="auto"/>
                      <w:kern w:val="0"/>
                      <w:szCs w:val="21"/>
                    </w:rPr>
                    <w:t>符合</w:t>
                  </w:r>
                </w:p>
              </w:tc>
            </w:tr>
            <w:tr w14:paraId="3E37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43" w:type="dxa"/>
                  <w:vAlign w:val="center"/>
                </w:tcPr>
                <w:p w14:paraId="7B4825B0">
                  <w:pPr>
                    <w:autoSpaceDE w:val="0"/>
                    <w:autoSpaceDN w:val="0"/>
                    <w:adjustRightInd w:val="0"/>
                    <w:snapToGrid w:val="0"/>
                    <w:jc w:val="center"/>
                    <w:rPr>
                      <w:color w:val="auto"/>
                      <w:kern w:val="0"/>
                      <w:szCs w:val="21"/>
                    </w:rPr>
                  </w:pPr>
                  <w:r>
                    <w:rPr>
                      <w:color w:val="auto"/>
                      <w:kern w:val="0"/>
                      <w:szCs w:val="21"/>
                    </w:rPr>
                    <w:t>2</w:t>
                  </w:r>
                </w:p>
              </w:tc>
              <w:tc>
                <w:tcPr>
                  <w:tcW w:w="3115" w:type="dxa"/>
                  <w:vAlign w:val="center"/>
                </w:tcPr>
                <w:p w14:paraId="7759D854">
                  <w:pPr>
                    <w:autoSpaceDE w:val="0"/>
                    <w:autoSpaceDN w:val="0"/>
                    <w:adjustRightInd w:val="0"/>
                    <w:snapToGrid w:val="0"/>
                    <w:jc w:val="center"/>
                    <w:rPr>
                      <w:color w:val="auto"/>
                      <w:kern w:val="0"/>
                      <w:szCs w:val="21"/>
                    </w:rPr>
                  </w:pPr>
                  <w:r>
                    <w:rPr>
                      <w:color w:val="auto"/>
                      <w:kern w:val="0"/>
                      <w:szCs w:val="21"/>
                    </w:rPr>
                    <w:t>建设再生水回用系统，不得建设不符合国家产业政策的工业项目及高污染工业项目；新建工业项目废水不得排放有毒有害物质，改扩建项目不得新增 COD、TN、TP排放量；新建、改建、扩建工业项目应采用先进的生产工艺和污染防治技术，其清洁生产水平达到国家清洁生产标准中的国内先进水平。</w:t>
                  </w:r>
                </w:p>
              </w:tc>
              <w:tc>
                <w:tcPr>
                  <w:tcW w:w="3947" w:type="dxa"/>
                  <w:vAlign w:val="center"/>
                </w:tcPr>
                <w:p w14:paraId="772BC767">
                  <w:pPr>
                    <w:autoSpaceDE w:val="0"/>
                    <w:autoSpaceDN w:val="0"/>
                    <w:adjustRightInd w:val="0"/>
                    <w:snapToGrid w:val="0"/>
                    <w:jc w:val="center"/>
                    <w:rPr>
                      <w:rFonts w:hint="eastAsia" w:ascii="Times New Roman" w:hAnsi="Times New Roman" w:eastAsia="宋体" w:cs="Times New Roman"/>
                      <w:color w:val="auto"/>
                      <w:kern w:val="0"/>
                      <w:szCs w:val="21"/>
                      <w:lang w:val="en-US" w:eastAsia="zh-CN"/>
                    </w:rPr>
                  </w:pPr>
                  <w:r>
                    <w:rPr>
                      <w:color w:val="auto"/>
                      <w:kern w:val="0"/>
                      <w:szCs w:val="21"/>
                    </w:rPr>
                    <w:t>项目不属于高污染工业项目，</w:t>
                  </w:r>
                  <w:r>
                    <w:rPr>
                      <w:rFonts w:hint="default" w:ascii="Times New Roman" w:hAnsi="Times New Roman" w:eastAsia="宋体" w:cs="Times New Roman"/>
                      <w:color w:val="auto"/>
                      <w:kern w:val="0"/>
                      <w:szCs w:val="21"/>
                      <w:lang w:val="en-US" w:eastAsia="zh-CN"/>
                    </w:rPr>
                    <w:t>项目排水采用雨污分流的排水方式，</w:t>
                  </w:r>
                  <w:r>
                    <w:rPr>
                      <w:rFonts w:hint="eastAsia" w:ascii="Times New Roman" w:hAnsi="Times New Roman" w:eastAsia="宋体" w:cs="Times New Roman"/>
                      <w:color w:val="auto"/>
                      <w:kern w:val="0"/>
                      <w:szCs w:val="21"/>
                      <w:lang w:val="en-US" w:eastAsia="zh-CN"/>
                    </w:rPr>
                    <w:t>设备冷却废水</w:t>
                  </w:r>
                  <w:r>
                    <w:rPr>
                      <w:rFonts w:hint="default" w:ascii="Times New Roman" w:hAnsi="Times New Roman" w:eastAsia="宋体" w:cs="Times New Roman"/>
                      <w:color w:val="auto"/>
                      <w:kern w:val="0"/>
                      <w:szCs w:val="21"/>
                      <w:lang w:val="en-US" w:eastAsia="zh-CN"/>
                    </w:rPr>
                    <w:t>经循环冷却池冷却后循环使用不外排；</w:t>
                  </w:r>
                  <w:r>
                    <w:rPr>
                      <w:rFonts w:hint="eastAsia" w:ascii="Times New Roman" w:hAnsi="Times New Roman" w:eastAsia="宋体" w:cs="Times New Roman"/>
                      <w:color w:val="auto"/>
                      <w:kern w:val="0"/>
                      <w:szCs w:val="21"/>
                      <w:lang w:val="en-US" w:eastAsia="zh-CN"/>
                    </w:rPr>
                    <w:t>化验后的容器清洗废水通过投加絮凝剂、加入酸碱中和剂等方式对废水进行沉淀、中和等简易处理，处理后的废水排入厂内拟建的污水处理站统一处置；吸收氨气的清水浓度大于10%时直接作为脱硝使用喷入</w:t>
                  </w:r>
                </w:p>
                <w:p w14:paraId="33B28D35">
                  <w:pPr>
                    <w:autoSpaceDE w:val="0"/>
                    <w:autoSpaceDN w:val="0"/>
                    <w:adjustRightInd w:val="0"/>
                    <w:snapToGrid w:val="0"/>
                    <w:jc w:val="center"/>
                    <w:rPr>
                      <w:color w:val="auto"/>
                      <w:kern w:val="0"/>
                      <w:szCs w:val="21"/>
                    </w:rPr>
                  </w:pPr>
                  <w:r>
                    <w:rPr>
                      <w:rFonts w:hint="eastAsia" w:ascii="Times New Roman" w:hAnsi="Times New Roman" w:eastAsia="宋体" w:cs="Times New Roman"/>
                      <w:color w:val="auto"/>
                      <w:kern w:val="0"/>
                      <w:szCs w:val="21"/>
                      <w:lang w:val="en-US" w:eastAsia="zh-CN"/>
                    </w:rPr>
                    <w:t>炉膛内，不外排；</w:t>
                  </w:r>
                  <w:r>
                    <w:rPr>
                      <w:rFonts w:hint="default" w:ascii="Times New Roman" w:hAnsi="Times New Roman" w:eastAsia="宋体" w:cs="Times New Roman"/>
                      <w:color w:val="auto"/>
                      <w:kern w:val="0"/>
                      <w:szCs w:val="21"/>
                      <w:lang w:val="en-US" w:eastAsia="zh-CN"/>
                    </w:rPr>
                    <w:t>初期雨水</w:t>
                  </w:r>
                  <w:r>
                    <w:rPr>
                      <w:rFonts w:hint="eastAsia" w:ascii="Times New Roman" w:hAnsi="Times New Roman" w:eastAsia="宋体" w:cs="Times New Roman"/>
                      <w:color w:val="auto"/>
                      <w:kern w:val="0"/>
                      <w:szCs w:val="21"/>
                      <w:lang w:val="en-US" w:eastAsia="zh-CN"/>
                    </w:rPr>
                    <w:t>经沉淀</w:t>
                  </w:r>
                  <w:r>
                    <w:rPr>
                      <w:rFonts w:hint="default" w:ascii="Times New Roman" w:hAnsi="Times New Roman" w:eastAsia="宋体" w:cs="Times New Roman"/>
                      <w:color w:val="auto"/>
                      <w:kern w:val="0"/>
                      <w:szCs w:val="21"/>
                      <w:lang w:val="en-US" w:eastAsia="zh-CN"/>
                    </w:rPr>
                    <w:t>处理后回用于</w:t>
                  </w:r>
                  <w:r>
                    <w:rPr>
                      <w:rFonts w:hint="eastAsia" w:ascii="Times New Roman" w:hAnsi="Times New Roman" w:eastAsia="宋体" w:cs="Times New Roman"/>
                      <w:color w:val="auto"/>
                      <w:kern w:val="0"/>
                      <w:szCs w:val="21"/>
                      <w:lang w:val="en-US" w:eastAsia="zh-CN"/>
                    </w:rPr>
                    <w:t>厂区洒水抑尘</w:t>
                  </w:r>
                  <w:r>
                    <w:rPr>
                      <w:rFonts w:hint="default" w:ascii="Times New Roman" w:hAnsi="Times New Roman" w:eastAsia="宋体" w:cs="Times New Roman"/>
                      <w:color w:val="auto"/>
                      <w:kern w:val="0"/>
                      <w:szCs w:val="21"/>
                      <w:lang w:val="en-US" w:eastAsia="zh-CN"/>
                    </w:rPr>
                    <w:t>，不外排</w:t>
                  </w:r>
                  <w:r>
                    <w:rPr>
                      <w:rFonts w:hint="eastAsia"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办公生活污水</w:t>
                  </w:r>
                  <w:r>
                    <w:rPr>
                      <w:rFonts w:hint="eastAsia" w:ascii="Times New Roman" w:hAnsi="Times New Roman" w:eastAsia="宋体" w:cs="Times New Roman"/>
                      <w:color w:val="auto"/>
                      <w:kern w:val="0"/>
                      <w:szCs w:val="21"/>
                      <w:lang w:val="en-US" w:eastAsia="zh-CN"/>
                    </w:rPr>
                    <w:t>排</w:t>
                  </w:r>
                  <w:r>
                    <w:rPr>
                      <w:rFonts w:hint="default" w:ascii="Times New Roman" w:hAnsi="Times New Roman" w:eastAsia="宋体" w:cs="Times New Roman"/>
                      <w:color w:val="auto"/>
                      <w:kern w:val="0"/>
                      <w:szCs w:val="21"/>
                      <w:lang w:val="en-US" w:eastAsia="zh-CN"/>
                    </w:rPr>
                    <w:t>入化粪</w:t>
                  </w:r>
                  <w:r>
                    <w:rPr>
                      <w:rFonts w:hint="eastAsia" w:ascii="Times New Roman" w:hAnsi="Times New Roman" w:eastAsia="宋体" w:cs="Times New Roman"/>
                      <w:color w:val="auto"/>
                      <w:kern w:val="0"/>
                      <w:szCs w:val="21"/>
                      <w:lang w:val="en-US" w:eastAsia="zh-CN"/>
                    </w:rPr>
                    <w:t>池处理后同化验废水一并进入</w:t>
                  </w:r>
                  <w:r>
                    <w:rPr>
                      <w:rFonts w:hint="default" w:ascii="Times New Roman" w:hAnsi="Times New Roman" w:eastAsia="宋体" w:cs="Times New Roman"/>
                      <w:color w:val="auto"/>
                      <w:kern w:val="0"/>
                      <w:szCs w:val="21"/>
                      <w:lang w:val="en-US" w:eastAsia="zh-CN"/>
                    </w:rPr>
                    <w:t>地埋式一体化污水处理站处理达《城市污水再生利用 城市杂用水水质》（GB/T18920-2020）中的城市绿化、道路清扫、消防、建筑施工标准后，用于项目区内绿化及道路场地洒水降尘，不外排。</w:t>
                  </w:r>
                  <w:r>
                    <w:rPr>
                      <w:color w:val="auto"/>
                      <w:kern w:val="0"/>
                      <w:szCs w:val="21"/>
                    </w:rPr>
                    <w:t>不会排放有毒有害物质。</w:t>
                  </w:r>
                </w:p>
              </w:tc>
              <w:tc>
                <w:tcPr>
                  <w:tcW w:w="461" w:type="dxa"/>
                  <w:vAlign w:val="center"/>
                </w:tcPr>
                <w:p w14:paraId="397479B4">
                  <w:pPr>
                    <w:autoSpaceDE w:val="0"/>
                    <w:autoSpaceDN w:val="0"/>
                    <w:adjustRightInd w:val="0"/>
                    <w:snapToGrid w:val="0"/>
                    <w:jc w:val="center"/>
                    <w:rPr>
                      <w:color w:val="auto"/>
                      <w:kern w:val="0"/>
                      <w:szCs w:val="21"/>
                    </w:rPr>
                  </w:pPr>
                  <w:r>
                    <w:rPr>
                      <w:color w:val="auto"/>
                      <w:kern w:val="0"/>
                      <w:szCs w:val="21"/>
                    </w:rPr>
                    <w:t>符合</w:t>
                  </w:r>
                </w:p>
              </w:tc>
            </w:tr>
          </w:tbl>
          <w:p w14:paraId="70CC809D">
            <w:pPr>
              <w:pStyle w:val="43"/>
              <w:rPr>
                <w:rFonts w:hint="default" w:ascii="Times New Roman" w:hAnsi="Times New Roman" w:cs="Times New Roman"/>
                <w:b/>
                <w:bCs w:val="0"/>
                <w:color w:val="auto"/>
                <w:sz w:val="24"/>
                <w:szCs w:val="24"/>
                <w:highlight w:val="none"/>
                <w:lang w:val="en-US" w:eastAsia="zh-CN"/>
              </w:rPr>
            </w:pPr>
            <w:r>
              <w:rPr>
                <w:rFonts w:hint="eastAsia" w:ascii="宋体" w:hAnsi="宋体" w:cs="宋体"/>
                <w:color w:val="auto"/>
                <w:sz w:val="24"/>
              </w:rPr>
              <w:t>由上表可知，项目不违反《牛栏江流域（寻甸段）水环境保护规划》对</w:t>
            </w:r>
            <w:r>
              <w:rPr>
                <w:color w:val="auto"/>
                <w:kern w:val="0"/>
                <w:sz w:val="24"/>
              </w:rPr>
              <w:t>重点污染控制区</w:t>
            </w:r>
            <w:r>
              <w:rPr>
                <w:rFonts w:hint="eastAsia" w:ascii="宋体" w:hAnsi="宋体" w:cs="宋体"/>
                <w:color w:val="auto"/>
                <w:sz w:val="24"/>
              </w:rPr>
              <w:t>的相关要求。项目的建设与《牛栏江流域（寻甸段）水环境保护规划》相符。</w:t>
            </w:r>
          </w:p>
          <w:p w14:paraId="40E5057F">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6</w:t>
            </w:r>
            <w:r>
              <w:rPr>
                <w:rFonts w:hint="default" w:ascii="Times New Roman" w:hAnsi="Times New Roman" w:eastAsia="宋体" w:cs="Times New Roman"/>
                <w:b/>
                <w:bCs w:val="0"/>
                <w:color w:val="auto"/>
                <w:sz w:val="24"/>
                <w:szCs w:val="24"/>
                <w:highlight w:val="none"/>
                <w:lang w:val="en-US" w:eastAsia="zh-CN"/>
              </w:rPr>
              <w:t>、《长江经济带发展负面清单指南》（试行，2022年版）的通知》的符合性分析</w:t>
            </w:r>
          </w:p>
          <w:p w14:paraId="297FEA5E">
            <w:pPr>
              <w:spacing w:line="360" w:lineRule="auto"/>
              <w:ind w:firstLine="480" w:firstLineChars="200"/>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 w:val="24"/>
                <w:highlight w:val="none"/>
              </w:rPr>
              <w:t>项目与《《长江经济带发展负面清单指南》（试行，2022年版）的通知》对比分析情况见下表1-</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w:t>
            </w:r>
          </w:p>
          <w:p w14:paraId="7F0C83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14:paraId="23210B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14:paraId="6D44F3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14:paraId="11741F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14:paraId="40EDC0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14:paraId="088AC1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表1-</w:t>
            </w:r>
            <w:r>
              <w:rPr>
                <w:rFonts w:hint="eastAsia" w:cs="Times New Roman"/>
                <w:b/>
                <w:color w:val="auto"/>
                <w:szCs w:val="21"/>
                <w:highlight w:val="none"/>
                <w:lang w:val="en-US" w:eastAsia="zh-CN"/>
              </w:rPr>
              <w:t>8</w:t>
            </w:r>
            <w:r>
              <w:rPr>
                <w:rFonts w:hint="default" w:ascii="Times New Roman" w:hAnsi="Times New Roman" w:eastAsia="宋体" w:cs="Times New Roman"/>
                <w:b/>
                <w:color w:val="auto"/>
                <w:szCs w:val="21"/>
                <w:highlight w:val="none"/>
              </w:rPr>
              <w:t xml:space="preserve">  与《长江经济带发展负面清单指南》（试行，2022年版）的通知》相符性分析</w:t>
            </w:r>
          </w:p>
          <w:tbl>
            <w:tblPr>
              <w:tblStyle w:val="27"/>
              <w:tblW w:w="78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6"/>
              <w:gridCol w:w="2642"/>
              <w:gridCol w:w="888"/>
            </w:tblGrid>
            <w:tr w14:paraId="4B57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346" w:type="dxa"/>
                  <w:noWrap w:val="0"/>
                  <w:vAlign w:val="center"/>
                </w:tcPr>
                <w:p w14:paraId="72961FAD">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《指南》要求</w:t>
                  </w:r>
                </w:p>
              </w:tc>
              <w:tc>
                <w:tcPr>
                  <w:tcW w:w="2642" w:type="dxa"/>
                  <w:noWrap w:val="0"/>
                  <w:vAlign w:val="center"/>
                </w:tcPr>
                <w:p w14:paraId="0FB2B7E7">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w:t>
                  </w:r>
                </w:p>
              </w:tc>
              <w:tc>
                <w:tcPr>
                  <w:tcW w:w="888" w:type="dxa"/>
                  <w:noWrap w:val="0"/>
                  <w:vAlign w:val="center"/>
                </w:tcPr>
                <w:p w14:paraId="5965910C">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14:paraId="6021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4346" w:type="dxa"/>
                  <w:noWrap w:val="0"/>
                  <w:vAlign w:val="center"/>
                </w:tcPr>
                <w:p w14:paraId="2F34314F">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r>
                    <w:rPr>
                      <w:rFonts w:hint="default" w:ascii="Times New Roman" w:hAnsi="Times New Roman" w:eastAsia="宋体" w:cs="Times New Roman"/>
                      <w:color w:val="auto"/>
                      <w:sz w:val="21"/>
                      <w:szCs w:val="21"/>
                      <w:highlight w:val="none"/>
                      <w:lang w:val="zh-CN"/>
                    </w:rPr>
                    <w:t>禁止建设不符合全国和省级港口布局规划以及港口</w:t>
                  </w:r>
                  <w:r>
                    <w:rPr>
                      <w:rFonts w:hint="eastAsia" w:cs="Times New Roman"/>
                      <w:color w:val="auto"/>
                      <w:sz w:val="21"/>
                      <w:szCs w:val="21"/>
                      <w:highlight w:val="none"/>
                      <w:lang w:val="zh-CN"/>
                    </w:rPr>
                    <w:t>总体规划</w:t>
                  </w:r>
                  <w:r>
                    <w:rPr>
                      <w:rFonts w:hint="default" w:ascii="Times New Roman" w:hAnsi="Times New Roman" w:eastAsia="宋体" w:cs="Times New Roman"/>
                      <w:color w:val="auto"/>
                      <w:sz w:val="21"/>
                      <w:szCs w:val="21"/>
                      <w:highlight w:val="none"/>
                      <w:lang w:val="zh-CN"/>
                    </w:rPr>
                    <w:t>的码头项目，禁止建设不符合《长江</w:t>
                  </w:r>
                  <w:r>
                    <w:rPr>
                      <w:rFonts w:hint="eastAsia" w:cs="Times New Roman"/>
                      <w:color w:val="auto"/>
                      <w:sz w:val="21"/>
                      <w:szCs w:val="21"/>
                      <w:highlight w:val="none"/>
                      <w:lang w:val="zh-CN"/>
                    </w:rPr>
                    <w:t>干线</w:t>
                  </w:r>
                  <w:r>
                    <w:rPr>
                      <w:rFonts w:hint="default" w:ascii="Times New Roman" w:hAnsi="Times New Roman" w:eastAsia="宋体" w:cs="Times New Roman"/>
                      <w:color w:val="auto"/>
                      <w:sz w:val="21"/>
                      <w:szCs w:val="21"/>
                      <w:highlight w:val="none"/>
                      <w:lang w:val="zh-CN"/>
                    </w:rPr>
                    <w:t>过江通道布局规划》的过长江通道项目。</w:t>
                  </w:r>
                </w:p>
              </w:tc>
              <w:tc>
                <w:tcPr>
                  <w:tcW w:w="2642" w:type="dxa"/>
                  <w:noWrap w:val="0"/>
                  <w:vAlign w:val="center"/>
                </w:tcPr>
                <w:p w14:paraId="7F2550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云南寻甸产业园区金所片区金所组团内</w:t>
                  </w:r>
                  <w:r>
                    <w:rPr>
                      <w:rFonts w:hint="default" w:ascii="Times New Roman" w:hAnsi="Times New Roman" w:eastAsia="宋体" w:cs="Times New Roman"/>
                      <w:color w:val="auto"/>
                      <w:sz w:val="21"/>
                      <w:szCs w:val="21"/>
                      <w:highlight w:val="none"/>
                    </w:rPr>
                    <w:t>，不属于码头或过长江通道项目。</w:t>
                  </w:r>
                </w:p>
              </w:tc>
              <w:tc>
                <w:tcPr>
                  <w:tcW w:w="888" w:type="dxa"/>
                  <w:noWrap w:val="0"/>
                  <w:vAlign w:val="center"/>
                </w:tcPr>
                <w:p w14:paraId="40C05DF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3308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4346" w:type="dxa"/>
                  <w:noWrap w:val="0"/>
                  <w:vAlign w:val="center"/>
                </w:tcPr>
                <w:p w14:paraId="250CF5B3">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w:t>
                  </w:r>
                  <w:r>
                    <w:rPr>
                      <w:rFonts w:hint="default" w:ascii="Times New Roman" w:hAnsi="Times New Roman" w:eastAsia="宋体" w:cs="Times New Roman"/>
                      <w:color w:val="auto"/>
                      <w:szCs w:val="21"/>
                      <w:highlight w:val="none"/>
                      <w:lang w:val="zh-CN"/>
                    </w:rPr>
                    <w:t>禁止在自然保护区核心区、缓冲区的岸线和河段范围内投资建设旅游和生产经营项目。禁止在风景名胜区核心景区的岸线和河段范围内投资建设与风景名胜资源保护无关的项目。</w:t>
                  </w:r>
                </w:p>
              </w:tc>
              <w:tc>
                <w:tcPr>
                  <w:tcW w:w="2642" w:type="dxa"/>
                  <w:noWrap w:val="0"/>
                  <w:vAlign w:val="center"/>
                </w:tcPr>
                <w:p w14:paraId="7F50520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云南寻甸产业园区金所片区金所组团内</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highlight w:val="none"/>
                    </w:rPr>
                    <w:t>项目选址区域不涉及自然保护区、风景名胜区等，不涉及条款禁止行为</w:t>
                  </w:r>
                  <w:r>
                    <w:rPr>
                      <w:rFonts w:hint="default" w:ascii="Times New Roman" w:hAnsi="Times New Roman" w:eastAsia="宋体" w:cs="Times New Roman"/>
                      <w:color w:val="auto"/>
                      <w:szCs w:val="21"/>
                      <w:highlight w:val="none"/>
                    </w:rPr>
                    <w:t>。</w:t>
                  </w:r>
                </w:p>
              </w:tc>
              <w:tc>
                <w:tcPr>
                  <w:tcW w:w="888" w:type="dxa"/>
                  <w:noWrap w:val="0"/>
                  <w:vAlign w:val="center"/>
                </w:tcPr>
                <w:p w14:paraId="3A0FAE0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2A70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346" w:type="dxa"/>
                  <w:noWrap w:val="0"/>
                  <w:vAlign w:val="center"/>
                </w:tcPr>
                <w:p w14:paraId="76861D9A">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w:t>
                  </w:r>
                  <w:r>
                    <w:rPr>
                      <w:rFonts w:hint="default" w:ascii="Times New Roman" w:hAnsi="Times New Roman" w:eastAsia="宋体" w:cs="Times New Roman"/>
                      <w:color w:val="auto"/>
                      <w:szCs w:val="21"/>
                      <w:highlight w:val="none"/>
                      <w:lang w:val="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642" w:type="dxa"/>
                  <w:noWrap w:val="0"/>
                  <w:vAlign w:val="center"/>
                </w:tcPr>
                <w:p w14:paraId="531B491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云南寻甸产业园区金所片区金所组团内</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highlight w:val="none"/>
                    </w:rPr>
                    <w:t>项目选址区域不涉及</w:t>
                  </w:r>
                  <w:r>
                    <w:rPr>
                      <w:rFonts w:hint="default" w:ascii="Times New Roman" w:hAnsi="Times New Roman" w:eastAsia="宋体" w:cs="Times New Roman"/>
                      <w:color w:val="auto"/>
                      <w:szCs w:val="21"/>
                      <w:highlight w:val="none"/>
                      <w:lang w:val="zh-CN"/>
                    </w:rPr>
                    <w:t>饮用水水源一、二级保护区，</w:t>
                  </w:r>
                  <w:r>
                    <w:rPr>
                      <w:rFonts w:hint="default" w:ascii="Times New Roman" w:hAnsi="Times New Roman" w:eastAsia="宋体" w:cs="Times New Roman"/>
                      <w:color w:val="auto"/>
                      <w:highlight w:val="none"/>
                    </w:rPr>
                    <w:t>不涉及条款禁止行为</w:t>
                  </w:r>
                  <w:r>
                    <w:rPr>
                      <w:rFonts w:hint="default" w:ascii="Times New Roman" w:hAnsi="Times New Roman" w:eastAsia="宋体" w:cs="Times New Roman"/>
                      <w:color w:val="auto"/>
                      <w:szCs w:val="21"/>
                      <w:highlight w:val="none"/>
                    </w:rPr>
                    <w:t>。</w:t>
                  </w:r>
                </w:p>
              </w:tc>
              <w:tc>
                <w:tcPr>
                  <w:tcW w:w="888" w:type="dxa"/>
                  <w:noWrap w:val="0"/>
                  <w:vAlign w:val="center"/>
                </w:tcPr>
                <w:p w14:paraId="0409EE3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60B9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4346" w:type="dxa"/>
                  <w:noWrap w:val="0"/>
                  <w:vAlign w:val="center"/>
                </w:tcPr>
                <w:p w14:paraId="68FA4F6A">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（四）</w:t>
                  </w:r>
                  <w:r>
                    <w:rPr>
                      <w:rFonts w:hint="default" w:ascii="Times New Roman" w:hAnsi="Times New Roman" w:eastAsia="宋体" w:cs="Times New Roman"/>
                      <w:color w:val="auto"/>
                      <w:highlight w:val="none"/>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642" w:type="dxa"/>
                  <w:noWrap w:val="0"/>
                  <w:vAlign w:val="center"/>
                </w:tcPr>
                <w:p w14:paraId="50A31FC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项目不属于在水产种质资源保护区的岸线和河段范围内新建围湖造田、围海造地或围填海等投资建设项目，项目符合主体功能定位的投资建设项目。</w:t>
                  </w:r>
                </w:p>
              </w:tc>
              <w:tc>
                <w:tcPr>
                  <w:tcW w:w="888" w:type="dxa"/>
                  <w:noWrap w:val="0"/>
                  <w:vAlign w:val="center"/>
                </w:tcPr>
                <w:p w14:paraId="3CA2372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6813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4346" w:type="dxa"/>
                  <w:noWrap w:val="0"/>
                  <w:vAlign w:val="center"/>
                </w:tcPr>
                <w:p w14:paraId="7582199F">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w:t>
                  </w:r>
                  <w:r>
                    <w:rPr>
                      <w:rFonts w:hint="default" w:ascii="Times New Roman" w:hAnsi="Times New Roman" w:eastAsia="宋体" w:cs="Times New Roman"/>
                      <w:color w:val="auto"/>
                      <w:szCs w:val="21"/>
                      <w:highlight w:val="none"/>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642" w:type="dxa"/>
                  <w:noWrap w:val="0"/>
                  <w:vAlign w:val="center"/>
                </w:tcPr>
                <w:p w14:paraId="31D603F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项目在工业园区内，不属于</w:t>
                  </w:r>
                  <w:r>
                    <w:rPr>
                      <w:rFonts w:hint="default" w:ascii="Times New Roman" w:hAnsi="Times New Roman" w:eastAsia="宋体" w:cs="Times New Roman"/>
                      <w:color w:val="auto"/>
                      <w:szCs w:val="21"/>
                      <w:highlight w:val="none"/>
                      <w:lang w:val="zh-CN"/>
                    </w:rPr>
                    <w:t>违法利用、占用长江流域河湖岸线和投资建设不利于水资源及自然生态保护的项目</w:t>
                  </w:r>
                  <w:r>
                    <w:rPr>
                      <w:rFonts w:hint="default" w:ascii="Times New Roman" w:hAnsi="Times New Roman" w:eastAsia="宋体" w:cs="Times New Roman"/>
                      <w:color w:val="auto"/>
                      <w:szCs w:val="21"/>
                      <w:highlight w:val="none"/>
                    </w:rPr>
                    <w:t>。</w:t>
                  </w:r>
                </w:p>
              </w:tc>
              <w:tc>
                <w:tcPr>
                  <w:tcW w:w="888" w:type="dxa"/>
                  <w:noWrap w:val="0"/>
                  <w:vAlign w:val="center"/>
                </w:tcPr>
                <w:p w14:paraId="571918E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7346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6" w:type="dxa"/>
                  <w:noWrap w:val="0"/>
                  <w:vAlign w:val="center"/>
                </w:tcPr>
                <w:p w14:paraId="6B7F4D3A">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（六）</w:t>
                  </w:r>
                  <w:r>
                    <w:rPr>
                      <w:rFonts w:hint="default" w:ascii="Times New Roman" w:hAnsi="Times New Roman" w:eastAsia="宋体" w:cs="Times New Roman"/>
                      <w:color w:val="auto"/>
                      <w:szCs w:val="21"/>
                      <w:highlight w:val="none"/>
                      <w:lang w:val="zh-CN"/>
                    </w:rPr>
                    <w:t>禁止未经许可在长江干支流及湖泊新设、改设或扩大排污口。</w:t>
                  </w:r>
                </w:p>
              </w:tc>
              <w:tc>
                <w:tcPr>
                  <w:tcW w:w="2642" w:type="dxa"/>
                  <w:noWrap w:val="0"/>
                  <w:vAlign w:val="center"/>
                </w:tcPr>
                <w:p w14:paraId="68CDFC9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项目废水不外排。</w:t>
                  </w:r>
                </w:p>
              </w:tc>
              <w:tc>
                <w:tcPr>
                  <w:tcW w:w="888" w:type="dxa"/>
                  <w:noWrap w:val="0"/>
                  <w:vAlign w:val="center"/>
                </w:tcPr>
                <w:p w14:paraId="5410328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1CFD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6" w:type="dxa"/>
                  <w:noWrap w:val="0"/>
                  <w:vAlign w:val="center"/>
                </w:tcPr>
                <w:p w14:paraId="724C81FB">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（七）</w:t>
                  </w:r>
                  <w:r>
                    <w:rPr>
                      <w:rFonts w:hint="default" w:ascii="Times New Roman" w:hAnsi="Times New Roman" w:eastAsia="宋体" w:cs="Times New Roman"/>
                      <w:color w:val="auto"/>
                      <w:szCs w:val="21"/>
                      <w:highlight w:val="none"/>
                      <w:lang w:val="zh-CN"/>
                    </w:rPr>
                    <w:t>禁止在“一江一口两湖七河”和332个水生生物保护区开展生产性捕捞。</w:t>
                  </w:r>
                </w:p>
              </w:tc>
              <w:tc>
                <w:tcPr>
                  <w:tcW w:w="2642" w:type="dxa"/>
                  <w:noWrap w:val="0"/>
                  <w:vAlign w:val="center"/>
                </w:tcPr>
                <w:p w14:paraId="24FA958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项目不涉及捕捞。</w:t>
                  </w:r>
                </w:p>
              </w:tc>
              <w:tc>
                <w:tcPr>
                  <w:tcW w:w="888" w:type="dxa"/>
                  <w:noWrap w:val="0"/>
                  <w:vAlign w:val="center"/>
                </w:tcPr>
                <w:p w14:paraId="7FDE17A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387D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4346" w:type="dxa"/>
                  <w:noWrap w:val="0"/>
                  <w:vAlign w:val="center"/>
                </w:tcPr>
                <w:p w14:paraId="33A039D7">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（八）</w:t>
                  </w:r>
                  <w:r>
                    <w:rPr>
                      <w:rFonts w:hint="default" w:ascii="Times New Roman" w:hAnsi="Times New Roman" w:eastAsia="宋体" w:cs="Times New Roman"/>
                      <w:color w:val="auto"/>
                      <w:szCs w:val="21"/>
                      <w:highlight w:val="none"/>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642" w:type="dxa"/>
                  <w:noWrap w:val="0"/>
                  <w:vAlign w:val="center"/>
                </w:tcPr>
                <w:p w14:paraId="0E71016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highlight w:val="none"/>
                    </w:rPr>
                    <w:t>位于</w:t>
                  </w:r>
                  <w:r>
                    <w:rPr>
                      <w:rFonts w:hint="default" w:ascii="Times New Roman" w:hAnsi="Times New Roman" w:eastAsia="宋体" w:cs="Times New Roman"/>
                      <w:color w:val="auto"/>
                      <w:kern w:val="0"/>
                      <w:sz w:val="21"/>
                      <w:szCs w:val="21"/>
                      <w:highlight w:val="none"/>
                      <w:lang w:val="en-US" w:eastAsia="zh-CN" w:bidi="ar-SA"/>
                    </w:rPr>
                    <w:t>云南寻甸产业园区金所片区金所组团内</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highlight w:val="none"/>
                    </w:rPr>
                    <w:t>位于合规园区内，项目不属于</w:t>
                  </w:r>
                  <w:r>
                    <w:rPr>
                      <w:rFonts w:hint="default" w:ascii="Times New Roman" w:hAnsi="Times New Roman" w:eastAsia="宋体" w:cs="Times New Roman"/>
                      <w:color w:val="auto"/>
                      <w:szCs w:val="21"/>
                      <w:highlight w:val="none"/>
                      <w:lang w:val="zh-CN"/>
                    </w:rPr>
                    <w:t>尾矿库、冶炼渣库和磷石膏库的项目</w:t>
                  </w:r>
                  <w:r>
                    <w:rPr>
                      <w:rFonts w:hint="default" w:ascii="Times New Roman" w:hAnsi="Times New Roman" w:eastAsia="宋体" w:cs="Times New Roman"/>
                      <w:color w:val="auto"/>
                      <w:highlight w:val="none"/>
                    </w:rPr>
                    <w:t>。</w:t>
                  </w:r>
                </w:p>
              </w:tc>
              <w:tc>
                <w:tcPr>
                  <w:tcW w:w="888" w:type="dxa"/>
                  <w:noWrap w:val="0"/>
                  <w:vAlign w:val="center"/>
                </w:tcPr>
                <w:p w14:paraId="5AEF255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1549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4346" w:type="dxa"/>
                  <w:noWrap w:val="0"/>
                  <w:vAlign w:val="center"/>
                </w:tcPr>
                <w:p w14:paraId="1EED161E">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（九）</w:t>
                  </w:r>
                  <w:r>
                    <w:rPr>
                      <w:rFonts w:hint="default" w:ascii="Times New Roman" w:hAnsi="Times New Roman" w:eastAsia="宋体" w:cs="Times New Roman"/>
                      <w:color w:val="auto"/>
                      <w:szCs w:val="21"/>
                      <w:highlight w:val="none"/>
                      <w:lang w:val="zh-CN"/>
                    </w:rPr>
                    <w:t>禁止在合规园区外新建、扩建钢铁、石化、化工、焦化、建材、有色、制浆造纸等高污染项目。</w:t>
                  </w:r>
                </w:p>
              </w:tc>
              <w:tc>
                <w:tcPr>
                  <w:tcW w:w="2642" w:type="dxa"/>
                  <w:noWrap w:val="0"/>
                  <w:vAlign w:val="center"/>
                </w:tcPr>
                <w:p w14:paraId="4CC3F12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szCs w:val="21"/>
                      <w:highlight w:val="none"/>
                      <w:lang w:val="zh-CN"/>
                    </w:rPr>
                    <w:t>合规园区内</w:t>
                  </w:r>
                  <w:r>
                    <w:rPr>
                      <w:rFonts w:hint="default" w:ascii="Times New Roman" w:hAnsi="Times New Roman" w:eastAsia="宋体" w:cs="Times New Roman"/>
                      <w:color w:val="auto"/>
                      <w:szCs w:val="21"/>
                      <w:highlight w:val="none"/>
                    </w:rPr>
                    <w:t>。</w:t>
                  </w:r>
                </w:p>
              </w:tc>
              <w:tc>
                <w:tcPr>
                  <w:tcW w:w="888" w:type="dxa"/>
                  <w:noWrap w:val="0"/>
                  <w:vAlign w:val="center"/>
                </w:tcPr>
                <w:p w14:paraId="2DCB8C7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6AC7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4346" w:type="dxa"/>
                  <w:noWrap w:val="0"/>
                  <w:vAlign w:val="center"/>
                </w:tcPr>
                <w:p w14:paraId="64D6BAC5">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w:t>
                  </w:r>
                  <w:r>
                    <w:rPr>
                      <w:rFonts w:hint="default" w:ascii="Times New Roman" w:hAnsi="Times New Roman" w:eastAsia="宋体" w:cs="Times New Roman"/>
                      <w:color w:val="auto"/>
                      <w:szCs w:val="21"/>
                      <w:highlight w:val="none"/>
                      <w:lang w:val="zh-CN"/>
                    </w:rPr>
                    <w:t>禁止新建、扩建法律法规和相关政策明令禁止的落后产能项目。禁止新建、扩建不符合国家产能置换要求的严重过剩产能行业的项目。禁止新建、扩建不符合要求的高耗能高排放项目。</w:t>
                  </w:r>
                </w:p>
              </w:tc>
              <w:tc>
                <w:tcPr>
                  <w:tcW w:w="2642" w:type="dxa"/>
                  <w:noWrap w:val="0"/>
                  <w:vAlign w:val="center"/>
                </w:tcPr>
                <w:p w14:paraId="77C9F7A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项目不属于</w:t>
                  </w:r>
                  <w:r>
                    <w:rPr>
                      <w:rFonts w:hint="default" w:ascii="Times New Roman" w:hAnsi="Times New Roman" w:eastAsia="宋体" w:cs="Times New Roman"/>
                      <w:color w:val="auto"/>
                      <w:szCs w:val="21"/>
                      <w:highlight w:val="none"/>
                      <w:lang w:val="zh-CN"/>
                    </w:rPr>
                    <w:t>新建、扩建法律法规和相关政策明令禁止的落后产能项目，不属于禁止新建、扩建不符合国家产能置换要求的严重过剩产能行业的项目，不属于禁止新建、扩建不符合要求的高耗能高排放项目</w:t>
                  </w:r>
                  <w:r>
                    <w:rPr>
                      <w:rFonts w:hint="default" w:ascii="Times New Roman" w:hAnsi="Times New Roman" w:eastAsia="宋体" w:cs="Times New Roman"/>
                      <w:color w:val="auto"/>
                      <w:szCs w:val="21"/>
                      <w:highlight w:val="none"/>
                    </w:rPr>
                    <w:t>。</w:t>
                  </w:r>
                </w:p>
              </w:tc>
              <w:tc>
                <w:tcPr>
                  <w:tcW w:w="888" w:type="dxa"/>
                  <w:noWrap w:val="0"/>
                  <w:vAlign w:val="center"/>
                </w:tcPr>
                <w:p w14:paraId="2FEB202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bl>
          <w:p w14:paraId="282BB33F">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Chars="0" w:right="0" w:rightChars="0" w:firstLine="482" w:firstLineChars="200"/>
              <w:jc w:val="both"/>
              <w:textAlignment w:val="auto"/>
              <w:outlineLvl w:val="2"/>
              <w:rPr>
                <w:rFonts w:hint="default" w:ascii="Times New Roman" w:hAnsi="Times New Roman" w:eastAsia="宋体" w:cs="Times New Roman"/>
                <w:b/>
                <w:bCs/>
                <w:color w:val="auto"/>
                <w:kern w:val="0"/>
                <w:sz w:val="24"/>
                <w:szCs w:val="24"/>
                <w:highlight w:val="none"/>
                <w:lang w:val="en-US" w:eastAsia="zh-CN"/>
              </w:rPr>
            </w:pPr>
            <w:bookmarkStart w:id="11" w:name="_Toc15006"/>
            <w:r>
              <w:rPr>
                <w:rFonts w:hint="eastAsia" w:cs="Times New Roman"/>
                <w:b/>
                <w:bCs/>
                <w:color w:val="auto"/>
                <w:kern w:val="0"/>
                <w:sz w:val="24"/>
                <w:szCs w:val="24"/>
                <w:highlight w:val="none"/>
                <w:lang w:val="en-US" w:eastAsia="zh-CN"/>
              </w:rPr>
              <w:t>7</w:t>
            </w:r>
            <w:r>
              <w:rPr>
                <w:rFonts w:hint="default" w:ascii="Times New Roman" w:hAnsi="Times New Roman" w:eastAsia="宋体" w:cs="Times New Roman"/>
                <w:b/>
                <w:bCs/>
                <w:color w:val="auto"/>
                <w:kern w:val="0"/>
                <w:sz w:val="24"/>
                <w:szCs w:val="24"/>
                <w:highlight w:val="none"/>
                <w:lang w:val="en-US" w:eastAsia="zh-CN"/>
              </w:rPr>
              <w:t>、与《云南省长江经济带发展负面清单指南实施细则（试行，2022年版）》的符合性分析</w:t>
            </w:r>
            <w:bookmarkEnd w:id="11"/>
          </w:p>
          <w:p w14:paraId="1633B714">
            <w:pPr>
              <w:keepNext w:val="0"/>
              <w:keepLines w:val="0"/>
              <w:pageBreakBefore w:val="0"/>
              <w:kinsoku/>
              <w:wordWrap/>
              <w:overflowPunct/>
              <w:topLinePunct w:val="0"/>
              <w:bidi w:val="0"/>
              <w:snapToGrid w:val="0"/>
              <w:spacing w:beforeAutospacing="0" w:afterAutospacing="0" w:line="24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《云南省长江经济带发展负面清单指南实施细则（试行</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2022年版</w:t>
            </w:r>
            <w:r>
              <w:rPr>
                <w:rFonts w:hint="default" w:ascii="Times New Roman" w:hAnsi="Times New Roman" w:eastAsia="宋体" w:cs="Times New Roman"/>
                <w:b/>
                <w:bCs/>
                <w:color w:val="auto"/>
                <w:sz w:val="21"/>
                <w:szCs w:val="21"/>
                <w:highlight w:val="none"/>
              </w:rPr>
              <w:t>）》符合性分析</w:t>
            </w:r>
          </w:p>
          <w:tbl>
            <w:tblPr>
              <w:tblStyle w:val="27"/>
              <w:tblW w:w="78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66"/>
              <w:gridCol w:w="2275"/>
              <w:gridCol w:w="635"/>
            </w:tblGrid>
            <w:tr w14:paraId="2C9C8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14:paraId="58927F1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shd w:val="clear" w:color="auto" w:fill="FFFFFF"/>
                    </w:rPr>
                    <w:t>规范要求</w:t>
                  </w:r>
                </w:p>
              </w:tc>
              <w:tc>
                <w:tcPr>
                  <w:tcW w:w="2275" w:type="dxa"/>
                  <w:noWrap w:val="0"/>
                  <w:vAlign w:val="center"/>
                </w:tcPr>
                <w:p w14:paraId="496601C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rPr>
                    <w:t>项目实际情况</w:t>
                  </w:r>
                </w:p>
              </w:tc>
              <w:tc>
                <w:tcPr>
                  <w:tcW w:w="635" w:type="dxa"/>
                  <w:noWrap w:val="0"/>
                  <w:vAlign w:val="center"/>
                </w:tcPr>
                <w:p w14:paraId="67B3280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highlight w:val="none"/>
                    </w:rPr>
                    <w:t>相符性</w:t>
                  </w:r>
                </w:p>
              </w:tc>
            </w:tr>
            <w:tr w14:paraId="41A52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14:paraId="348DF1B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禁止新建、改建和扩建不符合《全国内河航道与港</w:t>
                  </w:r>
                </w:p>
                <w:p w14:paraId="000A9D3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口布局规划》等全国港口规划和《昭通市港口码头岸线规划（金沙江段 2019 年—2035年）》、《景洪港总体规划（2019—2035年）》等州（市）级以上港口布局规划以及港口总体规划的码头项目。</w:t>
                  </w:r>
                </w:p>
              </w:tc>
              <w:tc>
                <w:tcPr>
                  <w:tcW w:w="2275" w:type="dxa"/>
                  <w:noWrap w:val="0"/>
                  <w:vAlign w:val="center"/>
                </w:tcPr>
                <w:p w14:paraId="7DD9A90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eastAsia="zh-CN"/>
                    </w:rPr>
                    <w:t>不属于港口布局规划以及港口总体规划的码头项目。</w:t>
                  </w:r>
                </w:p>
              </w:tc>
              <w:tc>
                <w:tcPr>
                  <w:tcW w:w="635" w:type="dxa"/>
                  <w:noWrap w:val="0"/>
                  <w:vAlign w:val="center"/>
                </w:tcPr>
                <w:p w14:paraId="1DED84F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14:paraId="31B27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14:paraId="7EB0DFD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禁止在自然保护区核心区、缓冲区的岸线和河段范</w:t>
                  </w:r>
                </w:p>
                <w:p w14:paraId="02E57DC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2275" w:type="dxa"/>
                  <w:noWrap w:val="0"/>
                  <w:vAlign w:val="center"/>
                </w:tcPr>
                <w:p w14:paraId="68D0C65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本项目不</w:t>
                  </w:r>
                  <w:r>
                    <w:rPr>
                      <w:rFonts w:hint="default" w:ascii="Times New Roman" w:hAnsi="Times New Roman" w:eastAsia="宋体" w:cs="Times New Roman"/>
                      <w:color w:val="auto"/>
                      <w:sz w:val="21"/>
                      <w:szCs w:val="21"/>
                      <w:highlight w:val="none"/>
                      <w:lang w:eastAsia="zh-CN"/>
                    </w:rPr>
                    <w:t>涉及</w:t>
                  </w:r>
                  <w:r>
                    <w:rPr>
                      <w:rFonts w:hint="default" w:ascii="Times New Roman" w:hAnsi="Times New Roman" w:eastAsia="宋体" w:cs="Times New Roman"/>
                      <w:color w:val="auto"/>
                      <w:sz w:val="21"/>
                      <w:szCs w:val="21"/>
                      <w:highlight w:val="none"/>
                      <w:shd w:val="clear" w:color="auto" w:fill="FFFFFF"/>
                    </w:rPr>
                    <w:t>《长江岸线保护和开发利用总体规划》划定的岸线保护区、《全国重要江河湖泊水功能区划》划定的河段保护区、保留区</w:t>
                  </w:r>
                  <w:r>
                    <w:rPr>
                      <w:rFonts w:hint="default" w:ascii="Times New Roman" w:hAnsi="Times New Roman" w:eastAsia="宋体" w:cs="Times New Roman"/>
                      <w:color w:val="auto"/>
                      <w:sz w:val="21"/>
                      <w:szCs w:val="21"/>
                      <w:highlight w:val="none"/>
                      <w:shd w:val="clear" w:color="auto" w:fill="FFFFFF"/>
                      <w:lang w:eastAsia="zh-CN"/>
                    </w:rPr>
                    <w:t>。本项目不属于旅游项目，不</w:t>
                  </w:r>
                  <w:r>
                    <w:rPr>
                      <w:rFonts w:hint="default" w:ascii="Times New Roman" w:hAnsi="Times New Roman" w:eastAsia="宋体" w:cs="Times New Roman"/>
                      <w:color w:val="auto"/>
                      <w:sz w:val="21"/>
                      <w:szCs w:val="21"/>
                      <w:highlight w:val="none"/>
                      <w:shd w:val="clear" w:color="auto" w:fill="FFFFFF"/>
                    </w:rPr>
                    <w:t>进行开矿、采石、挖沙等活动</w:t>
                  </w:r>
                  <w:r>
                    <w:rPr>
                      <w:rFonts w:hint="default" w:ascii="Times New Roman" w:hAnsi="Times New Roman" w:eastAsia="宋体" w:cs="Times New Roman"/>
                      <w:color w:val="auto"/>
                      <w:sz w:val="21"/>
                      <w:szCs w:val="21"/>
                      <w:highlight w:val="none"/>
                      <w:shd w:val="clear" w:color="auto" w:fill="FFFFFF"/>
                      <w:lang w:eastAsia="zh-CN"/>
                    </w:rPr>
                    <w:t>；本项目不属于自然保护区的核心区、缓冲区和试验区内。</w:t>
                  </w:r>
                </w:p>
              </w:tc>
              <w:tc>
                <w:tcPr>
                  <w:tcW w:w="635" w:type="dxa"/>
                  <w:noWrap w:val="0"/>
                  <w:vAlign w:val="center"/>
                </w:tcPr>
                <w:p w14:paraId="210AA7D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14:paraId="560E0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14:paraId="2941F7B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禁止在风景名胜区核心景区的岸线和河段范围内</w:t>
                  </w:r>
                </w:p>
                <w:p w14:paraId="59E73F9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275" w:type="dxa"/>
                  <w:noWrap w:val="0"/>
                  <w:vAlign w:val="center"/>
                </w:tcPr>
                <w:p w14:paraId="6303515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用地不涉及</w:t>
                  </w:r>
                  <w:r>
                    <w:rPr>
                      <w:rFonts w:hint="default" w:ascii="Times New Roman" w:hAnsi="Times New Roman" w:eastAsia="宋体" w:cs="Times New Roman"/>
                      <w:color w:val="auto"/>
                      <w:sz w:val="21"/>
                      <w:szCs w:val="21"/>
                      <w:highlight w:val="none"/>
                      <w:lang w:eastAsia="zh-CN"/>
                    </w:rPr>
                    <w:t>风景名胜区。</w:t>
                  </w:r>
                </w:p>
              </w:tc>
              <w:tc>
                <w:tcPr>
                  <w:tcW w:w="635" w:type="dxa"/>
                  <w:noWrap w:val="0"/>
                  <w:vAlign w:val="center"/>
                </w:tcPr>
                <w:p w14:paraId="2BDC503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14:paraId="11084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14:paraId="42CFA7A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禁止在饮用水水源一级保护区的岸线和河段范围</w:t>
                  </w:r>
                </w:p>
                <w:p w14:paraId="4097278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275" w:type="dxa"/>
                  <w:noWrap w:val="0"/>
                  <w:vAlign w:val="center"/>
                </w:tcPr>
                <w:p w14:paraId="4C16D3C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本项目不</w:t>
                  </w:r>
                  <w:r>
                    <w:rPr>
                      <w:rFonts w:hint="default" w:ascii="Times New Roman" w:hAnsi="Times New Roman" w:eastAsia="宋体" w:cs="Times New Roman"/>
                      <w:color w:val="auto"/>
                      <w:sz w:val="21"/>
                      <w:szCs w:val="21"/>
                      <w:highlight w:val="none"/>
                      <w:lang w:eastAsia="zh-CN"/>
                    </w:rPr>
                    <w:t>涉及饮用水水源一级保护区</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 w:val="21"/>
                      <w:szCs w:val="21"/>
                      <w:highlight w:val="none"/>
                      <w:shd w:val="clear" w:color="auto" w:fill="FFFFFF"/>
                    </w:rPr>
                    <w:t>饮用水水源二级保护区</w:t>
                  </w:r>
                  <w:r>
                    <w:rPr>
                      <w:rFonts w:hint="default" w:ascii="Times New Roman" w:hAnsi="Times New Roman" w:eastAsia="宋体" w:cs="Times New Roman"/>
                      <w:color w:val="auto"/>
                      <w:sz w:val="21"/>
                      <w:szCs w:val="21"/>
                      <w:highlight w:val="none"/>
                      <w:lang w:eastAsia="zh-CN"/>
                    </w:rPr>
                    <w:t>。</w:t>
                  </w:r>
                </w:p>
              </w:tc>
              <w:tc>
                <w:tcPr>
                  <w:tcW w:w="635" w:type="dxa"/>
                  <w:noWrap w:val="0"/>
                  <w:vAlign w:val="center"/>
                </w:tcPr>
                <w:p w14:paraId="4E0CCF7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14:paraId="1EDD2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14:paraId="4CB262E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禁止在水产种质资源保护区的岸线和河段范围内</w:t>
                  </w:r>
                </w:p>
                <w:p w14:paraId="3FBEB66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275" w:type="dxa"/>
                  <w:noWrap w:val="0"/>
                  <w:vAlign w:val="center"/>
                </w:tcPr>
                <w:p w14:paraId="5595E62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本项目不</w:t>
                  </w:r>
                  <w:r>
                    <w:rPr>
                      <w:rFonts w:hint="default" w:ascii="Times New Roman" w:hAnsi="Times New Roman" w:eastAsia="宋体" w:cs="Times New Roman"/>
                      <w:color w:val="auto"/>
                      <w:sz w:val="21"/>
                      <w:szCs w:val="21"/>
                      <w:highlight w:val="none"/>
                      <w:lang w:eastAsia="zh-CN"/>
                    </w:rPr>
                    <w:t>涉及水产种质资源保护区的岸线或河段范围；本项目不涉及国家湿地公园的土地。</w:t>
                  </w:r>
                </w:p>
              </w:tc>
              <w:tc>
                <w:tcPr>
                  <w:tcW w:w="635" w:type="dxa"/>
                  <w:noWrap w:val="0"/>
                  <w:vAlign w:val="center"/>
                </w:tcPr>
                <w:p w14:paraId="1F2514A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14:paraId="750A8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14:paraId="1D88DA2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禁止违法利用、占用长江流域河湖岸线。禁止在金</w:t>
                  </w:r>
                </w:p>
                <w:p w14:paraId="5BC12E4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275" w:type="dxa"/>
                  <w:noWrap w:val="0"/>
                  <w:vAlign w:val="center"/>
                </w:tcPr>
                <w:p w14:paraId="4EAF22D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highlight w:val="none"/>
                      <w:shd w:val="clear" w:color="auto" w:fill="FFFFFF"/>
                    </w:rPr>
                    <w:t>占用长江流域河湖岸线</w:t>
                  </w:r>
                  <w:r>
                    <w:rPr>
                      <w:rFonts w:hint="default" w:ascii="Times New Roman" w:hAnsi="Times New Roman" w:eastAsia="宋体" w:cs="Times New Roman"/>
                      <w:color w:val="auto"/>
                      <w:sz w:val="21"/>
                      <w:szCs w:val="21"/>
                      <w:highlight w:val="none"/>
                      <w:shd w:val="clear" w:color="auto" w:fill="FFFFFF"/>
                      <w:lang w:eastAsia="zh-CN"/>
                    </w:rPr>
                    <w:t>项目。</w:t>
                  </w:r>
                </w:p>
              </w:tc>
              <w:tc>
                <w:tcPr>
                  <w:tcW w:w="635" w:type="dxa"/>
                  <w:noWrap w:val="0"/>
                  <w:vAlign w:val="center"/>
                </w:tcPr>
                <w:p w14:paraId="16C8A8D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14:paraId="63C71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14:paraId="1F47463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275" w:type="dxa"/>
                  <w:noWrap w:val="0"/>
                  <w:vAlign w:val="center"/>
                </w:tcPr>
                <w:p w14:paraId="54621F0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eastAsia="zh-CN"/>
                    </w:rPr>
                    <w:t>项目不属于过江基础设施项目，项目不涉及</w:t>
                  </w:r>
                  <w:r>
                    <w:rPr>
                      <w:rFonts w:hint="default" w:ascii="Times New Roman" w:hAnsi="Times New Roman" w:eastAsia="宋体" w:cs="Times New Roman"/>
                      <w:color w:val="auto"/>
                      <w:szCs w:val="21"/>
                      <w:highlight w:val="none"/>
                    </w:rPr>
                    <w:t>新设、改设或扩大排污口</w:t>
                  </w:r>
                  <w:r>
                    <w:rPr>
                      <w:rFonts w:hint="default" w:ascii="Times New Roman" w:hAnsi="Times New Roman" w:eastAsia="宋体" w:cs="Times New Roman"/>
                      <w:color w:val="auto"/>
                      <w:szCs w:val="21"/>
                      <w:highlight w:val="none"/>
                      <w:lang w:eastAsia="zh-CN"/>
                    </w:rPr>
                    <w:t>。</w:t>
                  </w:r>
                </w:p>
              </w:tc>
              <w:tc>
                <w:tcPr>
                  <w:tcW w:w="635" w:type="dxa"/>
                  <w:noWrap w:val="0"/>
                  <w:vAlign w:val="center"/>
                </w:tcPr>
                <w:p w14:paraId="2EE7349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14:paraId="6A221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14:paraId="50B60BB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禁止在金沙江干流、长江一级支流、水生生物保护区和长江流域禁捕水域开展天然渔业资源生产性捕捞。</w:t>
                  </w:r>
                </w:p>
              </w:tc>
              <w:tc>
                <w:tcPr>
                  <w:tcW w:w="2275" w:type="dxa"/>
                  <w:noWrap w:val="0"/>
                  <w:vAlign w:val="center"/>
                </w:tcPr>
                <w:p w14:paraId="2AD0E7C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本项目不涉及</w:t>
                  </w:r>
                  <w:r>
                    <w:rPr>
                      <w:rFonts w:hint="default" w:ascii="Times New Roman" w:hAnsi="Times New Roman" w:eastAsia="宋体" w:cs="Times New Roman"/>
                      <w:color w:val="auto"/>
                      <w:sz w:val="21"/>
                      <w:szCs w:val="21"/>
                      <w:highlight w:val="none"/>
                      <w:shd w:val="clear" w:color="auto" w:fill="FFFFFF"/>
                    </w:rPr>
                    <w:t>天然渔业资源生产性捕捞</w:t>
                  </w:r>
                  <w:r>
                    <w:rPr>
                      <w:rFonts w:hint="default" w:ascii="Times New Roman" w:hAnsi="Times New Roman" w:eastAsia="宋体" w:cs="Times New Roman"/>
                      <w:color w:val="auto"/>
                      <w:sz w:val="21"/>
                      <w:szCs w:val="21"/>
                      <w:highlight w:val="none"/>
                      <w:lang w:eastAsia="zh-CN"/>
                    </w:rPr>
                    <w:t>。</w:t>
                  </w:r>
                </w:p>
              </w:tc>
              <w:tc>
                <w:tcPr>
                  <w:tcW w:w="635" w:type="dxa"/>
                  <w:noWrap w:val="0"/>
                  <w:vAlign w:val="center"/>
                </w:tcPr>
                <w:p w14:paraId="64DDF38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14:paraId="72F37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14:paraId="566E8DE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275" w:type="dxa"/>
                  <w:noWrap w:val="0"/>
                  <w:vAlign w:val="center"/>
                </w:tcPr>
                <w:p w14:paraId="7DFEEF4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所在区域不属于</w:t>
                  </w:r>
                  <w:r>
                    <w:rPr>
                      <w:rFonts w:hint="default" w:ascii="Times New Roman" w:hAnsi="Times New Roman" w:eastAsia="宋体" w:cs="Times New Roman"/>
                      <w:color w:val="auto"/>
                      <w:sz w:val="21"/>
                      <w:szCs w:val="21"/>
                      <w:highlight w:val="none"/>
                      <w:shd w:val="clear" w:color="auto" w:fill="FFFFFF"/>
                    </w:rPr>
                    <w:t>金沙江干流、长江一级支流、水生生物保护区</w:t>
                  </w:r>
                  <w:r>
                    <w:rPr>
                      <w:rFonts w:hint="default" w:ascii="Times New Roman" w:hAnsi="Times New Roman" w:eastAsia="宋体" w:cs="Times New Roman"/>
                      <w:color w:val="auto"/>
                      <w:sz w:val="21"/>
                      <w:szCs w:val="21"/>
                      <w:highlight w:val="none"/>
                      <w:shd w:val="clear" w:color="auto" w:fill="FFFFFF"/>
                      <w:lang w:eastAsia="zh-CN"/>
                    </w:rPr>
                    <w:t>、</w:t>
                  </w:r>
                  <w:r>
                    <w:rPr>
                      <w:rFonts w:hint="default" w:ascii="Times New Roman" w:hAnsi="Times New Roman" w:eastAsia="宋体" w:cs="Times New Roman"/>
                      <w:color w:val="auto"/>
                      <w:sz w:val="21"/>
                      <w:szCs w:val="21"/>
                      <w:highlight w:val="none"/>
                      <w:shd w:val="clear" w:color="auto" w:fill="FFFFFF"/>
                    </w:rPr>
                    <w:t>九大高原湖泊岸线一公里范围</w:t>
                  </w:r>
                  <w:r>
                    <w:rPr>
                      <w:rFonts w:hint="default" w:ascii="Times New Roman" w:hAnsi="Times New Roman" w:eastAsia="宋体" w:cs="Times New Roman"/>
                      <w:color w:val="auto"/>
                      <w:sz w:val="21"/>
                      <w:szCs w:val="21"/>
                      <w:highlight w:val="none"/>
                      <w:shd w:val="clear" w:color="auto" w:fill="FFFFFF"/>
                      <w:lang w:eastAsia="zh-CN"/>
                    </w:rPr>
                    <w:t>。</w:t>
                  </w:r>
                </w:p>
              </w:tc>
              <w:tc>
                <w:tcPr>
                  <w:tcW w:w="635" w:type="dxa"/>
                  <w:noWrap w:val="0"/>
                  <w:vAlign w:val="center"/>
                </w:tcPr>
                <w:p w14:paraId="3D015A8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14:paraId="2937D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14:paraId="48E6CCE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禁止在合规园区外新建、扩建钢铁、石化、化工、焦化、建材、有色、制浆造纸行业中的高污染项目。</w:t>
                  </w:r>
                </w:p>
              </w:tc>
              <w:tc>
                <w:tcPr>
                  <w:tcW w:w="2275" w:type="dxa"/>
                  <w:noWrap w:val="0"/>
                  <w:vAlign w:val="center"/>
                </w:tcPr>
                <w:p w14:paraId="07F8049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本项目建设地址为合规园区。</w:t>
                  </w:r>
                </w:p>
              </w:tc>
              <w:tc>
                <w:tcPr>
                  <w:tcW w:w="635" w:type="dxa"/>
                  <w:noWrap w:val="0"/>
                  <w:vAlign w:val="center"/>
                </w:tcPr>
                <w:p w14:paraId="010654F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14:paraId="1856F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14:paraId="590DE4D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禁止新建、扩建不符合国家石化、现代煤化工等产业布局规划的项目。禁止列入《云南省城镇人口密集区危险化学品生产企业搬迁改造名单》的搬迁改造企业在原址新建、扩建危险化学品生产项目</w:t>
                  </w:r>
                  <w:r>
                    <w:rPr>
                      <w:rFonts w:hint="default" w:ascii="Times New Roman" w:hAnsi="Times New Roman" w:eastAsia="宋体" w:cs="Times New Roman"/>
                      <w:color w:val="auto"/>
                      <w:sz w:val="21"/>
                      <w:szCs w:val="21"/>
                      <w:highlight w:val="none"/>
                      <w:shd w:val="clear" w:color="auto" w:fill="FFFFFF"/>
                      <w:lang w:eastAsia="zh-CN"/>
                    </w:rPr>
                    <w:t>。</w:t>
                  </w:r>
                </w:p>
              </w:tc>
              <w:tc>
                <w:tcPr>
                  <w:tcW w:w="2275" w:type="dxa"/>
                  <w:noWrap w:val="0"/>
                  <w:vAlign w:val="center"/>
                </w:tcPr>
                <w:p w14:paraId="255813E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cs="Times New Roman"/>
                      <w:color w:val="auto"/>
                      <w:sz w:val="21"/>
                      <w:szCs w:val="21"/>
                      <w:highlight w:val="none"/>
                      <w:lang w:val="en-US" w:eastAsia="zh-CN"/>
                    </w:rPr>
                    <w:t>为</w:t>
                  </w:r>
                  <w:r>
                    <w:rPr>
                      <w:rFonts w:hint="eastAsia" w:ascii="Times New Roman" w:hAnsi="Times New Roman" w:eastAsia="宋体" w:cs="Times New Roman"/>
                      <w:color w:val="auto"/>
                      <w:sz w:val="21"/>
                      <w:szCs w:val="21"/>
                      <w:highlight w:val="none"/>
                      <w:lang w:val="en-US" w:eastAsia="zh-CN"/>
                    </w:rPr>
                    <w:t>其他煤炭加工</w:t>
                  </w:r>
                  <w:r>
                    <w:rPr>
                      <w:rFonts w:hint="eastAsia" w:ascii="Times New Roman" w:hAnsi="Times New Roman" w:eastAsia="宋体" w:cs="Times New Roman"/>
                      <w:color w:val="auto"/>
                      <w:sz w:val="21"/>
                      <w:szCs w:val="21"/>
                      <w:highlight w:val="none"/>
                      <w:lang w:eastAsia="zh-CN"/>
                    </w:rPr>
                    <w:t>项</w:t>
                  </w:r>
                  <w:r>
                    <w:rPr>
                      <w:rFonts w:hint="eastAsia" w:cs="Times New Roman"/>
                      <w:color w:val="auto"/>
                      <w:sz w:val="21"/>
                      <w:szCs w:val="21"/>
                      <w:highlight w:val="none"/>
                      <w:lang w:eastAsia="zh-CN"/>
                    </w:rPr>
                    <w:t>目</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不属于不符合</w:t>
                  </w:r>
                  <w:r>
                    <w:rPr>
                      <w:rFonts w:hint="default" w:ascii="Times New Roman" w:hAnsi="Times New Roman" w:eastAsia="宋体" w:cs="Times New Roman"/>
                      <w:color w:val="auto"/>
                      <w:sz w:val="21"/>
                      <w:szCs w:val="21"/>
                      <w:highlight w:val="none"/>
                      <w:shd w:val="clear" w:color="auto" w:fill="FFFFFF"/>
                    </w:rPr>
                    <w:t>国家石化、现代煤化工等产业布局规划的项目</w:t>
                  </w:r>
                  <w:r>
                    <w:rPr>
                      <w:rFonts w:hint="default" w:ascii="Times New Roman" w:hAnsi="Times New Roman" w:eastAsia="宋体" w:cs="Times New Roman"/>
                      <w:color w:val="auto"/>
                      <w:sz w:val="21"/>
                      <w:szCs w:val="21"/>
                      <w:highlight w:val="none"/>
                      <w:shd w:val="clear" w:color="auto" w:fill="FFFFFF"/>
                      <w:lang w:eastAsia="zh-CN"/>
                    </w:rPr>
                    <w:t>；本项目不属于危险化学品生产项目。</w:t>
                  </w:r>
                </w:p>
              </w:tc>
              <w:tc>
                <w:tcPr>
                  <w:tcW w:w="635" w:type="dxa"/>
                  <w:noWrap w:val="0"/>
                  <w:vAlign w:val="center"/>
                </w:tcPr>
                <w:p w14:paraId="6BD3B7A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14:paraId="55AC0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14:paraId="609D56C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2275" w:type="dxa"/>
                  <w:noWrap w:val="0"/>
                  <w:vAlign w:val="center"/>
                </w:tcPr>
                <w:p w14:paraId="7AD7FD8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本项目不属于落后产能项目、过剩产能行业的项目、高能耗、高排放项目。本项目不涉及建设</w:t>
                  </w:r>
                  <w:r>
                    <w:rPr>
                      <w:rFonts w:hint="default" w:ascii="Times New Roman" w:hAnsi="Times New Roman" w:eastAsia="宋体" w:cs="Times New Roman"/>
                      <w:color w:val="auto"/>
                      <w:sz w:val="21"/>
                      <w:szCs w:val="21"/>
                      <w:highlight w:val="none"/>
                      <w:shd w:val="clear" w:color="auto" w:fill="FFFFFF"/>
                    </w:rPr>
                    <w:t>高毒高残留以及对环境影响大的农药原药生产装置，</w:t>
                  </w:r>
                  <w:r>
                    <w:rPr>
                      <w:rFonts w:hint="default" w:ascii="Times New Roman" w:hAnsi="Times New Roman" w:eastAsia="宋体" w:cs="Times New Roman"/>
                      <w:color w:val="auto"/>
                      <w:sz w:val="21"/>
                      <w:szCs w:val="21"/>
                      <w:highlight w:val="none"/>
                      <w:shd w:val="clear" w:color="auto" w:fill="FFFFFF"/>
                      <w:lang w:eastAsia="zh-CN"/>
                    </w:rPr>
                    <w:t>不属于</w:t>
                  </w:r>
                  <w:r>
                    <w:rPr>
                      <w:rFonts w:hint="default" w:ascii="Times New Roman" w:hAnsi="Times New Roman" w:eastAsia="宋体" w:cs="Times New Roman"/>
                      <w:color w:val="auto"/>
                      <w:sz w:val="21"/>
                      <w:szCs w:val="21"/>
                      <w:highlight w:val="none"/>
                      <w:shd w:val="clear" w:color="auto" w:fill="FFFFFF"/>
                    </w:rPr>
                    <w:t>尿素、磷铵、电石、焦炭、黄磷、烧碱、纯碱、聚氯乙烯等行业。</w:t>
                  </w:r>
                </w:p>
              </w:tc>
              <w:tc>
                <w:tcPr>
                  <w:tcW w:w="635" w:type="dxa"/>
                  <w:noWrap w:val="0"/>
                  <w:vAlign w:val="center"/>
                </w:tcPr>
                <w:p w14:paraId="6378F30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bl>
          <w:p w14:paraId="104BBEA7">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highlight w:val="none"/>
              </w:rPr>
              <w:t>综上，本项目与《云南省长江经济带发展负面清单指南实施细则（试行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2022年版</w:t>
            </w:r>
            <w:r>
              <w:rPr>
                <w:rFonts w:hint="default" w:ascii="Times New Roman" w:hAnsi="Times New Roman" w:eastAsia="宋体" w:cs="Times New Roman"/>
                <w:color w:val="auto"/>
                <w:sz w:val="24"/>
                <w:highlight w:val="none"/>
              </w:rPr>
              <w:t>）》规定的内容相符合。</w:t>
            </w:r>
          </w:p>
          <w:p w14:paraId="629C4787">
            <w:pPr>
              <w:pStyle w:val="84"/>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pacing w:val="4"/>
                <w:kern w:val="24"/>
                <w:sz w:val="24"/>
                <w:highlight w:val="none"/>
                <w:lang w:bidi="ar"/>
              </w:rPr>
            </w:pPr>
            <w:bookmarkStart w:id="12" w:name="_Toc26297"/>
            <w:r>
              <w:rPr>
                <w:rFonts w:hint="eastAsia" w:cs="Times New Roman"/>
                <w:b/>
                <w:color w:val="auto"/>
                <w:sz w:val="24"/>
                <w:highlight w:val="none"/>
                <w:lang w:val="en-US" w:eastAsia="zh-CN"/>
              </w:rPr>
              <w:t>8</w:t>
            </w:r>
            <w:r>
              <w:rPr>
                <w:rFonts w:hint="default" w:ascii="Times New Roman" w:hAnsi="Times New Roman" w:eastAsia="宋体" w:cs="Times New Roman"/>
                <w:b/>
                <w:color w:val="auto"/>
                <w:sz w:val="24"/>
                <w:highlight w:val="none"/>
              </w:rPr>
              <w:t>、</w:t>
            </w:r>
            <w:bookmarkEnd w:id="12"/>
            <w:r>
              <w:rPr>
                <w:rFonts w:hint="default" w:ascii="Times New Roman" w:hAnsi="Times New Roman" w:eastAsia="宋体" w:cs="Times New Roman"/>
                <w:b/>
                <w:color w:val="auto"/>
                <w:spacing w:val="4"/>
                <w:kern w:val="24"/>
                <w:sz w:val="24"/>
                <w:highlight w:val="none"/>
                <w:lang w:bidi="ar"/>
              </w:rPr>
              <w:t>与《昆明市大气污染防治条例》相符性分析</w:t>
            </w:r>
          </w:p>
          <w:p w14:paraId="46AC90BA">
            <w:pPr>
              <w:jc w:val="center"/>
              <w:rPr>
                <w:rFonts w:hint="default" w:ascii="Times New Roman" w:hAnsi="Times New Roman" w:eastAsia="宋体" w:cs="Times New Roman"/>
                <w:b/>
                <w:color w:val="auto"/>
                <w:spacing w:val="4"/>
                <w:kern w:val="24"/>
                <w:szCs w:val="21"/>
                <w:highlight w:val="none"/>
                <w:lang w:bidi="ar"/>
              </w:rPr>
            </w:pPr>
          </w:p>
          <w:p w14:paraId="0534CD89">
            <w:pPr>
              <w:jc w:val="center"/>
              <w:rPr>
                <w:rFonts w:hint="default" w:ascii="Times New Roman" w:hAnsi="Times New Roman" w:eastAsia="宋体" w:cs="Times New Roman"/>
                <w:b/>
                <w:color w:val="auto"/>
                <w:spacing w:val="4"/>
                <w:kern w:val="24"/>
                <w:szCs w:val="21"/>
                <w:highlight w:val="none"/>
                <w:lang w:bidi="ar"/>
              </w:rPr>
            </w:pPr>
          </w:p>
          <w:p w14:paraId="210A3587">
            <w:pPr>
              <w:jc w:val="center"/>
              <w:rPr>
                <w:rFonts w:hint="default" w:ascii="Times New Roman" w:hAnsi="Times New Roman" w:eastAsia="宋体" w:cs="Times New Roman"/>
                <w:b/>
                <w:color w:val="auto"/>
                <w:spacing w:val="4"/>
                <w:kern w:val="24"/>
                <w:szCs w:val="21"/>
                <w:highlight w:val="none"/>
                <w:lang w:bidi="ar"/>
              </w:rPr>
            </w:pPr>
            <w:r>
              <w:rPr>
                <w:rFonts w:hint="default" w:ascii="Times New Roman" w:hAnsi="Times New Roman" w:eastAsia="宋体" w:cs="Times New Roman"/>
                <w:b/>
                <w:color w:val="auto"/>
                <w:spacing w:val="4"/>
                <w:kern w:val="24"/>
                <w:szCs w:val="21"/>
                <w:highlight w:val="none"/>
                <w:lang w:bidi="ar"/>
              </w:rPr>
              <w:t>表1-</w:t>
            </w:r>
            <w:r>
              <w:rPr>
                <w:rFonts w:hint="eastAsia" w:cs="Times New Roman"/>
                <w:b/>
                <w:color w:val="auto"/>
                <w:spacing w:val="4"/>
                <w:kern w:val="24"/>
                <w:szCs w:val="21"/>
                <w:highlight w:val="none"/>
                <w:lang w:val="en-US" w:eastAsia="zh-CN" w:bidi="ar"/>
              </w:rPr>
              <w:t>10</w:t>
            </w:r>
            <w:r>
              <w:rPr>
                <w:rFonts w:hint="default" w:ascii="Times New Roman" w:hAnsi="Times New Roman" w:eastAsia="宋体" w:cs="Times New Roman"/>
                <w:b/>
                <w:color w:val="auto"/>
                <w:spacing w:val="4"/>
                <w:kern w:val="24"/>
                <w:szCs w:val="21"/>
                <w:highlight w:val="none"/>
                <w:lang w:val="en-US" w:eastAsia="zh-CN" w:bidi="ar"/>
              </w:rPr>
              <w:t xml:space="preserve"> </w:t>
            </w:r>
            <w:r>
              <w:rPr>
                <w:rFonts w:hint="default" w:ascii="Times New Roman" w:hAnsi="Times New Roman" w:eastAsia="宋体" w:cs="Times New Roman"/>
                <w:b/>
                <w:color w:val="auto"/>
                <w:spacing w:val="4"/>
                <w:kern w:val="24"/>
                <w:szCs w:val="21"/>
                <w:highlight w:val="none"/>
                <w:lang w:bidi="ar"/>
              </w:rPr>
              <w:t xml:space="preserve"> 与《昆明市大气污染防治条例》符合性分析</w:t>
            </w:r>
          </w:p>
          <w:tbl>
            <w:tblPr>
              <w:tblStyle w:val="27"/>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7"/>
              <w:gridCol w:w="3547"/>
              <w:gridCol w:w="949"/>
            </w:tblGrid>
            <w:tr w14:paraId="7D6A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387" w:type="dxa"/>
                  <w:vAlign w:val="center"/>
                </w:tcPr>
                <w:p w14:paraId="1082D4F5">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相关要求</w:t>
                  </w:r>
                </w:p>
              </w:tc>
              <w:tc>
                <w:tcPr>
                  <w:tcW w:w="3547" w:type="dxa"/>
                  <w:vAlign w:val="center"/>
                </w:tcPr>
                <w:p w14:paraId="33349875">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项目情况</w:t>
                  </w:r>
                </w:p>
              </w:tc>
              <w:tc>
                <w:tcPr>
                  <w:tcW w:w="949" w:type="dxa"/>
                  <w:vAlign w:val="center"/>
                </w:tcPr>
                <w:p w14:paraId="50BD0569">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符合性</w:t>
                  </w:r>
                </w:p>
              </w:tc>
            </w:tr>
            <w:tr w14:paraId="2C59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7" w:type="dxa"/>
                  <w:vAlign w:val="center"/>
                </w:tcPr>
                <w:p w14:paraId="5BE7BC0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3547" w:type="dxa"/>
                  <w:vMerge w:val="restart"/>
                  <w:vAlign w:val="center"/>
                </w:tcPr>
                <w:p w14:paraId="2C97423F">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其他煤炭加工</w:t>
                  </w:r>
                  <w:r>
                    <w:rPr>
                      <w:rFonts w:hint="eastAsia" w:ascii="Times New Roman" w:hAnsi="Times New Roman" w:eastAsia="宋体" w:cs="Times New Roman"/>
                      <w:color w:val="auto"/>
                      <w:sz w:val="21"/>
                      <w:szCs w:val="21"/>
                      <w:highlight w:val="none"/>
                      <w:lang w:eastAsia="zh-CN"/>
                    </w:rPr>
                    <w:t>项</w:t>
                  </w:r>
                  <w:r>
                    <w:rPr>
                      <w:rFonts w:hint="eastAsia" w:cs="Times New Roman"/>
                      <w:color w:val="auto"/>
                      <w:sz w:val="21"/>
                      <w:szCs w:val="21"/>
                      <w:highlight w:val="none"/>
                      <w:lang w:eastAsia="zh-CN"/>
                    </w:rPr>
                    <w:t>目</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本项目</w:t>
                  </w:r>
                  <w:r>
                    <w:rPr>
                      <w:rFonts w:hint="eastAsia" w:cs="Times New Roman"/>
                      <w:color w:val="auto"/>
                      <w:szCs w:val="21"/>
                      <w:highlight w:val="none"/>
                      <w:lang w:eastAsia="zh-CN"/>
                    </w:rPr>
                    <w:t>卸料扬</w:t>
                  </w:r>
                  <w:r>
                    <w:rPr>
                      <w:rFonts w:hint="default" w:ascii="Times New Roman" w:hAnsi="Times New Roman" w:eastAsia="宋体" w:cs="Times New Roman"/>
                      <w:color w:val="auto"/>
                      <w:szCs w:val="21"/>
                      <w:highlight w:val="none"/>
                    </w:rPr>
                    <w:t>尘</w:t>
                  </w:r>
                  <w:r>
                    <w:rPr>
                      <w:rFonts w:hint="default" w:ascii="Times New Roman" w:hAnsi="Times New Roman" w:eastAsia="宋体" w:cs="Times New Roman"/>
                      <w:color w:val="auto"/>
                      <w:sz w:val="21"/>
                      <w:szCs w:val="21"/>
                      <w:highlight w:val="none"/>
                      <w:lang w:val="en-US"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w:t>
                  </w:r>
                </w:p>
                <w:p w14:paraId="092CC98F">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风管+布袋除尘器”处理后将通过15.5m高排气筒排放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破碎粉尘</w:t>
                  </w:r>
                  <w:r>
                    <w:rPr>
                      <w:rFonts w:hint="default" w:ascii="Times New Roman" w:hAnsi="Times New Roman" w:eastAsia="宋体" w:cs="Times New Roman"/>
                      <w:color w:val="auto"/>
                      <w:sz w:val="21"/>
                      <w:szCs w:val="21"/>
                      <w:highlight w:val="none"/>
                      <w:lang w:val="en-US"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1套集气罩+收尘风管+布袋除尘器”处理后将通过15.5m高排气筒排放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kern w:val="2"/>
                      <w:sz w:val="21"/>
                      <w:szCs w:val="21"/>
                      <w:highlight w:val="none"/>
                      <w:lang w:val="en-US" w:eastAsia="zh-CN" w:bidi="ar-SA"/>
                    </w:rPr>
                    <w:t>原料</w:t>
                  </w:r>
                  <w:r>
                    <w:rPr>
                      <w:rFonts w:hint="eastAsia" w:ascii="Times New Roman" w:hAnsi="Times New Roman" w:eastAsia="宋体" w:cs="Times New Roman"/>
                      <w:color w:val="auto"/>
                      <w:kern w:val="2"/>
                      <w:sz w:val="21"/>
                      <w:szCs w:val="21"/>
                      <w:highlight w:val="none"/>
                      <w:lang w:val="en-US" w:eastAsia="zh-CN" w:bidi="ar-SA"/>
                    </w:rPr>
                    <w:t>转载</w:t>
                  </w:r>
                  <w:r>
                    <w:rPr>
                      <w:rFonts w:hint="eastAsia" w:cs="Times New Roman"/>
                      <w:color w:val="auto"/>
                      <w:kern w:val="2"/>
                      <w:sz w:val="21"/>
                      <w:szCs w:val="21"/>
                      <w:highlight w:val="none"/>
                      <w:lang w:val="en-US" w:eastAsia="zh-CN" w:bidi="ar-SA"/>
                    </w:rPr>
                    <w:t>点</w:t>
                  </w:r>
                  <w:r>
                    <w:rPr>
                      <w:rFonts w:hint="eastAsia" w:ascii="Times New Roman" w:hAnsi="Times New Roman" w:eastAsia="宋体" w:cs="Times New Roman"/>
                      <w:color w:val="auto"/>
                      <w:kern w:val="2"/>
                      <w:sz w:val="21"/>
                      <w:szCs w:val="21"/>
                      <w:highlight w:val="none"/>
                      <w:lang w:val="en-US" w:eastAsia="zh-CN" w:bidi="ar-SA"/>
                    </w:rPr>
                    <w:t>落料粉尘</w:t>
                  </w:r>
                  <w:r>
                    <w:rPr>
                      <w:rFonts w:hint="default" w:ascii="Times New Roman" w:hAnsi="Times New Roman" w:eastAsia="宋体" w:cs="Times New Roman"/>
                      <w:color w:val="auto"/>
                      <w:sz w:val="21"/>
                      <w:szCs w:val="21"/>
                      <w:highlight w:val="none"/>
                      <w:lang w:val="en-US"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1套集气罩+收尘风管+布袋除尘器”处理后将通过15.5m高排气筒排放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kern w:val="2"/>
                      <w:sz w:val="21"/>
                      <w:szCs w:val="21"/>
                      <w:highlight w:val="none"/>
                      <w:lang w:val="en-US" w:eastAsia="zh-CN" w:bidi="ar-SA"/>
                    </w:rPr>
                    <w:t>喂煤仓</w:t>
                  </w:r>
                  <w:r>
                    <w:rPr>
                      <w:rFonts w:hint="eastAsia" w:ascii="Times New Roman" w:hAnsi="Times New Roman" w:eastAsia="宋体" w:cs="Times New Roman"/>
                      <w:color w:val="auto"/>
                      <w:kern w:val="2"/>
                      <w:sz w:val="21"/>
                      <w:szCs w:val="21"/>
                      <w:highlight w:val="none"/>
                      <w:lang w:val="en-US" w:eastAsia="zh-CN" w:bidi="ar-SA"/>
                    </w:rPr>
                    <w:t>粉尘</w:t>
                  </w:r>
                  <w:r>
                    <w:rPr>
                      <w:rFonts w:hint="eastAsia" w:cs="Times New Roman"/>
                      <w:color w:val="auto"/>
                      <w:sz w:val="21"/>
                      <w:szCs w:val="21"/>
                      <w:highlight w:val="none"/>
                      <w:lang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处理后将通过36m高排气筒排放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DA004</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烘干废气收集进入</w:t>
                  </w:r>
                  <w:r>
                    <w:rPr>
                      <w:rFonts w:hint="default" w:ascii="Times New Roman" w:hAnsi="Times New Roman" w:eastAsia="宋体" w:cs="Times New Roman"/>
                      <w:color w:val="auto"/>
                      <w:sz w:val="21"/>
                      <w:szCs w:val="21"/>
                      <w:highlight w:val="none"/>
                    </w:rPr>
                    <w:t>“</w:t>
                  </w:r>
                  <w:r>
                    <w:rPr>
                      <w:rFonts w:hint="eastAsia"/>
                      <w:color w:val="auto"/>
                      <w:sz w:val="21"/>
                      <w:szCs w:val="21"/>
                      <w:highlight w:val="none"/>
                    </w:rPr>
                    <w:t>炉内喷钙脱硫</w:t>
                  </w:r>
                  <w:r>
                    <w:rPr>
                      <w:rFonts w:hint="eastAsia"/>
                      <w:color w:val="auto"/>
                      <w:sz w:val="21"/>
                      <w:szCs w:val="21"/>
                      <w:highlight w:val="none"/>
                      <w:lang w:eastAsia="zh-CN"/>
                    </w:rPr>
                    <w:t>（</w:t>
                  </w:r>
                  <w:r>
                    <w:rPr>
                      <w:rFonts w:hint="eastAsia"/>
                      <w:color w:val="auto"/>
                      <w:sz w:val="21"/>
                      <w:szCs w:val="21"/>
                      <w:highlight w:val="none"/>
                    </w:rPr>
                    <w:t>结合尾部烟气的增湿活化脱硫效应</w:t>
                  </w:r>
                  <w:r>
                    <w:rPr>
                      <w:rFonts w:hint="eastAsia"/>
                      <w:color w:val="auto"/>
                      <w:sz w:val="21"/>
                      <w:szCs w:val="21"/>
                      <w:highlight w:val="none"/>
                      <w:lang w:eastAsia="zh-CN"/>
                    </w:rPr>
                    <w:t>）</w:t>
                  </w:r>
                  <w:r>
                    <w:rPr>
                      <w:rFonts w:hint="eastAsia"/>
                      <w:color w:val="auto"/>
                      <w:sz w:val="21"/>
                      <w:szCs w:val="21"/>
                      <w:highlight w:val="none"/>
                      <w:lang w:val="en-US" w:eastAsia="zh-CN"/>
                    </w:rPr>
                    <w:t>+分级燃烧+</w:t>
                  </w:r>
                  <w:r>
                    <w:rPr>
                      <w:rFonts w:hint="eastAsia"/>
                      <w:color w:val="auto"/>
                      <w:sz w:val="21"/>
                      <w:szCs w:val="21"/>
                      <w:highlight w:val="none"/>
                    </w:rPr>
                    <w:t>SNCR</w:t>
                  </w:r>
                  <w:r>
                    <w:rPr>
                      <w:rFonts w:hint="eastAsia"/>
                      <w:color w:val="auto"/>
                      <w:sz w:val="21"/>
                      <w:szCs w:val="21"/>
                      <w:highlight w:val="none"/>
                      <w:lang w:val="en-US" w:eastAsia="zh-CN"/>
                    </w:rPr>
                    <w:t>喷氨</w:t>
                  </w:r>
                  <w:r>
                    <w:rPr>
                      <w:rFonts w:hint="eastAsia"/>
                      <w:color w:val="auto"/>
                      <w:sz w:val="21"/>
                      <w:szCs w:val="21"/>
                      <w:highlight w:val="none"/>
                    </w:rPr>
                    <w:t>脱硝</w:t>
                  </w:r>
                  <w:r>
                    <w:rPr>
                      <w:rFonts w:hint="eastAsia" w:cs="Times New Roman"/>
                      <w:color w:val="auto"/>
                      <w:sz w:val="21"/>
                      <w:szCs w:val="21"/>
                      <w:highlight w:val="none"/>
                      <w:lang w:val="en-US" w:eastAsia="zh-CN"/>
                    </w:rPr>
                    <w:t>+1套</w:t>
                  </w:r>
                  <w:r>
                    <w:rPr>
                      <w:rFonts w:hint="eastAsia"/>
                      <w:color w:val="auto"/>
                      <w:sz w:val="21"/>
                      <w:szCs w:val="21"/>
                      <w:highlight w:val="none"/>
                    </w:rPr>
                    <w:t>脉冲袋式除尘器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处理后将通过25m高排气筒排放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DA005</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1#燃料仓粉尘收集进入“1套布袋除尘器”处理后通过20.5m高排气筒排放（DA006）；2#燃料仓粉尘收集进入“1套布袋除尘器”处理后通过20.5m高排气筒排放（DA007）；1#煤粉仓粉尘收集进入“1套布袋除尘器”处理后通过15.5m高排气筒排放（DA008）；2#煤粉仓粉尘收集进入“1套布袋除尘器”处理后通过26.5m高排气筒排放（DA009）；3#煤粉仓粉尘收集进入“1套布袋除尘器”处理后通过26.5m高排气筒排放（DA010）；</w:t>
                  </w:r>
                  <w:r>
                    <w:rPr>
                      <w:rFonts w:hint="eastAsia"/>
                      <w:color w:val="auto"/>
                      <w:sz w:val="21"/>
                      <w:szCs w:val="21"/>
                      <w:highlight w:val="none"/>
                    </w:rPr>
                    <w:t>出烘干机皮带转运</w:t>
                  </w:r>
                  <w:r>
                    <w:rPr>
                      <w:rFonts w:hint="eastAsia"/>
                      <w:color w:val="auto"/>
                      <w:sz w:val="21"/>
                      <w:szCs w:val="21"/>
                      <w:highlight w:val="none"/>
                      <w:lang w:eastAsia="zh-CN"/>
                    </w:rPr>
                    <w:t>粉尘收</w:t>
                  </w:r>
                  <w:r>
                    <w:rPr>
                      <w:rFonts w:hint="eastAsia" w:cs="Times New Roman"/>
                      <w:color w:val="auto"/>
                      <w:sz w:val="21"/>
                      <w:szCs w:val="21"/>
                      <w:highlight w:val="none"/>
                      <w:lang w:eastAsia="zh-CN"/>
                    </w:rPr>
                    <w:t>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处理后将通过20m高排气筒排放</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DA011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cs="Times New Roman"/>
                      <w:bCs/>
                      <w:color w:val="auto"/>
                      <w:sz w:val="21"/>
                      <w:szCs w:val="21"/>
                      <w:highlight w:val="none"/>
                      <w:lang w:eastAsia="zh-CN"/>
                    </w:rPr>
                    <w:t>进</w:t>
                  </w:r>
                  <w:r>
                    <w:rPr>
                      <w:rFonts w:hint="eastAsia" w:ascii="Times New Roman" w:hAnsi="Times New Roman" w:eastAsia="宋体" w:cs="Times New Roman"/>
                      <w:bCs/>
                      <w:color w:val="auto"/>
                      <w:sz w:val="21"/>
                      <w:szCs w:val="21"/>
                      <w:highlight w:val="none"/>
                      <w:lang w:eastAsia="zh-CN"/>
                    </w:rPr>
                    <w:t>成品堆棚皮带转运粉尘</w:t>
                  </w:r>
                  <w:r>
                    <w:rPr>
                      <w:rFonts w:hint="eastAsia"/>
                      <w:color w:val="auto"/>
                      <w:sz w:val="21"/>
                      <w:szCs w:val="21"/>
                      <w:highlight w:val="none"/>
                      <w:lang w:eastAsia="zh-CN"/>
                    </w:rPr>
                    <w:t>收</w:t>
                  </w:r>
                  <w:r>
                    <w:rPr>
                      <w:rFonts w:hint="eastAsia" w:cs="Times New Roman"/>
                      <w:color w:val="auto"/>
                      <w:sz w:val="21"/>
                      <w:szCs w:val="21"/>
                      <w:highlight w:val="none"/>
                      <w:lang w:eastAsia="zh-CN"/>
                    </w:rPr>
                    <w:t>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处理后将通过26.5m高排气筒排放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DA012</w:t>
                  </w:r>
                  <w:r>
                    <w:rPr>
                      <w:rFonts w:hint="eastAsia" w:cs="Times New Roman"/>
                      <w:color w:val="auto"/>
                      <w:sz w:val="21"/>
                      <w:szCs w:val="21"/>
                      <w:highlight w:val="none"/>
                      <w:lang w:eastAsia="zh-CN"/>
                    </w:rPr>
                    <w:t>）；</w:t>
                  </w:r>
                  <w:r>
                    <w:rPr>
                      <w:rFonts w:hint="eastAsia" w:ascii="Times New Roman" w:hAnsi="Times New Roman" w:eastAsia="宋体" w:cs="Times New Roman"/>
                      <w:bCs/>
                      <w:color w:val="auto"/>
                      <w:sz w:val="21"/>
                      <w:szCs w:val="21"/>
                      <w:highlight w:val="none"/>
                      <w:lang w:eastAsia="zh-CN"/>
                    </w:rPr>
                    <w:t>出成品堆棚皮带转运粉尘</w:t>
                  </w:r>
                  <w:r>
                    <w:rPr>
                      <w:rFonts w:hint="eastAsia"/>
                      <w:color w:val="auto"/>
                      <w:sz w:val="21"/>
                      <w:szCs w:val="21"/>
                      <w:highlight w:val="none"/>
                      <w:lang w:eastAsia="zh-CN"/>
                    </w:rPr>
                    <w:t>收</w:t>
                  </w:r>
                  <w:r>
                    <w:rPr>
                      <w:rFonts w:hint="eastAsia" w:cs="Times New Roman"/>
                      <w:color w:val="auto"/>
                      <w:sz w:val="21"/>
                      <w:szCs w:val="21"/>
                      <w:highlight w:val="none"/>
                      <w:lang w:eastAsia="zh-CN"/>
                    </w:rPr>
                    <w:t>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处理后将通过32.5m高排气筒排放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DA013</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出成品装车车间皮带转运</w:t>
                  </w:r>
                  <w:r>
                    <w:rPr>
                      <w:rFonts w:hint="eastAsia" w:ascii="Times New Roman" w:hAnsi="Times New Roman" w:eastAsia="宋体" w:cs="Times New Roman"/>
                      <w:bCs/>
                      <w:color w:val="auto"/>
                      <w:sz w:val="21"/>
                      <w:szCs w:val="21"/>
                      <w:highlight w:val="none"/>
                      <w:lang w:eastAsia="zh-CN"/>
                    </w:rPr>
                    <w:t>粉尘</w:t>
                  </w:r>
                  <w:r>
                    <w:rPr>
                      <w:rFonts w:hint="eastAsia"/>
                      <w:color w:val="auto"/>
                      <w:sz w:val="21"/>
                      <w:szCs w:val="21"/>
                      <w:highlight w:val="none"/>
                      <w:lang w:eastAsia="zh-CN"/>
                    </w:rPr>
                    <w:t>收</w:t>
                  </w:r>
                  <w:r>
                    <w:rPr>
                      <w:rFonts w:hint="eastAsia" w:cs="Times New Roman"/>
                      <w:color w:val="auto"/>
                      <w:sz w:val="21"/>
                      <w:szCs w:val="21"/>
                      <w:highlight w:val="none"/>
                      <w:lang w:eastAsia="zh-CN"/>
                    </w:rPr>
                    <w:t>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2套集气罩+收尘风管+布袋除尘器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处理后将通过35m高排气筒排放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DA014</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块煤散装粉尘收集进入“1套集气罩+收尘风管+布袋除尘器”处理后通过16m高排气筒排放（DA015）；2#块煤散装粉尘收集进入“1套集气罩+收尘风管+布袋除尘器”处理后通过16m高排气筒排放（DA016）；1#煤粉散装粉尘收集进入“1套集气罩+收尘风管+布袋除尘器”处理后通过16m高排气筒排放（DA017）；2#煤粉散装粉尘收集进入“1套集气罩+收尘风管+布袋除尘器”处理后通过16m高排气筒排放（DA018）；</w:t>
                  </w:r>
                  <w:r>
                    <w:rPr>
                      <w:rFonts w:hint="eastAsia" w:cs="Times New Roman"/>
                      <w:color w:val="auto"/>
                      <w:kern w:val="2"/>
                      <w:sz w:val="21"/>
                      <w:szCs w:val="21"/>
                      <w:highlight w:val="none"/>
                      <w:lang w:val="en-US" w:eastAsia="zh-CN" w:bidi="ar-SA"/>
                    </w:rPr>
                    <w:t>氨水储罐废气设置1个容积为20m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vertAlign w:val="baseline"/>
                      <w:lang w:val="en-US" w:eastAsia="zh-CN" w:bidi="ar-SA"/>
                    </w:rPr>
                    <w:t>的清水罐进行吸收；</w:t>
                  </w:r>
                  <w:r>
                    <w:rPr>
                      <w:rFonts w:hint="eastAsia" w:cs="Times New Roman"/>
                      <w:color w:val="auto"/>
                      <w:kern w:val="0"/>
                      <w:sz w:val="21"/>
                      <w:szCs w:val="21"/>
                      <w:highlight w:val="none"/>
                      <w:lang w:val="en-US" w:eastAsia="zh-CN"/>
                    </w:rPr>
                    <w:t>石灰石粉储罐粉尘收集进入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1套布袋除尘器”处理后通过16m高排气筒排放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color w:val="auto"/>
                      <w:sz w:val="21"/>
                      <w:szCs w:val="21"/>
                      <w:highlight w:val="none"/>
                    </w:rPr>
                    <w:t>本项目废气均设置合理的处置措施处理后达标排放，不存在偷排</w:t>
                  </w:r>
                  <w:r>
                    <w:rPr>
                      <w:rFonts w:hint="default" w:ascii="Times New Roman" w:hAnsi="Times New Roman" w:eastAsia="宋体" w:cs="Times New Roman"/>
                      <w:snapToGrid w:val="0"/>
                      <w:color w:val="auto"/>
                      <w:kern w:val="0"/>
                      <w:sz w:val="21"/>
                      <w:szCs w:val="21"/>
                      <w:highlight w:val="none"/>
                    </w:rPr>
                    <w:t>。</w:t>
                  </w:r>
                </w:p>
              </w:tc>
              <w:tc>
                <w:tcPr>
                  <w:tcW w:w="949" w:type="dxa"/>
                  <w:vAlign w:val="center"/>
                </w:tcPr>
                <w:p w14:paraId="5552D45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14:paraId="35B68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7" w:type="dxa"/>
                  <w:vAlign w:val="center"/>
                </w:tcPr>
                <w:p w14:paraId="65243D5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3547" w:type="dxa"/>
                  <w:vMerge w:val="continue"/>
                  <w:vAlign w:val="center"/>
                </w:tcPr>
                <w:p w14:paraId="5AF0712C">
                  <w:pPr>
                    <w:widowControl/>
                    <w:jc w:val="center"/>
                    <w:rPr>
                      <w:rFonts w:hint="default" w:ascii="Times New Roman" w:hAnsi="Times New Roman" w:eastAsia="宋体" w:cs="Times New Roman"/>
                      <w:color w:val="auto"/>
                      <w:sz w:val="21"/>
                      <w:szCs w:val="21"/>
                      <w:highlight w:val="none"/>
                    </w:rPr>
                  </w:pPr>
                </w:p>
              </w:tc>
              <w:tc>
                <w:tcPr>
                  <w:tcW w:w="949" w:type="dxa"/>
                  <w:vAlign w:val="center"/>
                </w:tcPr>
                <w:p w14:paraId="627A8C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14:paraId="43E0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7" w:type="dxa"/>
                  <w:vAlign w:val="center"/>
                </w:tcPr>
                <w:p w14:paraId="12B7E33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3547" w:type="dxa"/>
                  <w:vAlign w:val="center"/>
                </w:tcPr>
                <w:p w14:paraId="5CDF8D84">
                  <w:pPr>
                    <w:widowControl/>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生产的产品</w:t>
                  </w:r>
                  <w:r>
                    <w:rPr>
                      <w:rFonts w:hint="eastAsia" w:cs="Times New Roman"/>
                      <w:color w:val="auto"/>
                      <w:highlight w:val="none"/>
                      <w:lang w:val="en-US" w:eastAsia="zh-CN"/>
                    </w:rPr>
                    <w:t>不</w:t>
                  </w:r>
                  <w:r>
                    <w:rPr>
                      <w:rFonts w:hint="default" w:ascii="Times New Roman" w:hAnsi="Times New Roman" w:eastAsia="宋体" w:cs="Times New Roman"/>
                      <w:color w:val="auto"/>
                      <w:highlight w:val="none"/>
                    </w:rPr>
                    <w:t>含挥发性有机物。</w:t>
                  </w:r>
                </w:p>
              </w:tc>
              <w:tc>
                <w:tcPr>
                  <w:tcW w:w="949" w:type="dxa"/>
                  <w:vAlign w:val="center"/>
                </w:tcPr>
                <w:p w14:paraId="3A2392A4">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bl>
          <w:p w14:paraId="01D95758">
            <w:pPr>
              <w:pStyle w:val="16"/>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Cs/>
                <w:color w:val="auto"/>
                <w:spacing w:val="4"/>
                <w:kern w:val="24"/>
                <w:sz w:val="24"/>
                <w:szCs w:val="24"/>
                <w:highlight w:val="none"/>
                <w:lang w:bidi="ar"/>
              </w:rPr>
              <w:t>综上，</w:t>
            </w:r>
            <w:r>
              <w:rPr>
                <w:rFonts w:hint="default" w:ascii="Times New Roman" w:hAnsi="Times New Roman" w:eastAsia="宋体" w:cs="Times New Roman"/>
                <w:color w:val="auto"/>
                <w:kern w:val="0"/>
                <w:sz w:val="24"/>
                <w:highlight w:val="none"/>
              </w:rPr>
              <w:t>项目符合</w:t>
            </w:r>
            <w:r>
              <w:rPr>
                <w:rFonts w:hint="default" w:ascii="Times New Roman" w:hAnsi="Times New Roman" w:eastAsia="宋体" w:cs="Times New Roman"/>
                <w:color w:val="auto"/>
                <w:sz w:val="24"/>
                <w:highlight w:val="none"/>
              </w:rPr>
              <w:t>《昆明市大气污染防治条例》要求。</w:t>
            </w:r>
          </w:p>
          <w:p w14:paraId="1E14520D">
            <w:pPr>
              <w:pStyle w:val="84"/>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pacing w:val="4"/>
                <w:kern w:val="24"/>
                <w:szCs w:val="21"/>
                <w:highlight w:val="none"/>
                <w:lang w:bidi="ar"/>
              </w:rPr>
            </w:pPr>
            <w:r>
              <w:rPr>
                <w:rFonts w:hint="eastAsia" w:cs="Times New Roman"/>
                <w:b/>
                <w:bCs w:val="0"/>
                <w:color w:val="auto"/>
                <w:sz w:val="24"/>
                <w:szCs w:val="24"/>
                <w:highlight w:val="none"/>
                <w:lang w:val="en-US" w:eastAsia="zh-CN"/>
              </w:rPr>
              <w:t>9</w:t>
            </w:r>
            <w:r>
              <w:rPr>
                <w:rFonts w:hint="eastAsia" w:ascii="Times New Roman" w:hAnsi="Times New Roman" w:cs="Times New Roman"/>
                <w:b/>
                <w:bCs w:val="0"/>
                <w:color w:val="auto"/>
                <w:sz w:val="24"/>
                <w:szCs w:val="24"/>
                <w:highlight w:val="none"/>
                <w:lang w:val="en-US" w:eastAsia="zh-CN"/>
              </w:rPr>
              <w:t>、与</w:t>
            </w:r>
            <w:r>
              <w:rPr>
                <w:rFonts w:hint="default" w:ascii="Times New Roman" w:hAnsi="Times New Roman" w:eastAsia="宋体" w:cs="Times New Roman"/>
                <w:b/>
                <w:color w:val="auto"/>
                <w:spacing w:val="4"/>
                <w:kern w:val="24"/>
                <w:sz w:val="24"/>
                <w:highlight w:val="none"/>
                <w:lang w:bidi="ar"/>
              </w:rPr>
              <w:t>《</w:t>
            </w:r>
            <w:r>
              <w:rPr>
                <w:rFonts w:hint="eastAsia" w:ascii="Times New Roman" w:hAnsi="Times New Roman" w:eastAsia="宋体" w:cs="Times New Roman"/>
                <w:b/>
                <w:color w:val="auto"/>
                <w:spacing w:val="4"/>
                <w:kern w:val="24"/>
                <w:sz w:val="24"/>
                <w:highlight w:val="none"/>
                <w:lang w:eastAsia="zh-CN" w:bidi="ar"/>
              </w:rPr>
              <w:t>中华人民共和国大气污染防治法</w:t>
            </w:r>
            <w:r>
              <w:rPr>
                <w:rFonts w:hint="default" w:ascii="Times New Roman" w:hAnsi="Times New Roman" w:eastAsia="宋体" w:cs="Times New Roman"/>
                <w:b/>
                <w:color w:val="auto"/>
                <w:spacing w:val="4"/>
                <w:kern w:val="24"/>
                <w:sz w:val="24"/>
                <w:highlight w:val="none"/>
                <w:lang w:bidi="ar"/>
              </w:rPr>
              <w:t>》相符性分析</w:t>
            </w:r>
          </w:p>
          <w:p w14:paraId="5B85D558">
            <w:pPr>
              <w:jc w:val="center"/>
              <w:rPr>
                <w:rFonts w:hint="default" w:ascii="Times New Roman" w:hAnsi="Times New Roman" w:eastAsia="宋体" w:cs="Times New Roman"/>
                <w:b/>
                <w:color w:val="auto"/>
                <w:spacing w:val="4"/>
                <w:kern w:val="24"/>
                <w:szCs w:val="21"/>
                <w:highlight w:val="none"/>
                <w:lang w:bidi="ar"/>
              </w:rPr>
            </w:pPr>
            <w:r>
              <w:rPr>
                <w:rFonts w:hint="default" w:ascii="Times New Roman" w:hAnsi="Times New Roman" w:eastAsia="宋体" w:cs="Times New Roman"/>
                <w:b/>
                <w:color w:val="auto"/>
                <w:spacing w:val="4"/>
                <w:kern w:val="24"/>
                <w:szCs w:val="21"/>
                <w:highlight w:val="none"/>
                <w:lang w:bidi="ar"/>
              </w:rPr>
              <w:t>表1-</w:t>
            </w:r>
            <w:r>
              <w:rPr>
                <w:rFonts w:hint="eastAsia" w:ascii="Times New Roman" w:hAnsi="Times New Roman" w:eastAsia="宋体" w:cs="Times New Roman"/>
                <w:b/>
                <w:color w:val="auto"/>
                <w:spacing w:val="4"/>
                <w:kern w:val="24"/>
                <w:szCs w:val="21"/>
                <w:highlight w:val="none"/>
                <w:lang w:val="en-US" w:eastAsia="zh-CN" w:bidi="ar"/>
              </w:rPr>
              <w:t>1</w:t>
            </w:r>
            <w:r>
              <w:rPr>
                <w:rFonts w:hint="eastAsia" w:cs="Times New Roman"/>
                <w:b/>
                <w:color w:val="auto"/>
                <w:spacing w:val="4"/>
                <w:kern w:val="24"/>
                <w:szCs w:val="21"/>
                <w:highlight w:val="none"/>
                <w:lang w:val="en-US" w:eastAsia="zh-CN" w:bidi="ar"/>
              </w:rPr>
              <w:t>1</w:t>
            </w:r>
            <w:r>
              <w:rPr>
                <w:rFonts w:hint="default" w:ascii="Times New Roman" w:hAnsi="Times New Roman" w:eastAsia="宋体" w:cs="Times New Roman"/>
                <w:b/>
                <w:color w:val="auto"/>
                <w:spacing w:val="4"/>
                <w:kern w:val="24"/>
                <w:szCs w:val="21"/>
                <w:highlight w:val="none"/>
                <w:lang w:val="en-US" w:eastAsia="zh-CN" w:bidi="ar"/>
              </w:rPr>
              <w:t xml:space="preserve"> </w:t>
            </w:r>
            <w:r>
              <w:rPr>
                <w:rFonts w:hint="default" w:ascii="Times New Roman" w:hAnsi="Times New Roman" w:eastAsia="宋体" w:cs="Times New Roman"/>
                <w:b/>
                <w:color w:val="auto"/>
                <w:spacing w:val="4"/>
                <w:kern w:val="24"/>
                <w:szCs w:val="21"/>
                <w:highlight w:val="none"/>
                <w:lang w:bidi="ar"/>
              </w:rPr>
              <w:t xml:space="preserve"> 与</w:t>
            </w:r>
            <w:r>
              <w:rPr>
                <w:rFonts w:hint="default" w:ascii="Times New Roman" w:hAnsi="Times New Roman" w:eastAsia="宋体" w:cs="Times New Roman"/>
                <w:b/>
                <w:color w:val="auto"/>
                <w:spacing w:val="4"/>
                <w:kern w:val="24"/>
                <w:sz w:val="21"/>
                <w:szCs w:val="21"/>
                <w:highlight w:val="none"/>
                <w:lang w:bidi="ar"/>
              </w:rPr>
              <w:t>《</w:t>
            </w:r>
            <w:r>
              <w:rPr>
                <w:rFonts w:hint="eastAsia" w:ascii="Times New Roman" w:hAnsi="Times New Roman" w:eastAsia="宋体" w:cs="Times New Roman"/>
                <w:b/>
                <w:color w:val="auto"/>
                <w:spacing w:val="4"/>
                <w:kern w:val="24"/>
                <w:sz w:val="21"/>
                <w:szCs w:val="21"/>
                <w:highlight w:val="none"/>
                <w:lang w:eastAsia="zh-CN" w:bidi="ar"/>
              </w:rPr>
              <w:t>中华人民共和国大气污染防治法</w:t>
            </w:r>
            <w:r>
              <w:rPr>
                <w:rFonts w:hint="default" w:ascii="Times New Roman" w:hAnsi="Times New Roman" w:eastAsia="宋体" w:cs="Times New Roman"/>
                <w:b/>
                <w:color w:val="auto"/>
                <w:spacing w:val="4"/>
                <w:kern w:val="24"/>
                <w:sz w:val="21"/>
                <w:szCs w:val="21"/>
                <w:highlight w:val="none"/>
                <w:lang w:bidi="ar"/>
              </w:rPr>
              <w:t>》</w:t>
            </w:r>
            <w:r>
              <w:rPr>
                <w:rFonts w:hint="default" w:ascii="Times New Roman" w:hAnsi="Times New Roman" w:eastAsia="宋体" w:cs="Times New Roman"/>
                <w:b/>
                <w:color w:val="auto"/>
                <w:spacing w:val="4"/>
                <w:kern w:val="24"/>
                <w:szCs w:val="21"/>
                <w:highlight w:val="none"/>
                <w:lang w:bidi="ar"/>
              </w:rPr>
              <w:t>符合性分析</w:t>
            </w:r>
          </w:p>
          <w:tbl>
            <w:tblPr>
              <w:tblStyle w:val="27"/>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7"/>
              <w:gridCol w:w="3547"/>
              <w:gridCol w:w="949"/>
            </w:tblGrid>
            <w:tr w14:paraId="40C9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387" w:type="dxa"/>
                  <w:vAlign w:val="center"/>
                </w:tcPr>
                <w:p w14:paraId="19C408CC">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相关要求</w:t>
                  </w:r>
                </w:p>
              </w:tc>
              <w:tc>
                <w:tcPr>
                  <w:tcW w:w="3547" w:type="dxa"/>
                  <w:vAlign w:val="center"/>
                </w:tcPr>
                <w:p w14:paraId="75511107">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项目情况</w:t>
                  </w:r>
                </w:p>
              </w:tc>
              <w:tc>
                <w:tcPr>
                  <w:tcW w:w="949" w:type="dxa"/>
                  <w:vAlign w:val="center"/>
                </w:tcPr>
                <w:p w14:paraId="1DF3503F">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符合性</w:t>
                  </w:r>
                </w:p>
              </w:tc>
            </w:tr>
            <w:tr w14:paraId="30DA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7" w:type="dxa"/>
                  <w:vAlign w:val="center"/>
                </w:tcPr>
                <w:p w14:paraId="3C863D6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防治大气污染，应当加强对燃煤、工业、机动车船、扬尘、农业等大气污染的综合防治，推行区域大气污染联合防治，对颗粒物、二氧化硫、氮氧化物、挥发性有机物、氨等大气污染物和温室气体实施协同控制。</w:t>
                  </w:r>
                </w:p>
              </w:tc>
              <w:tc>
                <w:tcPr>
                  <w:tcW w:w="3547" w:type="dxa"/>
                  <w:vAlign w:val="center"/>
                </w:tcPr>
                <w:p w14:paraId="49E70E5E">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w:t>
                  </w:r>
                  <w:r>
                    <w:rPr>
                      <w:rFonts w:hint="eastAsia" w:cs="Times New Roman"/>
                      <w:color w:val="auto"/>
                      <w:szCs w:val="21"/>
                      <w:highlight w:val="none"/>
                      <w:lang w:eastAsia="zh-CN"/>
                    </w:rPr>
                    <w:t>卸料扬</w:t>
                  </w:r>
                  <w:r>
                    <w:rPr>
                      <w:rFonts w:hint="default" w:ascii="Times New Roman" w:hAnsi="Times New Roman" w:eastAsia="宋体" w:cs="Times New Roman"/>
                      <w:color w:val="auto"/>
                      <w:szCs w:val="21"/>
                      <w:highlight w:val="none"/>
                    </w:rPr>
                    <w:t>尘</w:t>
                  </w:r>
                  <w:r>
                    <w:rPr>
                      <w:rFonts w:hint="default" w:ascii="Times New Roman" w:hAnsi="Times New Roman" w:eastAsia="宋体" w:cs="Times New Roman"/>
                      <w:color w:val="auto"/>
                      <w:sz w:val="21"/>
                      <w:szCs w:val="21"/>
                      <w:highlight w:val="none"/>
                      <w:lang w:val="en-US"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1套集气罩+收尘风管+布袋除尘器”处理后将通过15.5m高排气筒排放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破碎粉尘</w:t>
                  </w:r>
                  <w:r>
                    <w:rPr>
                      <w:rFonts w:hint="default" w:ascii="Times New Roman" w:hAnsi="Times New Roman" w:eastAsia="宋体" w:cs="Times New Roman"/>
                      <w:color w:val="auto"/>
                      <w:sz w:val="21"/>
                      <w:szCs w:val="21"/>
                      <w:highlight w:val="none"/>
                      <w:lang w:val="en-US"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1套集气罩+收尘风管+布袋除尘器”处理后将通过15.5m高排气筒排放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kern w:val="2"/>
                      <w:sz w:val="21"/>
                      <w:szCs w:val="21"/>
                      <w:highlight w:val="none"/>
                      <w:lang w:val="en-US" w:eastAsia="zh-CN" w:bidi="ar-SA"/>
                    </w:rPr>
                    <w:t>原料</w:t>
                  </w:r>
                  <w:r>
                    <w:rPr>
                      <w:rFonts w:hint="eastAsia" w:ascii="Times New Roman" w:hAnsi="Times New Roman" w:eastAsia="宋体" w:cs="Times New Roman"/>
                      <w:color w:val="auto"/>
                      <w:kern w:val="2"/>
                      <w:sz w:val="21"/>
                      <w:szCs w:val="21"/>
                      <w:highlight w:val="none"/>
                      <w:lang w:val="en-US" w:eastAsia="zh-CN" w:bidi="ar-SA"/>
                    </w:rPr>
                    <w:t>转载</w:t>
                  </w:r>
                  <w:r>
                    <w:rPr>
                      <w:rFonts w:hint="eastAsia" w:cs="Times New Roman"/>
                      <w:color w:val="auto"/>
                      <w:kern w:val="2"/>
                      <w:sz w:val="21"/>
                      <w:szCs w:val="21"/>
                      <w:highlight w:val="none"/>
                      <w:lang w:val="en-US" w:eastAsia="zh-CN" w:bidi="ar-SA"/>
                    </w:rPr>
                    <w:t>点</w:t>
                  </w:r>
                  <w:r>
                    <w:rPr>
                      <w:rFonts w:hint="eastAsia" w:ascii="Times New Roman" w:hAnsi="Times New Roman" w:eastAsia="宋体" w:cs="Times New Roman"/>
                      <w:color w:val="auto"/>
                      <w:kern w:val="2"/>
                      <w:sz w:val="21"/>
                      <w:szCs w:val="21"/>
                      <w:highlight w:val="none"/>
                      <w:lang w:val="en-US" w:eastAsia="zh-CN" w:bidi="ar-SA"/>
                    </w:rPr>
                    <w:t>落料粉尘</w:t>
                  </w:r>
                  <w:r>
                    <w:rPr>
                      <w:rFonts w:hint="default" w:ascii="Times New Roman" w:hAnsi="Times New Roman" w:eastAsia="宋体" w:cs="Times New Roman"/>
                      <w:color w:val="auto"/>
                      <w:sz w:val="21"/>
                      <w:szCs w:val="21"/>
                      <w:highlight w:val="none"/>
                      <w:lang w:val="en-US"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1套集气罩+收尘风管+布袋除尘器”处理后将通过15.5m高排气筒排放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kern w:val="2"/>
                      <w:sz w:val="21"/>
                      <w:szCs w:val="21"/>
                      <w:highlight w:val="none"/>
                      <w:lang w:val="en-US" w:eastAsia="zh-CN" w:bidi="ar-SA"/>
                    </w:rPr>
                    <w:t>喂煤仓</w:t>
                  </w:r>
                  <w:r>
                    <w:rPr>
                      <w:rFonts w:hint="eastAsia" w:ascii="Times New Roman" w:hAnsi="Times New Roman" w:eastAsia="宋体" w:cs="Times New Roman"/>
                      <w:color w:val="auto"/>
                      <w:kern w:val="2"/>
                      <w:sz w:val="21"/>
                      <w:szCs w:val="21"/>
                      <w:highlight w:val="none"/>
                      <w:lang w:val="en-US" w:eastAsia="zh-CN" w:bidi="ar-SA"/>
                    </w:rPr>
                    <w:t>粉尘</w:t>
                  </w:r>
                  <w:r>
                    <w:rPr>
                      <w:rFonts w:hint="eastAsia" w:cs="Times New Roman"/>
                      <w:color w:val="auto"/>
                      <w:sz w:val="21"/>
                      <w:szCs w:val="21"/>
                      <w:highlight w:val="none"/>
                      <w:lang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处理后将通过36m高排气筒排放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DA004</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烘干废气收集进入</w:t>
                  </w:r>
                  <w:r>
                    <w:rPr>
                      <w:rFonts w:hint="default" w:ascii="Times New Roman" w:hAnsi="Times New Roman" w:eastAsia="宋体" w:cs="Times New Roman"/>
                      <w:color w:val="auto"/>
                      <w:sz w:val="21"/>
                      <w:szCs w:val="21"/>
                      <w:highlight w:val="none"/>
                    </w:rPr>
                    <w:t>“</w:t>
                  </w:r>
                  <w:r>
                    <w:rPr>
                      <w:rFonts w:hint="eastAsia"/>
                      <w:color w:val="auto"/>
                      <w:sz w:val="21"/>
                      <w:szCs w:val="21"/>
                      <w:highlight w:val="none"/>
                    </w:rPr>
                    <w:t>炉内喷钙脱硫</w:t>
                  </w:r>
                  <w:r>
                    <w:rPr>
                      <w:rFonts w:hint="eastAsia"/>
                      <w:color w:val="auto"/>
                      <w:sz w:val="21"/>
                      <w:szCs w:val="21"/>
                      <w:highlight w:val="none"/>
                      <w:lang w:eastAsia="zh-CN"/>
                    </w:rPr>
                    <w:t>（</w:t>
                  </w:r>
                  <w:r>
                    <w:rPr>
                      <w:rFonts w:hint="eastAsia"/>
                      <w:color w:val="auto"/>
                      <w:sz w:val="21"/>
                      <w:szCs w:val="21"/>
                      <w:highlight w:val="none"/>
                    </w:rPr>
                    <w:t>结合尾部烟气的增湿活化脱硫效应</w:t>
                  </w:r>
                  <w:r>
                    <w:rPr>
                      <w:rFonts w:hint="eastAsia"/>
                      <w:color w:val="auto"/>
                      <w:sz w:val="21"/>
                      <w:szCs w:val="21"/>
                      <w:highlight w:val="none"/>
                      <w:lang w:eastAsia="zh-CN"/>
                    </w:rPr>
                    <w:t>）</w:t>
                  </w:r>
                  <w:r>
                    <w:rPr>
                      <w:rFonts w:hint="eastAsia"/>
                      <w:color w:val="auto"/>
                      <w:sz w:val="21"/>
                      <w:szCs w:val="21"/>
                      <w:highlight w:val="none"/>
                      <w:lang w:val="en-US" w:eastAsia="zh-CN"/>
                    </w:rPr>
                    <w:t>+分级燃烧+</w:t>
                  </w:r>
                  <w:r>
                    <w:rPr>
                      <w:rFonts w:hint="eastAsia"/>
                      <w:color w:val="auto"/>
                      <w:sz w:val="21"/>
                      <w:szCs w:val="21"/>
                      <w:highlight w:val="none"/>
                    </w:rPr>
                    <w:t>SNCR</w:t>
                  </w:r>
                  <w:r>
                    <w:rPr>
                      <w:rFonts w:hint="eastAsia"/>
                      <w:color w:val="auto"/>
                      <w:sz w:val="21"/>
                      <w:szCs w:val="21"/>
                      <w:highlight w:val="none"/>
                      <w:lang w:val="en-US" w:eastAsia="zh-CN"/>
                    </w:rPr>
                    <w:t>喷氨</w:t>
                  </w:r>
                  <w:r>
                    <w:rPr>
                      <w:rFonts w:hint="eastAsia"/>
                      <w:color w:val="auto"/>
                      <w:sz w:val="21"/>
                      <w:szCs w:val="21"/>
                      <w:highlight w:val="none"/>
                    </w:rPr>
                    <w:t>脱硝</w:t>
                  </w:r>
                  <w:r>
                    <w:rPr>
                      <w:rFonts w:hint="eastAsia" w:cs="Times New Roman"/>
                      <w:color w:val="auto"/>
                      <w:sz w:val="21"/>
                      <w:szCs w:val="21"/>
                      <w:highlight w:val="none"/>
                      <w:lang w:val="en-US" w:eastAsia="zh-CN"/>
                    </w:rPr>
                    <w:t>+1套</w:t>
                  </w:r>
                  <w:r>
                    <w:rPr>
                      <w:rFonts w:hint="eastAsia"/>
                      <w:color w:val="auto"/>
                      <w:sz w:val="21"/>
                      <w:szCs w:val="21"/>
                      <w:highlight w:val="none"/>
                    </w:rPr>
                    <w:t>脉冲袋式除尘器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处理后将通过25m高排气筒排放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DA005</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1#燃料仓粉尘收集进入“1套布袋除尘器”处理后通过20.5m高排气筒排放（DA006）；2#燃料仓粉尘收集进入“1套布袋除尘器”处理后通过20.5m高排气筒排放（DA007）；1#煤粉仓粉尘收集进入“1套布袋除尘器”处理后通过15.5m高排气筒排放（DA008）；2#煤粉仓粉尘收集进入“1套布袋除尘器”处理后通过26.5m高排气筒排放（DA009）；3#煤粉仓粉尘收集进入“1套布袋除尘器”处理后通过26.5m高排气筒排放（DA010）；</w:t>
                  </w:r>
                  <w:r>
                    <w:rPr>
                      <w:rFonts w:hint="eastAsia"/>
                      <w:color w:val="auto"/>
                      <w:sz w:val="21"/>
                      <w:szCs w:val="21"/>
                      <w:highlight w:val="none"/>
                    </w:rPr>
                    <w:t>出烘干机皮带转运</w:t>
                  </w:r>
                  <w:r>
                    <w:rPr>
                      <w:rFonts w:hint="eastAsia"/>
                      <w:color w:val="auto"/>
                      <w:sz w:val="21"/>
                      <w:szCs w:val="21"/>
                      <w:highlight w:val="none"/>
                      <w:lang w:eastAsia="zh-CN"/>
                    </w:rPr>
                    <w:t>粉尘收</w:t>
                  </w:r>
                  <w:r>
                    <w:rPr>
                      <w:rFonts w:hint="eastAsia" w:cs="Times New Roman"/>
                      <w:color w:val="auto"/>
                      <w:sz w:val="21"/>
                      <w:szCs w:val="21"/>
                      <w:highlight w:val="none"/>
                      <w:lang w:eastAsia="zh-CN"/>
                    </w:rPr>
                    <w:t>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处理后将通过20m高排气筒排放</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DA011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cs="Times New Roman"/>
                      <w:bCs/>
                      <w:color w:val="auto"/>
                      <w:sz w:val="21"/>
                      <w:szCs w:val="21"/>
                      <w:highlight w:val="none"/>
                      <w:lang w:eastAsia="zh-CN"/>
                    </w:rPr>
                    <w:t>进</w:t>
                  </w:r>
                  <w:r>
                    <w:rPr>
                      <w:rFonts w:hint="eastAsia" w:ascii="Times New Roman" w:hAnsi="Times New Roman" w:eastAsia="宋体" w:cs="Times New Roman"/>
                      <w:bCs/>
                      <w:color w:val="auto"/>
                      <w:sz w:val="21"/>
                      <w:szCs w:val="21"/>
                      <w:highlight w:val="none"/>
                      <w:lang w:eastAsia="zh-CN"/>
                    </w:rPr>
                    <w:t>成品堆棚皮带转运粉尘</w:t>
                  </w:r>
                  <w:r>
                    <w:rPr>
                      <w:rFonts w:hint="eastAsia"/>
                      <w:color w:val="auto"/>
                      <w:sz w:val="21"/>
                      <w:szCs w:val="21"/>
                      <w:highlight w:val="none"/>
                      <w:lang w:eastAsia="zh-CN"/>
                    </w:rPr>
                    <w:t>收</w:t>
                  </w:r>
                  <w:r>
                    <w:rPr>
                      <w:rFonts w:hint="eastAsia" w:cs="Times New Roman"/>
                      <w:color w:val="auto"/>
                      <w:sz w:val="21"/>
                      <w:szCs w:val="21"/>
                      <w:highlight w:val="none"/>
                      <w:lang w:eastAsia="zh-CN"/>
                    </w:rPr>
                    <w:t>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处理后将通过26.5m高排气筒排放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DA012</w:t>
                  </w:r>
                  <w:r>
                    <w:rPr>
                      <w:rFonts w:hint="eastAsia" w:cs="Times New Roman"/>
                      <w:color w:val="auto"/>
                      <w:sz w:val="21"/>
                      <w:szCs w:val="21"/>
                      <w:highlight w:val="none"/>
                      <w:lang w:eastAsia="zh-CN"/>
                    </w:rPr>
                    <w:t>）；</w:t>
                  </w:r>
                  <w:r>
                    <w:rPr>
                      <w:rFonts w:hint="eastAsia" w:ascii="Times New Roman" w:hAnsi="Times New Roman" w:eastAsia="宋体" w:cs="Times New Roman"/>
                      <w:bCs/>
                      <w:color w:val="auto"/>
                      <w:sz w:val="21"/>
                      <w:szCs w:val="21"/>
                      <w:highlight w:val="none"/>
                      <w:lang w:eastAsia="zh-CN"/>
                    </w:rPr>
                    <w:t>出成品堆棚皮带转运粉尘</w:t>
                  </w:r>
                  <w:r>
                    <w:rPr>
                      <w:rFonts w:hint="eastAsia"/>
                      <w:color w:val="auto"/>
                      <w:sz w:val="21"/>
                      <w:szCs w:val="21"/>
                      <w:highlight w:val="none"/>
                      <w:lang w:eastAsia="zh-CN"/>
                    </w:rPr>
                    <w:t>收</w:t>
                  </w:r>
                  <w:r>
                    <w:rPr>
                      <w:rFonts w:hint="eastAsia" w:cs="Times New Roman"/>
                      <w:color w:val="auto"/>
                      <w:sz w:val="21"/>
                      <w:szCs w:val="21"/>
                      <w:highlight w:val="none"/>
                      <w:lang w:eastAsia="zh-CN"/>
                    </w:rPr>
                    <w:t>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处理后将通过32.5m高排气筒排放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DA013</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出成品装车车间皮带转运</w:t>
                  </w:r>
                  <w:r>
                    <w:rPr>
                      <w:rFonts w:hint="eastAsia" w:ascii="Times New Roman" w:hAnsi="Times New Roman" w:eastAsia="宋体" w:cs="Times New Roman"/>
                      <w:bCs/>
                      <w:color w:val="auto"/>
                      <w:sz w:val="21"/>
                      <w:szCs w:val="21"/>
                      <w:highlight w:val="none"/>
                      <w:lang w:eastAsia="zh-CN"/>
                    </w:rPr>
                    <w:t>粉尘</w:t>
                  </w:r>
                  <w:r>
                    <w:rPr>
                      <w:rFonts w:hint="eastAsia"/>
                      <w:color w:val="auto"/>
                      <w:sz w:val="21"/>
                      <w:szCs w:val="21"/>
                      <w:highlight w:val="none"/>
                      <w:lang w:eastAsia="zh-CN"/>
                    </w:rPr>
                    <w:t>收</w:t>
                  </w:r>
                  <w:r>
                    <w:rPr>
                      <w:rFonts w:hint="eastAsia" w:cs="Times New Roman"/>
                      <w:color w:val="auto"/>
                      <w:sz w:val="21"/>
                      <w:szCs w:val="21"/>
                      <w:highlight w:val="none"/>
                      <w:lang w:eastAsia="zh-CN"/>
                    </w:rPr>
                    <w:t>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2套集气罩+收尘风管+布袋除尘器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处理后将通过35m高排气筒排放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DA014</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块煤散装粉尘收集进入“1套集气罩+收尘风管+布袋除尘器”处理后通过16m高排气筒排放（DA015）；2#块煤散装粉尘收集进入“1套集气罩+收尘风管+布袋除尘器”处理后通过16m高排气筒排放（DA016）；1#煤粉散装粉尘收集进入“1套集气罩+收尘风管+布袋除尘器”处理后通过16m高排气筒排放（DA017）；2#煤粉散装粉尘收集进入“1套集气罩+收尘风管+布袋除尘器”处理后通过16m高排气筒排放（DA018）；</w:t>
                  </w:r>
                  <w:r>
                    <w:rPr>
                      <w:rFonts w:hint="eastAsia" w:cs="Times New Roman"/>
                      <w:color w:val="auto"/>
                      <w:kern w:val="2"/>
                      <w:sz w:val="21"/>
                      <w:szCs w:val="21"/>
                      <w:highlight w:val="none"/>
                      <w:lang w:val="en-US" w:eastAsia="zh-CN" w:bidi="ar-SA"/>
                    </w:rPr>
                    <w:t>氨水储罐废气设置1个容积为20m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vertAlign w:val="baseline"/>
                      <w:lang w:val="en-US" w:eastAsia="zh-CN" w:bidi="ar-SA"/>
                    </w:rPr>
                    <w:t>的清水罐进行吸收；</w:t>
                  </w:r>
                  <w:r>
                    <w:rPr>
                      <w:rFonts w:hint="eastAsia" w:cs="Times New Roman"/>
                      <w:color w:val="auto"/>
                      <w:kern w:val="0"/>
                      <w:sz w:val="21"/>
                      <w:szCs w:val="21"/>
                      <w:highlight w:val="none"/>
                      <w:lang w:val="en-US" w:eastAsia="zh-CN"/>
                    </w:rPr>
                    <w:t>石灰石粉储罐粉尘收集进入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1套布袋除尘器”处理后通过16m高排气筒排放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color w:val="auto"/>
                      <w:sz w:val="21"/>
                      <w:szCs w:val="21"/>
                      <w:highlight w:val="none"/>
                    </w:rPr>
                    <w:t>本项目废气均设置合理的处置措施处理后达标排放</w:t>
                  </w:r>
                  <w:r>
                    <w:rPr>
                      <w:rFonts w:hint="eastAsia" w:ascii="Times New Roman" w:hAnsi="Times New Roman" w:eastAsia="宋体" w:cs="Times New Roman"/>
                      <w:color w:val="auto"/>
                      <w:sz w:val="21"/>
                      <w:szCs w:val="21"/>
                      <w:highlight w:val="none"/>
                      <w:lang w:eastAsia="zh-CN"/>
                    </w:rPr>
                    <w:t>。</w:t>
                  </w:r>
                </w:p>
              </w:tc>
              <w:tc>
                <w:tcPr>
                  <w:tcW w:w="949" w:type="dxa"/>
                  <w:vAlign w:val="center"/>
                </w:tcPr>
                <w:p w14:paraId="21F20AC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14:paraId="3E8E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7" w:type="dxa"/>
                  <w:vAlign w:val="center"/>
                </w:tcPr>
                <w:p w14:paraId="27B8B92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单位存放煤炭、煤矸石、煤渣、煤灰等物料，应当采取防燃措施，防止大气污染。</w:t>
                  </w:r>
                </w:p>
              </w:tc>
              <w:tc>
                <w:tcPr>
                  <w:tcW w:w="3547" w:type="dxa"/>
                  <w:vAlign w:val="center"/>
                </w:tcPr>
                <w:p w14:paraId="5069636D">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本项目原料堆棚为全封闭，</w:t>
                  </w:r>
                  <w:r>
                    <w:rPr>
                      <w:rFonts w:hint="default" w:ascii="Times New Roman" w:hAnsi="Times New Roman" w:eastAsia="宋体" w:cs="Times New Roman"/>
                      <w:color w:val="auto"/>
                      <w:sz w:val="21"/>
                      <w:szCs w:val="21"/>
                      <w:highlight w:val="none"/>
                      <w:lang w:eastAsia="zh-CN"/>
                    </w:rPr>
                    <w:t>其产生的无组织扬尘</w:t>
                  </w:r>
                  <w:r>
                    <w:rPr>
                      <w:rFonts w:hint="eastAsia" w:ascii="Times New Roman" w:hAnsi="Times New Roman" w:eastAsia="宋体" w:cs="Times New Roman"/>
                      <w:color w:val="auto"/>
                      <w:sz w:val="21"/>
                      <w:szCs w:val="21"/>
                      <w:highlight w:val="none"/>
                      <w:lang w:eastAsia="zh-CN"/>
                    </w:rPr>
                    <w:t>均在堆棚内</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原料褐煤含水率为</w:t>
                  </w:r>
                  <w:r>
                    <w:rPr>
                      <w:rFonts w:hint="eastAsia" w:ascii="Times New Roman" w:hAnsi="Times New Roman" w:eastAsia="宋体" w:cs="Times New Roman"/>
                      <w:color w:val="auto"/>
                      <w:sz w:val="21"/>
                      <w:szCs w:val="21"/>
                      <w:highlight w:val="none"/>
                      <w:lang w:val="en-US" w:eastAsia="zh-CN"/>
                    </w:rPr>
                    <w:t>55%-60%，基本不会自燃。</w:t>
                  </w:r>
                  <w:r>
                    <w:rPr>
                      <w:rFonts w:hint="eastAsia" w:cs="Times New Roman"/>
                      <w:color w:val="auto"/>
                      <w:sz w:val="21"/>
                      <w:szCs w:val="21"/>
                      <w:highlight w:val="none"/>
                      <w:lang w:val="en-US" w:eastAsia="zh-CN"/>
                    </w:rPr>
                    <w:t>成品贮存在成品堆棚内，设有红外检测装置以及喷淋设施防止自燃。</w:t>
                  </w:r>
                </w:p>
              </w:tc>
              <w:tc>
                <w:tcPr>
                  <w:tcW w:w="949" w:type="dxa"/>
                  <w:vAlign w:val="center"/>
                </w:tcPr>
                <w:p w14:paraId="7EB8161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14:paraId="3CA2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7" w:type="dxa"/>
                  <w:vAlign w:val="center"/>
                </w:tcPr>
                <w:p w14:paraId="59967C78">
                  <w:pPr>
                    <w:jc w:val="center"/>
                    <w:rPr>
                      <w:rFonts w:hint="default" w:ascii="Times New Roman" w:hAnsi="Times New Roman" w:eastAsia="宋体" w:cs="Times New Roman"/>
                      <w:color w:val="auto"/>
                      <w:sz w:val="21"/>
                      <w:szCs w:val="21"/>
                      <w:highlight w:val="none"/>
                    </w:rPr>
                  </w:pPr>
                  <w:r>
                    <w:rPr>
                      <w:rFonts w:ascii="宋体" w:hAnsi="宋体" w:eastAsia="宋体" w:cs="宋体"/>
                      <w:color w:val="auto"/>
                      <w:sz w:val="21"/>
                      <w:szCs w:val="21"/>
                      <w:highlight w:val="none"/>
                    </w:rPr>
                    <w:t>在禁燃区内，禁止销售、燃用高污染燃料</w:t>
                  </w:r>
                  <w:r>
                    <w:rPr>
                      <w:rFonts w:hint="eastAsia" w:ascii="宋体" w:hAnsi="宋体" w:eastAsia="宋体" w:cs="宋体"/>
                      <w:color w:val="auto"/>
                      <w:sz w:val="21"/>
                      <w:szCs w:val="21"/>
                      <w:highlight w:val="none"/>
                      <w:lang w:eastAsia="zh-CN"/>
                    </w:rPr>
                    <w:t>；</w:t>
                  </w:r>
                  <w:r>
                    <w:rPr>
                      <w:rFonts w:ascii="宋体" w:hAnsi="宋体" w:eastAsia="宋体" w:cs="宋体"/>
                      <w:color w:val="auto"/>
                      <w:sz w:val="21"/>
                      <w:szCs w:val="21"/>
                      <w:highlight w:val="none"/>
                    </w:rPr>
                    <w:t>禁止新建、扩建燃用高污染燃料的设施，已建成的，应当在城市人民政府规定的期限内改用天然气、页岩气、液化石油气、电或者其他清洁能源。</w:t>
                  </w:r>
                </w:p>
              </w:tc>
              <w:tc>
                <w:tcPr>
                  <w:tcW w:w="3547" w:type="dxa"/>
                  <w:vAlign w:val="center"/>
                </w:tcPr>
                <w:p w14:paraId="2128EBBA">
                  <w:pPr>
                    <w:widowControl/>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本项</w:t>
                  </w:r>
                  <w:r>
                    <w:rPr>
                      <w:rFonts w:hint="eastAsia" w:cs="Times New Roman"/>
                      <w:color w:val="auto"/>
                      <w:highlight w:val="none"/>
                      <w:lang w:eastAsia="zh-CN"/>
                    </w:rPr>
                    <w:t>目在</w:t>
                  </w:r>
                  <w:r>
                    <w:rPr>
                      <w:rFonts w:hint="default" w:ascii="Times New Roman" w:hAnsi="Times New Roman" w:eastAsia="宋体" w:cs="Times New Roman"/>
                      <w:color w:val="auto"/>
                      <w:sz w:val="21"/>
                      <w:szCs w:val="21"/>
                      <w:highlight w:val="none"/>
                      <w:u w:val="none"/>
                      <w:lang w:val="en-US" w:eastAsia="zh-CN"/>
                    </w:rPr>
                    <w:t>云南寻甸产业园区金所片区金所组团内</w:t>
                  </w:r>
                  <w:r>
                    <w:rPr>
                      <w:rFonts w:hint="eastAsia" w:ascii="Times New Roman" w:hAnsi="Times New Roman" w:eastAsia="宋体" w:cs="Times New Roman"/>
                      <w:color w:val="auto"/>
                      <w:sz w:val="21"/>
                      <w:szCs w:val="21"/>
                      <w:highlight w:val="none"/>
                      <w:u w:val="none"/>
                      <w:lang w:val="en-US" w:eastAsia="zh-CN"/>
                    </w:rPr>
                    <w:t>，不属于禁燃区。</w:t>
                  </w:r>
                </w:p>
              </w:tc>
              <w:tc>
                <w:tcPr>
                  <w:tcW w:w="949" w:type="dxa"/>
                  <w:vAlign w:val="center"/>
                </w:tcPr>
                <w:p w14:paraId="3B770760">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r w14:paraId="3E62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3387" w:type="dxa"/>
                  <w:vAlign w:val="center"/>
                </w:tcPr>
                <w:p w14:paraId="3C37EA57">
                  <w:pPr>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燃煤电厂和其他燃煤单位应当采用清洁生产工艺，配套建设除尘、脱硫、脱硝等装置，或者采取技术改造等其他控制大气污染物排放的措施。国家鼓励燃煤单位采用先进的除尘、脱硫、脱硝、脱汞等大气污染物协同控制的技术和装置，减少大气污染物的排放。</w:t>
                  </w:r>
                </w:p>
              </w:tc>
              <w:tc>
                <w:tcPr>
                  <w:tcW w:w="3547" w:type="dxa"/>
                  <w:vMerge w:val="restart"/>
                  <w:vAlign w:val="center"/>
                </w:tcPr>
                <w:p w14:paraId="2FF119C2">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lang w:val="en-US" w:eastAsia="zh-CN"/>
                    </w:rPr>
                    <w:t>本项目</w:t>
                  </w:r>
                  <w:r>
                    <w:rPr>
                      <w:rFonts w:hint="eastAsia" w:cs="Times New Roman"/>
                      <w:color w:val="auto"/>
                      <w:szCs w:val="21"/>
                      <w:highlight w:val="none"/>
                      <w:lang w:eastAsia="zh-CN"/>
                    </w:rPr>
                    <w:t>卸料扬</w:t>
                  </w:r>
                  <w:r>
                    <w:rPr>
                      <w:rFonts w:hint="default" w:ascii="Times New Roman" w:hAnsi="Times New Roman" w:eastAsia="宋体" w:cs="Times New Roman"/>
                      <w:color w:val="auto"/>
                      <w:szCs w:val="21"/>
                      <w:highlight w:val="none"/>
                    </w:rPr>
                    <w:t>尘</w:t>
                  </w:r>
                  <w:r>
                    <w:rPr>
                      <w:rFonts w:hint="default" w:ascii="Times New Roman" w:hAnsi="Times New Roman" w:eastAsia="宋体" w:cs="Times New Roman"/>
                      <w:color w:val="auto"/>
                      <w:sz w:val="21"/>
                      <w:szCs w:val="21"/>
                      <w:highlight w:val="none"/>
                      <w:lang w:val="en-US"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1套集气罩+收尘风管+布袋除尘器”处理后将通过15.5m高排气筒排放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破碎粉尘</w:t>
                  </w:r>
                  <w:r>
                    <w:rPr>
                      <w:rFonts w:hint="default" w:ascii="Times New Roman" w:hAnsi="Times New Roman" w:eastAsia="宋体" w:cs="Times New Roman"/>
                      <w:color w:val="auto"/>
                      <w:sz w:val="21"/>
                      <w:szCs w:val="21"/>
                      <w:highlight w:val="none"/>
                      <w:lang w:val="en-US"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1套集气罩+收尘风管+布袋除尘器”处理后将通过15.5m高排气筒排放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kern w:val="2"/>
                      <w:sz w:val="21"/>
                      <w:szCs w:val="21"/>
                      <w:highlight w:val="none"/>
                      <w:lang w:val="en-US" w:eastAsia="zh-CN" w:bidi="ar-SA"/>
                    </w:rPr>
                    <w:t>原料</w:t>
                  </w:r>
                  <w:r>
                    <w:rPr>
                      <w:rFonts w:hint="eastAsia" w:ascii="Times New Roman" w:hAnsi="Times New Roman" w:eastAsia="宋体" w:cs="Times New Roman"/>
                      <w:color w:val="auto"/>
                      <w:kern w:val="2"/>
                      <w:sz w:val="21"/>
                      <w:szCs w:val="21"/>
                      <w:highlight w:val="none"/>
                      <w:lang w:val="en-US" w:eastAsia="zh-CN" w:bidi="ar-SA"/>
                    </w:rPr>
                    <w:t>转载</w:t>
                  </w:r>
                  <w:r>
                    <w:rPr>
                      <w:rFonts w:hint="eastAsia" w:cs="Times New Roman"/>
                      <w:color w:val="auto"/>
                      <w:kern w:val="2"/>
                      <w:sz w:val="21"/>
                      <w:szCs w:val="21"/>
                      <w:highlight w:val="none"/>
                      <w:lang w:val="en-US" w:eastAsia="zh-CN" w:bidi="ar-SA"/>
                    </w:rPr>
                    <w:t>点</w:t>
                  </w:r>
                  <w:r>
                    <w:rPr>
                      <w:rFonts w:hint="eastAsia" w:ascii="Times New Roman" w:hAnsi="Times New Roman" w:eastAsia="宋体" w:cs="Times New Roman"/>
                      <w:color w:val="auto"/>
                      <w:kern w:val="2"/>
                      <w:sz w:val="21"/>
                      <w:szCs w:val="21"/>
                      <w:highlight w:val="none"/>
                      <w:lang w:val="en-US" w:eastAsia="zh-CN" w:bidi="ar-SA"/>
                    </w:rPr>
                    <w:t>落料粉尘</w:t>
                  </w:r>
                  <w:r>
                    <w:rPr>
                      <w:rFonts w:hint="default" w:ascii="Times New Roman" w:hAnsi="Times New Roman" w:eastAsia="宋体" w:cs="Times New Roman"/>
                      <w:color w:val="auto"/>
                      <w:sz w:val="21"/>
                      <w:szCs w:val="21"/>
                      <w:highlight w:val="none"/>
                      <w:lang w:val="en-US"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1套集气罩+收尘风管+布袋除尘器”处理后将通过15.5m高排气筒排放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kern w:val="2"/>
                      <w:sz w:val="21"/>
                      <w:szCs w:val="21"/>
                      <w:highlight w:val="none"/>
                      <w:lang w:val="en-US" w:eastAsia="zh-CN" w:bidi="ar-SA"/>
                    </w:rPr>
                    <w:t>喂煤仓</w:t>
                  </w:r>
                  <w:r>
                    <w:rPr>
                      <w:rFonts w:hint="eastAsia" w:ascii="Times New Roman" w:hAnsi="Times New Roman" w:eastAsia="宋体" w:cs="Times New Roman"/>
                      <w:color w:val="auto"/>
                      <w:kern w:val="2"/>
                      <w:sz w:val="21"/>
                      <w:szCs w:val="21"/>
                      <w:highlight w:val="none"/>
                      <w:lang w:val="en-US" w:eastAsia="zh-CN" w:bidi="ar-SA"/>
                    </w:rPr>
                    <w:t>粉尘</w:t>
                  </w:r>
                  <w:r>
                    <w:rPr>
                      <w:rFonts w:hint="eastAsia" w:cs="Times New Roman"/>
                      <w:color w:val="auto"/>
                      <w:sz w:val="21"/>
                      <w:szCs w:val="21"/>
                      <w:highlight w:val="none"/>
                      <w:lang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处理后将通过36m高排气筒排放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DA004</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烘干废气收集进入</w:t>
                  </w:r>
                  <w:r>
                    <w:rPr>
                      <w:rFonts w:hint="default" w:ascii="Times New Roman" w:hAnsi="Times New Roman" w:eastAsia="宋体" w:cs="Times New Roman"/>
                      <w:color w:val="auto"/>
                      <w:sz w:val="21"/>
                      <w:szCs w:val="21"/>
                      <w:highlight w:val="none"/>
                    </w:rPr>
                    <w:t>“</w:t>
                  </w:r>
                  <w:r>
                    <w:rPr>
                      <w:rFonts w:hint="eastAsia"/>
                      <w:color w:val="auto"/>
                      <w:sz w:val="21"/>
                      <w:szCs w:val="21"/>
                      <w:highlight w:val="none"/>
                    </w:rPr>
                    <w:t>炉内喷钙脱硫</w:t>
                  </w:r>
                  <w:r>
                    <w:rPr>
                      <w:rFonts w:hint="eastAsia"/>
                      <w:color w:val="auto"/>
                      <w:sz w:val="21"/>
                      <w:szCs w:val="21"/>
                      <w:highlight w:val="none"/>
                      <w:lang w:eastAsia="zh-CN"/>
                    </w:rPr>
                    <w:t>（</w:t>
                  </w:r>
                  <w:r>
                    <w:rPr>
                      <w:rFonts w:hint="eastAsia"/>
                      <w:color w:val="auto"/>
                      <w:sz w:val="21"/>
                      <w:szCs w:val="21"/>
                      <w:highlight w:val="none"/>
                    </w:rPr>
                    <w:t>结合尾部烟气的增湿活化脱硫效应</w:t>
                  </w:r>
                  <w:r>
                    <w:rPr>
                      <w:rFonts w:hint="eastAsia"/>
                      <w:color w:val="auto"/>
                      <w:sz w:val="21"/>
                      <w:szCs w:val="21"/>
                      <w:highlight w:val="none"/>
                      <w:lang w:eastAsia="zh-CN"/>
                    </w:rPr>
                    <w:t>）</w:t>
                  </w:r>
                  <w:r>
                    <w:rPr>
                      <w:rFonts w:hint="eastAsia"/>
                      <w:color w:val="auto"/>
                      <w:sz w:val="21"/>
                      <w:szCs w:val="21"/>
                      <w:highlight w:val="none"/>
                      <w:lang w:val="en-US" w:eastAsia="zh-CN"/>
                    </w:rPr>
                    <w:t>+分级燃烧+</w:t>
                  </w:r>
                  <w:r>
                    <w:rPr>
                      <w:rFonts w:hint="eastAsia"/>
                      <w:color w:val="auto"/>
                      <w:sz w:val="21"/>
                      <w:szCs w:val="21"/>
                      <w:highlight w:val="none"/>
                    </w:rPr>
                    <w:t>SNCR</w:t>
                  </w:r>
                  <w:r>
                    <w:rPr>
                      <w:rFonts w:hint="eastAsia"/>
                      <w:color w:val="auto"/>
                      <w:sz w:val="21"/>
                      <w:szCs w:val="21"/>
                      <w:highlight w:val="none"/>
                      <w:lang w:val="en-US" w:eastAsia="zh-CN"/>
                    </w:rPr>
                    <w:t>喷氨</w:t>
                  </w:r>
                  <w:r>
                    <w:rPr>
                      <w:rFonts w:hint="eastAsia"/>
                      <w:color w:val="auto"/>
                      <w:sz w:val="21"/>
                      <w:szCs w:val="21"/>
                      <w:highlight w:val="none"/>
                    </w:rPr>
                    <w:t>脱硝</w:t>
                  </w:r>
                  <w:r>
                    <w:rPr>
                      <w:rFonts w:hint="eastAsia" w:cs="Times New Roman"/>
                      <w:color w:val="auto"/>
                      <w:sz w:val="21"/>
                      <w:szCs w:val="21"/>
                      <w:highlight w:val="none"/>
                      <w:lang w:val="en-US" w:eastAsia="zh-CN"/>
                    </w:rPr>
                    <w:t>+1套</w:t>
                  </w:r>
                  <w:r>
                    <w:rPr>
                      <w:rFonts w:hint="eastAsia"/>
                      <w:color w:val="auto"/>
                      <w:sz w:val="21"/>
                      <w:szCs w:val="21"/>
                      <w:highlight w:val="none"/>
                    </w:rPr>
                    <w:t>脉冲袋式除尘器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处理后将通过25m高排气筒排放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DA005</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1#燃料仓粉尘收集进入“1套布袋除尘器”处理后通过20.5m高排气筒排放（DA006）；2#燃料仓粉尘收集进入“1套布袋除尘器”处理后通过20.5m高排气筒排放（DA007）；1#煤粉仓粉尘收集进入“1套布袋除尘器”处理后通过15.5m高排气筒排放（DA008）；2#煤粉仓粉尘收集进入“1套布袋除尘器”处理后通过26.5m高排气筒排放（DA009）；3#煤粉仓粉尘收集进入“1套布袋除尘器”处理后通过26.5m高排气筒排放（DA010）；</w:t>
                  </w:r>
                  <w:r>
                    <w:rPr>
                      <w:rFonts w:hint="eastAsia"/>
                      <w:color w:val="auto"/>
                      <w:sz w:val="21"/>
                      <w:szCs w:val="21"/>
                      <w:highlight w:val="none"/>
                    </w:rPr>
                    <w:t>出烘干机皮带转运</w:t>
                  </w:r>
                  <w:r>
                    <w:rPr>
                      <w:rFonts w:hint="eastAsia"/>
                      <w:color w:val="auto"/>
                      <w:sz w:val="21"/>
                      <w:szCs w:val="21"/>
                      <w:highlight w:val="none"/>
                      <w:lang w:eastAsia="zh-CN"/>
                    </w:rPr>
                    <w:t>粉尘收</w:t>
                  </w:r>
                  <w:r>
                    <w:rPr>
                      <w:rFonts w:hint="eastAsia" w:cs="Times New Roman"/>
                      <w:color w:val="auto"/>
                      <w:sz w:val="21"/>
                      <w:szCs w:val="21"/>
                      <w:highlight w:val="none"/>
                      <w:lang w:eastAsia="zh-CN"/>
                    </w:rPr>
                    <w:t>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处理后将通过20m高排气筒排放</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DA011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cs="Times New Roman"/>
                      <w:bCs/>
                      <w:color w:val="auto"/>
                      <w:sz w:val="21"/>
                      <w:szCs w:val="21"/>
                      <w:highlight w:val="none"/>
                      <w:lang w:eastAsia="zh-CN"/>
                    </w:rPr>
                    <w:t>进</w:t>
                  </w:r>
                  <w:r>
                    <w:rPr>
                      <w:rFonts w:hint="eastAsia" w:ascii="Times New Roman" w:hAnsi="Times New Roman" w:eastAsia="宋体" w:cs="Times New Roman"/>
                      <w:bCs/>
                      <w:color w:val="auto"/>
                      <w:sz w:val="21"/>
                      <w:szCs w:val="21"/>
                      <w:highlight w:val="none"/>
                      <w:lang w:eastAsia="zh-CN"/>
                    </w:rPr>
                    <w:t>成品堆棚皮带转运粉尘</w:t>
                  </w:r>
                  <w:r>
                    <w:rPr>
                      <w:rFonts w:hint="eastAsia"/>
                      <w:color w:val="auto"/>
                      <w:sz w:val="21"/>
                      <w:szCs w:val="21"/>
                      <w:highlight w:val="none"/>
                      <w:lang w:eastAsia="zh-CN"/>
                    </w:rPr>
                    <w:t>收</w:t>
                  </w:r>
                  <w:r>
                    <w:rPr>
                      <w:rFonts w:hint="eastAsia" w:cs="Times New Roman"/>
                      <w:color w:val="auto"/>
                      <w:sz w:val="21"/>
                      <w:szCs w:val="21"/>
                      <w:highlight w:val="none"/>
                      <w:lang w:eastAsia="zh-CN"/>
                    </w:rPr>
                    <w:t>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处理后将通过26.5m高排气筒排放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DA012</w:t>
                  </w:r>
                  <w:r>
                    <w:rPr>
                      <w:rFonts w:hint="eastAsia" w:cs="Times New Roman"/>
                      <w:color w:val="auto"/>
                      <w:sz w:val="21"/>
                      <w:szCs w:val="21"/>
                      <w:highlight w:val="none"/>
                      <w:lang w:eastAsia="zh-CN"/>
                    </w:rPr>
                    <w:t>）；</w:t>
                  </w:r>
                  <w:r>
                    <w:rPr>
                      <w:rFonts w:hint="eastAsia" w:ascii="Times New Roman" w:hAnsi="Times New Roman" w:eastAsia="宋体" w:cs="Times New Roman"/>
                      <w:bCs/>
                      <w:color w:val="auto"/>
                      <w:sz w:val="21"/>
                      <w:szCs w:val="21"/>
                      <w:highlight w:val="none"/>
                      <w:lang w:eastAsia="zh-CN"/>
                    </w:rPr>
                    <w:t>出成品堆棚皮带转运粉尘</w:t>
                  </w:r>
                  <w:r>
                    <w:rPr>
                      <w:rFonts w:hint="eastAsia"/>
                      <w:color w:val="auto"/>
                      <w:sz w:val="21"/>
                      <w:szCs w:val="21"/>
                      <w:highlight w:val="none"/>
                      <w:lang w:eastAsia="zh-CN"/>
                    </w:rPr>
                    <w:t>收</w:t>
                  </w:r>
                  <w:r>
                    <w:rPr>
                      <w:rFonts w:hint="eastAsia" w:cs="Times New Roman"/>
                      <w:color w:val="auto"/>
                      <w:sz w:val="21"/>
                      <w:szCs w:val="21"/>
                      <w:highlight w:val="none"/>
                      <w:lang w:eastAsia="zh-CN"/>
                    </w:rPr>
                    <w:t>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处理后将通过32.5m高排气筒排放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DA013</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出成品装车车间皮带转运</w:t>
                  </w:r>
                  <w:r>
                    <w:rPr>
                      <w:rFonts w:hint="eastAsia" w:ascii="Times New Roman" w:hAnsi="Times New Roman" w:eastAsia="宋体" w:cs="Times New Roman"/>
                      <w:bCs/>
                      <w:color w:val="auto"/>
                      <w:sz w:val="21"/>
                      <w:szCs w:val="21"/>
                      <w:highlight w:val="none"/>
                      <w:lang w:eastAsia="zh-CN"/>
                    </w:rPr>
                    <w:t>粉尘</w:t>
                  </w:r>
                  <w:r>
                    <w:rPr>
                      <w:rFonts w:hint="eastAsia"/>
                      <w:color w:val="auto"/>
                      <w:sz w:val="21"/>
                      <w:szCs w:val="21"/>
                      <w:highlight w:val="none"/>
                      <w:lang w:eastAsia="zh-CN"/>
                    </w:rPr>
                    <w:t>收</w:t>
                  </w:r>
                  <w:r>
                    <w:rPr>
                      <w:rFonts w:hint="eastAsia" w:cs="Times New Roman"/>
                      <w:color w:val="auto"/>
                      <w:sz w:val="21"/>
                      <w:szCs w:val="21"/>
                      <w:highlight w:val="none"/>
                      <w:lang w:eastAsia="zh-CN"/>
                    </w:rPr>
                    <w:t>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2套集气罩+收尘风管+布袋除尘器</w:t>
                  </w:r>
                  <w:r>
                    <w:rPr>
                      <w:rFonts w:hint="eastAsia"/>
                      <w:color w:val="auto"/>
                      <w:sz w:val="21"/>
                      <w:szCs w:val="21"/>
                      <w:highlight w:val="none"/>
                      <w:lang w:eastAsia="zh-CN"/>
                    </w:rPr>
                    <w:t>”</w:t>
                  </w:r>
                  <w:r>
                    <w:rPr>
                      <w:rFonts w:hint="eastAsia" w:cs="Times New Roman"/>
                      <w:color w:val="auto"/>
                      <w:sz w:val="21"/>
                      <w:szCs w:val="21"/>
                      <w:highlight w:val="none"/>
                      <w:lang w:val="en-US" w:eastAsia="zh-CN"/>
                    </w:rPr>
                    <w:t>处理后将通过35m高排气筒排放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DA014</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块煤散装粉尘收集进入“1套集气罩+收尘风管+布袋除尘器”处理后通过16m高排气筒排放（DA015）；2#块煤散装粉尘收集进入“1套集气罩+收尘风管+布袋除尘器”处理后通过16m高排气筒排放（DA016）；1#煤粉散装粉尘收集进入“1套集气罩+收尘风管+布袋除尘器”处理后通过16m高排气筒排放（DA017）；2#煤粉散装粉尘收集进入“1套集气罩+收尘风管+布袋除尘器”处理后通过16m高排气筒排放（DA018）；</w:t>
                  </w:r>
                  <w:r>
                    <w:rPr>
                      <w:rFonts w:hint="eastAsia" w:cs="Times New Roman"/>
                      <w:color w:val="auto"/>
                      <w:kern w:val="2"/>
                      <w:sz w:val="21"/>
                      <w:szCs w:val="21"/>
                      <w:highlight w:val="none"/>
                      <w:lang w:val="en-US" w:eastAsia="zh-CN" w:bidi="ar-SA"/>
                    </w:rPr>
                    <w:t>氨水储罐废气设置1个容积为20m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vertAlign w:val="baseline"/>
                      <w:lang w:val="en-US" w:eastAsia="zh-CN" w:bidi="ar-SA"/>
                    </w:rPr>
                    <w:t>的清水罐进行吸收；</w:t>
                  </w:r>
                  <w:r>
                    <w:rPr>
                      <w:rFonts w:hint="eastAsia" w:cs="Times New Roman"/>
                      <w:color w:val="auto"/>
                      <w:kern w:val="0"/>
                      <w:sz w:val="21"/>
                      <w:szCs w:val="21"/>
                      <w:highlight w:val="none"/>
                      <w:lang w:val="en-US" w:eastAsia="zh-CN"/>
                    </w:rPr>
                    <w:t>石灰石粉储罐粉尘收集进入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1套布袋除尘器”处理后通过16m高排气筒排放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color w:val="auto"/>
                      <w:sz w:val="21"/>
                      <w:szCs w:val="21"/>
                      <w:highlight w:val="none"/>
                    </w:rPr>
                    <w:t>本项目废气均设置合理的处置措施处理后达标排放</w:t>
                  </w:r>
                  <w:r>
                    <w:rPr>
                      <w:rFonts w:hint="eastAsia" w:ascii="Times New Roman" w:hAnsi="Times New Roman" w:eastAsia="宋体" w:cs="Times New Roman"/>
                      <w:color w:val="auto"/>
                      <w:sz w:val="21"/>
                      <w:szCs w:val="21"/>
                      <w:highlight w:val="none"/>
                      <w:lang w:eastAsia="zh-CN"/>
                    </w:rPr>
                    <w:t>。</w:t>
                  </w:r>
                </w:p>
              </w:tc>
              <w:tc>
                <w:tcPr>
                  <w:tcW w:w="949" w:type="dxa"/>
                  <w:vAlign w:val="center"/>
                </w:tcPr>
                <w:p w14:paraId="7047DC6E">
                  <w:pPr>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符合</w:t>
                  </w:r>
                </w:p>
              </w:tc>
            </w:tr>
            <w:tr w14:paraId="6D23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3387" w:type="dxa"/>
                  <w:vAlign w:val="center"/>
                </w:tcPr>
                <w:p w14:paraId="18223B68">
                  <w:pPr>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钢铁、建材、有色金属、石油、化工等企业生产过程中排放粉尘、硫化物和氮氧化物的，应当采用清洁生产工艺，配套建设除尘、脱硫、脱硝等装置，或者采取技术改造等其他控制大气污染物排放的措施。</w:t>
                  </w:r>
                </w:p>
              </w:tc>
              <w:tc>
                <w:tcPr>
                  <w:tcW w:w="3547" w:type="dxa"/>
                  <w:vMerge w:val="continue"/>
                  <w:vAlign w:val="center"/>
                </w:tcPr>
                <w:p w14:paraId="6C0B6AA1">
                  <w:pPr>
                    <w:widowControl/>
                    <w:jc w:val="center"/>
                    <w:rPr>
                      <w:rFonts w:hint="default" w:ascii="Times New Roman" w:hAnsi="Times New Roman" w:eastAsia="宋体" w:cs="Times New Roman"/>
                      <w:color w:val="auto"/>
                      <w:highlight w:val="none"/>
                    </w:rPr>
                  </w:pPr>
                </w:p>
              </w:tc>
              <w:tc>
                <w:tcPr>
                  <w:tcW w:w="949" w:type="dxa"/>
                  <w:vAlign w:val="center"/>
                </w:tcPr>
                <w:p w14:paraId="49C9B13E">
                  <w:pPr>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eastAsia="zh-CN"/>
                    </w:rPr>
                    <w:t>符合</w:t>
                  </w:r>
                </w:p>
              </w:tc>
            </w:tr>
            <w:tr w14:paraId="75DB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3387" w:type="dxa"/>
                  <w:vAlign w:val="center"/>
                </w:tcPr>
                <w:p w14:paraId="5829E9A8">
                  <w:pPr>
                    <w:pStyle w:val="24"/>
                    <w:keepNext w:val="0"/>
                    <w:keepLines w:val="0"/>
                    <w:widowControl/>
                    <w:suppressLineNumbers w:val="0"/>
                    <w:rPr>
                      <w:rFonts w:ascii="宋体" w:hAnsi="宋体" w:eastAsia="宋体" w:cs="宋体"/>
                      <w:color w:val="auto"/>
                      <w:sz w:val="21"/>
                      <w:szCs w:val="21"/>
                      <w:highlight w:val="none"/>
                    </w:rPr>
                  </w:pPr>
                  <w:r>
                    <w:rPr>
                      <w:color w:val="auto"/>
                      <w:sz w:val="21"/>
                      <w:szCs w:val="21"/>
                      <w:highlight w:val="none"/>
                    </w:rPr>
                    <w:t>运输煤炭、垃圾、渣土、砂石、土方、灰浆等散装、流体物料的车辆应当采取密闭或者其他措施防止物料遗撒造成扬尘污染，并按照规定路线行驶。装卸物料应当采取密闭或者喷淋等方式防治扬尘污染。</w:t>
                  </w:r>
                </w:p>
              </w:tc>
              <w:tc>
                <w:tcPr>
                  <w:tcW w:w="3547" w:type="dxa"/>
                  <w:vAlign w:val="center"/>
                </w:tcPr>
                <w:p w14:paraId="5F1DDC4A">
                  <w:pPr>
                    <w:widowControl/>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本项目原料褐煤运输经常时车辆加盖篷布，为密闭式，</w:t>
                  </w:r>
                  <w:r>
                    <w:rPr>
                      <w:color w:val="auto"/>
                      <w:sz w:val="21"/>
                      <w:szCs w:val="21"/>
                      <w:highlight w:val="none"/>
                    </w:rPr>
                    <w:t>照规定路线行驶</w:t>
                  </w:r>
                  <w:r>
                    <w:rPr>
                      <w:rFonts w:hint="eastAsia"/>
                      <w:color w:val="auto"/>
                      <w:sz w:val="21"/>
                      <w:szCs w:val="21"/>
                      <w:highlight w:val="none"/>
                      <w:lang w:eastAsia="zh-CN"/>
                    </w:rPr>
                    <w:t>。</w:t>
                  </w:r>
                  <w:r>
                    <w:rPr>
                      <w:rFonts w:hint="eastAsia" w:cs="Times New Roman"/>
                      <w:color w:val="auto"/>
                      <w:szCs w:val="21"/>
                      <w:highlight w:val="none"/>
                      <w:lang w:eastAsia="zh-CN"/>
                    </w:rPr>
                    <w:t>卸料扬</w:t>
                  </w:r>
                  <w:r>
                    <w:rPr>
                      <w:rFonts w:hint="default" w:ascii="Times New Roman" w:hAnsi="Times New Roman" w:eastAsia="宋体" w:cs="Times New Roman"/>
                      <w:color w:val="auto"/>
                      <w:szCs w:val="21"/>
                      <w:highlight w:val="none"/>
                    </w:rPr>
                    <w:t>尘</w:t>
                  </w:r>
                  <w:r>
                    <w:rPr>
                      <w:rFonts w:hint="default" w:ascii="Times New Roman" w:hAnsi="Times New Roman" w:eastAsia="宋体" w:cs="Times New Roman"/>
                      <w:color w:val="auto"/>
                      <w:sz w:val="21"/>
                      <w:szCs w:val="21"/>
                      <w:highlight w:val="none"/>
                      <w:lang w:val="en-US" w:eastAsia="zh-CN"/>
                    </w:rPr>
                    <w:t>收集进入</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1套收尘风管+布袋除尘器”处理后将通过15.5m高排气筒排放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1#块煤散装粉尘收集进入“1套集气罩+收尘风管+布袋除尘器”处理后通过16m高排气筒排放（DA015）；2#块煤散装粉尘收集进入“1套集气罩+收尘风管+布袋除尘器”处理后通过16m高排气筒排放（DA016）；1#煤粉散装粉尘收集进入“1套集气罩+收尘风管+布袋除尘器”处理后通过16m高排气筒排放（DA017）；2#煤粉散装粉尘收集进入“1套集气罩+收尘风管+布袋除尘器”处理后通过16m高排气筒排放（DA018）。</w:t>
                  </w:r>
                </w:p>
              </w:tc>
              <w:tc>
                <w:tcPr>
                  <w:tcW w:w="949" w:type="dxa"/>
                  <w:vAlign w:val="center"/>
                </w:tcPr>
                <w:p w14:paraId="316A9AA7">
                  <w:pPr>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符合</w:t>
                  </w:r>
                </w:p>
              </w:tc>
            </w:tr>
            <w:tr w14:paraId="6BBA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3387" w:type="dxa"/>
                  <w:vAlign w:val="center"/>
                </w:tcPr>
                <w:p w14:paraId="7C46EB96">
                  <w:pPr>
                    <w:pStyle w:val="24"/>
                    <w:keepNext w:val="0"/>
                    <w:keepLines w:val="0"/>
                    <w:widowControl/>
                    <w:suppressLineNumbers w:val="0"/>
                    <w:rPr>
                      <w:color w:val="auto"/>
                      <w:sz w:val="21"/>
                      <w:szCs w:val="21"/>
                      <w:highlight w:val="none"/>
                    </w:rPr>
                  </w:pPr>
                  <w:r>
                    <w:rPr>
                      <w:rFonts w:ascii="宋体" w:hAnsi="宋体" w:eastAsia="宋体" w:cs="宋体"/>
                      <w:color w:val="auto"/>
                      <w:sz w:val="21"/>
                      <w:szCs w:val="21"/>
                      <w:highlight w:val="none"/>
                    </w:rPr>
                    <w:t>贮存煤炭、煤矸石、煤渣、煤灰、水泥、石灰、石膏、砂土等易产生扬尘的物料应当密闭</w:t>
                  </w:r>
                  <w:r>
                    <w:rPr>
                      <w:rFonts w:hint="eastAsia" w:ascii="宋体" w:hAnsi="宋体" w:eastAsia="宋体" w:cs="宋体"/>
                      <w:color w:val="auto"/>
                      <w:sz w:val="21"/>
                      <w:szCs w:val="21"/>
                      <w:highlight w:val="none"/>
                      <w:lang w:eastAsia="zh-CN"/>
                    </w:rPr>
                    <w:t>；</w:t>
                  </w:r>
                  <w:r>
                    <w:rPr>
                      <w:rFonts w:ascii="宋体" w:hAnsi="宋体" w:eastAsia="宋体" w:cs="宋体"/>
                      <w:color w:val="auto"/>
                      <w:sz w:val="21"/>
                      <w:szCs w:val="21"/>
                      <w:highlight w:val="none"/>
                    </w:rPr>
                    <w:t>不能密闭的，应当设置不低于堆放物高度的严密围挡，并采取有效覆盖措施防治扬尘污染。</w:t>
                  </w:r>
                </w:p>
              </w:tc>
              <w:tc>
                <w:tcPr>
                  <w:tcW w:w="3547" w:type="dxa"/>
                  <w:vAlign w:val="center"/>
                </w:tcPr>
                <w:p w14:paraId="0F0FA0D6">
                  <w:pPr>
                    <w:widowControl/>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sz w:val="21"/>
                      <w:szCs w:val="21"/>
                      <w:highlight w:val="none"/>
                      <w:lang w:eastAsia="zh-CN"/>
                    </w:rPr>
                    <w:t>本项目原料</w:t>
                  </w:r>
                  <w:r>
                    <w:rPr>
                      <w:rFonts w:hint="eastAsia" w:cs="Times New Roman"/>
                      <w:color w:val="auto"/>
                      <w:sz w:val="21"/>
                      <w:szCs w:val="21"/>
                      <w:highlight w:val="none"/>
                      <w:lang w:eastAsia="zh-CN"/>
                    </w:rPr>
                    <w:t>及成品</w:t>
                  </w:r>
                  <w:r>
                    <w:rPr>
                      <w:rFonts w:hint="eastAsia" w:ascii="Times New Roman" w:hAnsi="Times New Roman" w:eastAsia="宋体" w:cs="Times New Roman"/>
                      <w:color w:val="auto"/>
                      <w:sz w:val="21"/>
                      <w:szCs w:val="21"/>
                      <w:highlight w:val="none"/>
                      <w:lang w:eastAsia="zh-CN"/>
                    </w:rPr>
                    <w:t>堆棚</w:t>
                  </w:r>
                  <w:r>
                    <w:rPr>
                      <w:rFonts w:hint="eastAsia" w:cs="Times New Roman"/>
                      <w:color w:val="auto"/>
                      <w:sz w:val="21"/>
                      <w:szCs w:val="21"/>
                      <w:highlight w:val="none"/>
                      <w:lang w:eastAsia="zh-CN"/>
                    </w:rPr>
                    <w:t>均</w:t>
                  </w:r>
                  <w:r>
                    <w:rPr>
                      <w:rFonts w:hint="eastAsia" w:ascii="Times New Roman" w:hAnsi="Times New Roman" w:eastAsia="宋体" w:cs="Times New Roman"/>
                      <w:color w:val="auto"/>
                      <w:sz w:val="21"/>
                      <w:szCs w:val="21"/>
                      <w:highlight w:val="none"/>
                      <w:lang w:eastAsia="zh-CN"/>
                    </w:rPr>
                    <w:t>为全封闭。</w:t>
                  </w:r>
                </w:p>
              </w:tc>
              <w:tc>
                <w:tcPr>
                  <w:tcW w:w="949" w:type="dxa"/>
                  <w:vAlign w:val="center"/>
                </w:tcPr>
                <w:p w14:paraId="0B52B0D2">
                  <w:pPr>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符合</w:t>
                  </w:r>
                </w:p>
              </w:tc>
            </w:tr>
          </w:tbl>
          <w:p w14:paraId="3D8B480E">
            <w:pPr>
              <w:pStyle w:val="16"/>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cs="Times New Roman"/>
                <w:b/>
                <w:bCs w:val="0"/>
                <w:color w:val="auto"/>
                <w:sz w:val="24"/>
                <w:szCs w:val="24"/>
                <w:highlight w:val="none"/>
                <w:lang w:val="en-US" w:eastAsia="zh-CN"/>
              </w:rPr>
            </w:pPr>
            <w:r>
              <w:rPr>
                <w:rFonts w:hint="default" w:ascii="Times New Roman" w:hAnsi="Times New Roman" w:eastAsia="宋体" w:cs="Times New Roman"/>
                <w:bCs/>
                <w:color w:val="auto"/>
                <w:spacing w:val="4"/>
                <w:kern w:val="24"/>
                <w:sz w:val="24"/>
                <w:szCs w:val="24"/>
                <w:highlight w:val="none"/>
                <w:lang w:bidi="ar"/>
              </w:rPr>
              <w:t>综上，</w:t>
            </w:r>
            <w:r>
              <w:rPr>
                <w:rFonts w:hint="default" w:ascii="Times New Roman" w:hAnsi="Times New Roman" w:eastAsia="宋体" w:cs="Times New Roman"/>
                <w:color w:val="auto"/>
                <w:kern w:val="0"/>
                <w:sz w:val="24"/>
                <w:highlight w:val="none"/>
              </w:rPr>
              <w:t>项目符合</w:t>
            </w:r>
            <w:r>
              <w:rPr>
                <w:rFonts w:hint="default" w:ascii="Times New Roman" w:hAnsi="Times New Roman" w:eastAsia="宋体" w:cs="Times New Roman"/>
                <w:b w:val="0"/>
                <w:bCs/>
                <w:color w:val="auto"/>
                <w:spacing w:val="4"/>
                <w:kern w:val="24"/>
                <w:sz w:val="24"/>
                <w:highlight w:val="none"/>
                <w:lang w:bidi="ar"/>
              </w:rPr>
              <w:t>《</w:t>
            </w:r>
            <w:r>
              <w:rPr>
                <w:rFonts w:hint="eastAsia" w:ascii="Times New Roman" w:hAnsi="Times New Roman" w:eastAsia="宋体" w:cs="Times New Roman"/>
                <w:b w:val="0"/>
                <w:bCs/>
                <w:color w:val="auto"/>
                <w:spacing w:val="4"/>
                <w:kern w:val="24"/>
                <w:sz w:val="24"/>
                <w:highlight w:val="none"/>
                <w:lang w:eastAsia="zh-CN" w:bidi="ar"/>
              </w:rPr>
              <w:t>中华人民共和国大气污染防治法</w:t>
            </w:r>
            <w:r>
              <w:rPr>
                <w:rFonts w:hint="default" w:ascii="Times New Roman" w:hAnsi="Times New Roman" w:eastAsia="宋体" w:cs="Times New Roman"/>
                <w:b w:val="0"/>
                <w:bCs/>
                <w:color w:val="auto"/>
                <w:spacing w:val="4"/>
                <w:kern w:val="24"/>
                <w:sz w:val="24"/>
                <w:highlight w:val="none"/>
                <w:lang w:bidi="ar"/>
              </w:rPr>
              <w:t>》</w:t>
            </w:r>
            <w:r>
              <w:rPr>
                <w:rFonts w:hint="default" w:ascii="Times New Roman" w:hAnsi="Times New Roman" w:eastAsia="宋体" w:cs="Times New Roman"/>
                <w:color w:val="auto"/>
                <w:sz w:val="24"/>
                <w:highlight w:val="none"/>
              </w:rPr>
              <w:t>要求。</w:t>
            </w:r>
          </w:p>
          <w:p w14:paraId="4FFFD307">
            <w:pPr>
              <w:adjustRightInd w:val="0"/>
              <w:snapToGrid w:val="0"/>
              <w:spacing w:line="360" w:lineRule="auto"/>
              <w:ind w:firstLine="482" w:firstLineChars="200"/>
              <w:rPr>
                <w:rFonts w:hint="eastAsia"/>
                <w:b/>
                <w:bCs/>
                <w:snapToGrid w:val="0"/>
                <w:color w:val="auto"/>
                <w:kern w:val="0"/>
                <w:szCs w:val="21"/>
                <w:highlight w:val="none"/>
              </w:rPr>
            </w:pPr>
            <w:r>
              <w:rPr>
                <w:rFonts w:hint="eastAsia" w:cs="Times New Roman"/>
                <w:b/>
                <w:bCs w:val="0"/>
                <w:color w:val="auto"/>
                <w:sz w:val="24"/>
                <w:szCs w:val="24"/>
                <w:highlight w:val="none"/>
                <w:lang w:val="en-US" w:eastAsia="zh-CN"/>
              </w:rPr>
              <w:t>10</w:t>
            </w:r>
            <w:r>
              <w:rPr>
                <w:rFonts w:hint="default" w:ascii="Times New Roman" w:hAnsi="Times New Roman" w:eastAsia="宋体" w:cs="Times New Roman"/>
                <w:b/>
                <w:bCs w:val="0"/>
                <w:color w:val="auto"/>
                <w:sz w:val="24"/>
                <w:szCs w:val="24"/>
                <w:highlight w:val="none"/>
                <w:lang w:val="en-US" w:eastAsia="zh-CN"/>
              </w:rPr>
              <w:t>、</w:t>
            </w:r>
            <w:r>
              <w:rPr>
                <w:rFonts w:hint="eastAsia"/>
                <w:b/>
                <w:bCs/>
                <w:color w:val="auto"/>
                <w:sz w:val="24"/>
                <w:highlight w:val="none"/>
              </w:rPr>
              <w:t>与《工业炉窑大气污染综合治理方案》</w:t>
            </w:r>
            <w:r>
              <w:rPr>
                <w:rFonts w:hint="eastAsia"/>
                <w:b/>
                <w:bCs/>
                <w:color w:val="auto"/>
                <w:sz w:val="24"/>
                <w:highlight w:val="none"/>
                <w:lang w:eastAsia="zh-CN"/>
              </w:rPr>
              <w:t>（</w:t>
            </w:r>
            <w:r>
              <w:rPr>
                <w:rFonts w:hint="eastAsia"/>
                <w:b/>
                <w:bCs/>
                <w:color w:val="auto"/>
                <w:sz w:val="24"/>
                <w:highlight w:val="none"/>
              </w:rPr>
              <w:t>环大气〔2019〕56号</w:t>
            </w:r>
            <w:r>
              <w:rPr>
                <w:rFonts w:hint="eastAsia"/>
                <w:b/>
                <w:bCs/>
                <w:color w:val="auto"/>
                <w:sz w:val="24"/>
                <w:highlight w:val="none"/>
                <w:lang w:eastAsia="zh-CN"/>
              </w:rPr>
              <w:t>）</w:t>
            </w:r>
            <w:r>
              <w:rPr>
                <w:rFonts w:hint="eastAsia"/>
                <w:b/>
                <w:bCs/>
                <w:color w:val="auto"/>
                <w:sz w:val="24"/>
                <w:highlight w:val="none"/>
              </w:rPr>
              <w:t>的符合性分析</w:t>
            </w:r>
          </w:p>
          <w:p w14:paraId="6733FED7">
            <w:pPr>
              <w:adjustRightInd w:val="0"/>
              <w:snapToGrid w:val="0"/>
              <w:contextualSpacing/>
              <w:jc w:val="center"/>
              <w:rPr>
                <w:b/>
                <w:bCs/>
                <w:snapToGrid w:val="0"/>
                <w:color w:val="auto"/>
                <w:kern w:val="0"/>
                <w:szCs w:val="21"/>
                <w:highlight w:val="none"/>
              </w:rPr>
            </w:pPr>
            <w:r>
              <w:rPr>
                <w:rFonts w:hint="eastAsia"/>
                <w:b/>
                <w:bCs/>
                <w:snapToGrid w:val="0"/>
                <w:color w:val="auto"/>
                <w:kern w:val="0"/>
                <w:szCs w:val="21"/>
                <w:highlight w:val="none"/>
              </w:rPr>
              <w:t>表1-</w:t>
            </w:r>
            <w:r>
              <w:rPr>
                <w:rFonts w:hint="eastAsia"/>
                <w:b/>
                <w:bCs/>
                <w:snapToGrid w:val="0"/>
                <w:color w:val="auto"/>
                <w:kern w:val="0"/>
                <w:szCs w:val="21"/>
                <w:highlight w:val="none"/>
                <w:lang w:val="en-US" w:eastAsia="zh-CN"/>
              </w:rPr>
              <w:t>12</w:t>
            </w:r>
            <w:r>
              <w:rPr>
                <w:rFonts w:hint="eastAsia"/>
                <w:b/>
                <w:bCs/>
                <w:snapToGrid w:val="0"/>
                <w:color w:val="auto"/>
                <w:kern w:val="0"/>
                <w:szCs w:val="21"/>
                <w:highlight w:val="none"/>
              </w:rPr>
              <w:t xml:space="preserve"> </w:t>
            </w:r>
            <w:r>
              <w:rPr>
                <w:rFonts w:hint="eastAsia"/>
                <w:b/>
                <w:bCs/>
                <w:snapToGrid w:val="0"/>
                <w:color w:val="auto"/>
                <w:kern w:val="0"/>
                <w:sz w:val="21"/>
                <w:szCs w:val="21"/>
                <w:highlight w:val="none"/>
              </w:rPr>
              <w:t xml:space="preserve"> </w:t>
            </w:r>
            <w:r>
              <w:rPr>
                <w:rFonts w:hint="eastAsia"/>
                <w:b/>
                <w:bCs/>
                <w:color w:val="auto"/>
                <w:sz w:val="21"/>
                <w:szCs w:val="21"/>
                <w:highlight w:val="none"/>
              </w:rPr>
              <w:t>与《工业炉窑大气污染综合治理方案》</w:t>
            </w:r>
            <w:r>
              <w:rPr>
                <w:rFonts w:hint="eastAsia"/>
                <w:b/>
                <w:bCs/>
                <w:color w:val="auto"/>
                <w:sz w:val="21"/>
                <w:szCs w:val="21"/>
                <w:highlight w:val="none"/>
                <w:lang w:eastAsia="zh-CN"/>
              </w:rPr>
              <w:t>（</w:t>
            </w:r>
            <w:r>
              <w:rPr>
                <w:rFonts w:hint="eastAsia"/>
                <w:b/>
                <w:bCs/>
                <w:color w:val="auto"/>
                <w:sz w:val="21"/>
                <w:szCs w:val="21"/>
                <w:highlight w:val="none"/>
              </w:rPr>
              <w:t>环大气〔2019〕56号</w:t>
            </w:r>
            <w:r>
              <w:rPr>
                <w:rFonts w:hint="eastAsia"/>
                <w:b/>
                <w:bCs/>
                <w:color w:val="auto"/>
                <w:sz w:val="21"/>
                <w:szCs w:val="21"/>
                <w:highlight w:val="none"/>
                <w:lang w:eastAsia="zh-CN"/>
              </w:rPr>
              <w:t>）</w:t>
            </w:r>
            <w:r>
              <w:rPr>
                <w:rFonts w:hint="eastAsia"/>
                <w:b/>
                <w:bCs/>
                <w:color w:val="auto"/>
                <w:sz w:val="21"/>
                <w:szCs w:val="21"/>
                <w:highlight w:val="none"/>
              </w:rPr>
              <w:t>的符合性分析</w:t>
            </w:r>
          </w:p>
          <w:tbl>
            <w:tblPr>
              <w:tblStyle w:val="27"/>
              <w:tblW w:w="7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6"/>
              <w:gridCol w:w="3191"/>
              <w:gridCol w:w="718"/>
            </w:tblGrid>
            <w:tr w14:paraId="756E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3886" w:type="dxa"/>
                  <w:noWrap w:val="0"/>
                  <w:vAlign w:val="center"/>
                </w:tcPr>
                <w:p w14:paraId="6E9355E2">
                  <w:pPr>
                    <w:jc w:val="center"/>
                    <w:rPr>
                      <w:b/>
                      <w:bCs/>
                      <w:color w:val="auto"/>
                      <w:highlight w:val="none"/>
                    </w:rPr>
                  </w:pPr>
                  <w:r>
                    <w:rPr>
                      <w:b/>
                      <w:bCs/>
                      <w:color w:val="auto"/>
                      <w:kern w:val="0"/>
                      <w:szCs w:val="21"/>
                      <w:highlight w:val="none"/>
                    </w:rPr>
                    <w:t>相关要求</w:t>
                  </w:r>
                </w:p>
              </w:tc>
              <w:tc>
                <w:tcPr>
                  <w:tcW w:w="3191" w:type="dxa"/>
                  <w:noWrap w:val="0"/>
                  <w:vAlign w:val="center"/>
                </w:tcPr>
                <w:p w14:paraId="2AC57CAD">
                  <w:pPr>
                    <w:jc w:val="center"/>
                    <w:rPr>
                      <w:b/>
                      <w:bCs/>
                      <w:color w:val="auto"/>
                      <w:highlight w:val="none"/>
                    </w:rPr>
                  </w:pPr>
                  <w:r>
                    <w:rPr>
                      <w:b/>
                      <w:bCs/>
                      <w:color w:val="auto"/>
                      <w:kern w:val="0"/>
                      <w:szCs w:val="21"/>
                      <w:highlight w:val="none"/>
                    </w:rPr>
                    <w:t>项目情况</w:t>
                  </w:r>
                </w:p>
              </w:tc>
              <w:tc>
                <w:tcPr>
                  <w:tcW w:w="718" w:type="dxa"/>
                  <w:noWrap w:val="0"/>
                  <w:vAlign w:val="center"/>
                </w:tcPr>
                <w:p w14:paraId="3C502306">
                  <w:pPr>
                    <w:jc w:val="center"/>
                    <w:rPr>
                      <w:b/>
                      <w:bCs/>
                      <w:color w:val="auto"/>
                      <w:highlight w:val="none"/>
                    </w:rPr>
                  </w:pPr>
                  <w:r>
                    <w:rPr>
                      <w:b/>
                      <w:bCs/>
                      <w:color w:val="auto"/>
                      <w:kern w:val="0"/>
                      <w:szCs w:val="21"/>
                      <w:highlight w:val="none"/>
                    </w:rPr>
                    <w:t>符合性</w:t>
                  </w:r>
                </w:p>
              </w:tc>
            </w:tr>
            <w:tr w14:paraId="6F6D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center"/>
                </w:tcPr>
                <w:p w14:paraId="6B22F570">
                  <w:pPr>
                    <w:widowControl/>
                    <w:jc w:val="left"/>
                    <w:rPr>
                      <w:rFonts w:hint="eastAsia"/>
                      <w:color w:val="auto"/>
                      <w:highlight w:val="none"/>
                    </w:rPr>
                  </w:pPr>
                  <w:r>
                    <w:rPr>
                      <w:rFonts w:hint="eastAsia"/>
                      <w:color w:val="auto"/>
                      <w:highlight w:val="none"/>
                    </w:rPr>
                    <w:t>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tc>
              <w:tc>
                <w:tcPr>
                  <w:tcW w:w="3191" w:type="dxa"/>
                  <w:noWrap w:val="0"/>
                  <w:vAlign w:val="center"/>
                </w:tcPr>
                <w:p w14:paraId="6C05B75E">
                  <w:pPr>
                    <w:widowControl/>
                    <w:jc w:val="center"/>
                    <w:rPr>
                      <w:rFonts w:hint="eastAsia"/>
                      <w:color w:val="auto"/>
                      <w:szCs w:val="21"/>
                      <w:highlight w:val="none"/>
                      <w:lang w:eastAsia="zh-CN"/>
                    </w:rPr>
                  </w:pPr>
                  <w:r>
                    <w:rPr>
                      <w:rFonts w:hint="eastAsia"/>
                      <w:color w:val="auto"/>
                      <w:szCs w:val="21"/>
                      <w:highlight w:val="none"/>
                      <w:lang w:eastAsia="zh-CN"/>
                    </w:rPr>
                    <w:t>本项目烘干窑炉使用生物质颗粒作为燃料，企业将根据后续相关政策要求，加快燃料低碳化替代。</w:t>
                  </w:r>
                </w:p>
                <w:p w14:paraId="65A0F264">
                  <w:pPr>
                    <w:widowControl/>
                    <w:jc w:val="center"/>
                    <w:rPr>
                      <w:rFonts w:hint="eastAsia" w:eastAsia="宋体"/>
                      <w:color w:val="auto"/>
                      <w:szCs w:val="21"/>
                      <w:highlight w:val="none"/>
                      <w:lang w:eastAsia="zh-CN"/>
                    </w:rPr>
                  </w:pPr>
                </w:p>
              </w:tc>
              <w:tc>
                <w:tcPr>
                  <w:tcW w:w="718" w:type="dxa"/>
                  <w:noWrap w:val="0"/>
                  <w:vAlign w:val="center"/>
                </w:tcPr>
                <w:p w14:paraId="1CE75B6A">
                  <w:pPr>
                    <w:jc w:val="center"/>
                    <w:rPr>
                      <w:color w:val="auto"/>
                      <w:highlight w:val="none"/>
                    </w:rPr>
                  </w:pPr>
                  <w:r>
                    <w:rPr>
                      <w:color w:val="auto"/>
                      <w:kern w:val="0"/>
                      <w:szCs w:val="21"/>
                      <w:highlight w:val="none"/>
                    </w:rPr>
                    <w:t>符合</w:t>
                  </w:r>
                </w:p>
              </w:tc>
            </w:tr>
            <w:tr w14:paraId="481B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center"/>
                </w:tcPr>
                <w:p w14:paraId="0D2AEEB5">
                  <w:pPr>
                    <w:widowControl/>
                    <w:jc w:val="left"/>
                    <w:rPr>
                      <w:rFonts w:hint="eastAsia"/>
                      <w:color w:val="auto"/>
                      <w:highlight w:val="none"/>
                    </w:rPr>
                  </w:pPr>
                  <w:r>
                    <w:rPr>
                      <w:rFonts w:hint="eastAsia"/>
                      <w:color w:val="auto"/>
                      <w:highlight w:val="none"/>
                    </w:rPr>
                    <w:t>实施污染深度治理。推进工业炉窑全面达标排放。</w:t>
                  </w:r>
                </w:p>
                <w:p w14:paraId="493EFC24">
                  <w:pPr>
                    <w:widowControl/>
                    <w:jc w:val="left"/>
                    <w:rPr>
                      <w:rFonts w:hint="eastAsia" w:eastAsia="宋体"/>
                      <w:color w:val="auto"/>
                      <w:highlight w:val="none"/>
                      <w:lang w:eastAsia="zh-CN"/>
                    </w:rPr>
                  </w:pPr>
                  <w:r>
                    <w:rPr>
                      <w:rFonts w:hint="eastAsia"/>
                      <w:color w:val="auto"/>
                      <w:highlight w:val="none"/>
                    </w:rPr>
                    <w:t>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w:t>
                  </w:r>
                  <w:r>
                    <w:rPr>
                      <w:rFonts w:hint="eastAsia"/>
                      <w:color w:val="auto"/>
                      <w:highlight w:val="none"/>
                      <w:lang w:eastAsia="zh-CN"/>
                    </w:rPr>
                    <w:t>。</w:t>
                  </w:r>
                  <w:r>
                    <w:rPr>
                      <w:rFonts w:hint="eastAsia"/>
                      <w:color w:val="auto"/>
                      <w:highlight w:val="none"/>
                    </w:rPr>
                    <w:t>重点区域原则上按照颗粒物、二氧化硫、氮氧化物排放限值分别不高于30、200、300毫克</w:t>
                  </w:r>
                  <w:r>
                    <w:rPr>
                      <w:rFonts w:hint="eastAsia"/>
                      <w:color w:val="auto"/>
                      <w:highlight w:val="none"/>
                      <w:lang w:val="en-US" w:eastAsia="zh-CN"/>
                    </w:rPr>
                    <w:t>/</w:t>
                  </w:r>
                  <w:r>
                    <w:rPr>
                      <w:rFonts w:hint="eastAsia"/>
                      <w:color w:val="auto"/>
                      <w:highlight w:val="none"/>
                    </w:rPr>
                    <w:t>立方米实施改造</w:t>
                  </w:r>
                  <w:r>
                    <w:rPr>
                      <w:rFonts w:hint="eastAsia"/>
                      <w:color w:val="auto"/>
                      <w:highlight w:val="none"/>
                      <w:lang w:eastAsia="zh-CN"/>
                    </w:rPr>
                    <w:t>。</w:t>
                  </w:r>
                </w:p>
              </w:tc>
              <w:tc>
                <w:tcPr>
                  <w:tcW w:w="3191" w:type="dxa"/>
                  <w:noWrap w:val="0"/>
                  <w:vAlign w:val="center"/>
                </w:tcPr>
                <w:p w14:paraId="59B560D9">
                  <w:pPr>
                    <w:widowControl/>
                    <w:jc w:val="center"/>
                    <w:rPr>
                      <w:rFonts w:hint="eastAsia" w:eastAsia="宋体"/>
                      <w:color w:val="auto"/>
                      <w:highlight w:val="none"/>
                      <w:lang w:val="en-US" w:eastAsia="zh-CN"/>
                    </w:rPr>
                  </w:pPr>
                  <w:r>
                    <w:rPr>
                      <w:rFonts w:hint="eastAsia"/>
                      <w:color w:val="auto"/>
                      <w:highlight w:val="none"/>
                      <w:lang w:val="en-US" w:eastAsia="zh-CN"/>
                    </w:rPr>
                    <w:t>烘干炉窑排烟系统</w:t>
                  </w:r>
                  <w:r>
                    <w:rPr>
                      <w:rFonts w:hint="default" w:ascii="Times New Roman" w:hAnsi="Times New Roman" w:eastAsia="宋体" w:cs="Times New Roman"/>
                      <w:color w:val="auto"/>
                      <w:sz w:val="21"/>
                      <w:szCs w:val="21"/>
                      <w:highlight w:val="none"/>
                    </w:rPr>
                    <w:t>共设置“</w:t>
                  </w:r>
                  <w:r>
                    <w:rPr>
                      <w:rFonts w:hint="eastAsia"/>
                      <w:color w:val="auto"/>
                      <w:sz w:val="21"/>
                      <w:szCs w:val="21"/>
                      <w:highlight w:val="none"/>
                    </w:rPr>
                    <w:t>炉内喷钙脱硫</w:t>
                  </w:r>
                  <w:r>
                    <w:rPr>
                      <w:rFonts w:hint="eastAsia"/>
                      <w:color w:val="auto"/>
                      <w:sz w:val="21"/>
                      <w:szCs w:val="21"/>
                      <w:highlight w:val="none"/>
                      <w:lang w:eastAsia="zh-CN"/>
                    </w:rPr>
                    <w:t>（</w:t>
                  </w:r>
                  <w:r>
                    <w:rPr>
                      <w:rFonts w:hint="eastAsia"/>
                      <w:color w:val="auto"/>
                      <w:sz w:val="21"/>
                      <w:szCs w:val="21"/>
                      <w:highlight w:val="none"/>
                    </w:rPr>
                    <w:t>结合尾部烟气的增湿活化脱硫效应</w:t>
                  </w:r>
                  <w:r>
                    <w:rPr>
                      <w:rFonts w:hint="eastAsia"/>
                      <w:color w:val="auto"/>
                      <w:sz w:val="21"/>
                      <w:szCs w:val="21"/>
                      <w:highlight w:val="none"/>
                      <w:lang w:eastAsia="zh-CN"/>
                    </w:rPr>
                    <w:t>）</w:t>
                  </w:r>
                  <w:r>
                    <w:rPr>
                      <w:rFonts w:hint="eastAsia"/>
                      <w:color w:val="auto"/>
                      <w:sz w:val="21"/>
                      <w:szCs w:val="21"/>
                      <w:highlight w:val="none"/>
                      <w:lang w:val="en-US" w:eastAsia="zh-CN"/>
                    </w:rPr>
                    <w:t>+分级燃烧+</w:t>
                  </w:r>
                  <w:r>
                    <w:rPr>
                      <w:rFonts w:hint="eastAsia"/>
                      <w:color w:val="auto"/>
                      <w:sz w:val="21"/>
                      <w:szCs w:val="21"/>
                      <w:highlight w:val="none"/>
                    </w:rPr>
                    <w:t>SNCR</w:t>
                  </w:r>
                  <w:r>
                    <w:rPr>
                      <w:rFonts w:hint="eastAsia"/>
                      <w:color w:val="auto"/>
                      <w:sz w:val="21"/>
                      <w:szCs w:val="21"/>
                      <w:highlight w:val="none"/>
                      <w:lang w:val="en-US" w:eastAsia="zh-CN"/>
                    </w:rPr>
                    <w:t>喷氨</w:t>
                  </w:r>
                  <w:r>
                    <w:rPr>
                      <w:rFonts w:hint="eastAsia"/>
                      <w:color w:val="auto"/>
                      <w:sz w:val="21"/>
                      <w:szCs w:val="21"/>
                      <w:highlight w:val="none"/>
                    </w:rPr>
                    <w:t>脱硝</w:t>
                  </w:r>
                  <w:r>
                    <w:rPr>
                      <w:rFonts w:hint="eastAsia" w:cs="Times New Roman"/>
                      <w:color w:val="auto"/>
                      <w:sz w:val="21"/>
                      <w:szCs w:val="21"/>
                      <w:highlight w:val="none"/>
                      <w:lang w:val="en-US" w:eastAsia="zh-CN"/>
                    </w:rPr>
                    <w:t>+1套</w:t>
                  </w:r>
                  <w:r>
                    <w:rPr>
                      <w:rFonts w:hint="eastAsia"/>
                      <w:color w:val="auto"/>
                      <w:sz w:val="21"/>
                      <w:szCs w:val="21"/>
                      <w:highlight w:val="none"/>
                    </w:rPr>
                    <w:t>脉冲袋式除尘器</w:t>
                  </w:r>
                  <w:r>
                    <w:rPr>
                      <w:rFonts w:hint="eastAsia" w:cs="Times New Roman"/>
                      <w:color w:val="auto"/>
                      <w:sz w:val="21"/>
                      <w:szCs w:val="21"/>
                      <w:highlight w:val="none"/>
                      <w:lang w:val="en-US" w:eastAsia="zh-CN"/>
                    </w:rPr>
                    <w:t>+25m高排气筒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烘干</w:t>
                  </w:r>
                  <w:r>
                    <w:rPr>
                      <w:rFonts w:hint="default" w:ascii="Times New Roman" w:hAnsi="Times New Roman" w:eastAsia="宋体" w:cs="Times New Roman"/>
                      <w:color w:val="auto"/>
                      <w:sz w:val="21"/>
                      <w:szCs w:val="21"/>
                      <w:highlight w:val="none"/>
                    </w:rPr>
                    <w:t>过程产生的</w:t>
                  </w:r>
                  <w:r>
                    <w:rPr>
                      <w:rFonts w:hint="eastAsia" w:cs="Times New Roman"/>
                      <w:color w:val="auto"/>
                      <w:sz w:val="21"/>
                      <w:szCs w:val="21"/>
                      <w:highlight w:val="none"/>
                      <w:lang w:val="en-US" w:eastAsia="zh-CN"/>
                    </w:rPr>
                    <w:t>污染物</w:t>
                  </w:r>
                  <w:r>
                    <w:rPr>
                      <w:rFonts w:hint="eastAsia"/>
                      <w:color w:val="auto"/>
                      <w:highlight w:val="none"/>
                      <w:lang w:val="en-US" w:eastAsia="zh-CN"/>
                    </w:rPr>
                    <w:t>。排放标准参照</w:t>
                  </w:r>
                  <w:r>
                    <w:rPr>
                      <w:rFonts w:hint="eastAsia"/>
                      <w:color w:val="auto"/>
                      <w:sz w:val="21"/>
                      <w:szCs w:val="21"/>
                      <w:highlight w:val="none"/>
                    </w:rPr>
                    <w:t>《工业炉窑大气污染物排放标准》（GB9078-1996）</w:t>
                  </w:r>
                  <w:r>
                    <w:rPr>
                      <w:rFonts w:hint="eastAsia"/>
                      <w:color w:val="auto"/>
                      <w:sz w:val="21"/>
                      <w:szCs w:val="21"/>
                      <w:highlight w:val="none"/>
                      <w:lang w:eastAsia="zh-CN"/>
                    </w:rPr>
                    <w:t>中</w:t>
                  </w:r>
                  <w:r>
                    <w:rPr>
                      <w:rFonts w:hint="eastAsia"/>
                      <w:color w:val="auto"/>
                      <w:sz w:val="21"/>
                      <w:szCs w:val="21"/>
                      <w:highlight w:val="none"/>
                    </w:rPr>
                    <w:t>二级标准排放限值的要求</w:t>
                  </w:r>
                  <w:r>
                    <w:rPr>
                      <w:rFonts w:hint="eastAsia"/>
                      <w:color w:val="auto"/>
                      <w:sz w:val="21"/>
                      <w:szCs w:val="21"/>
                      <w:highlight w:val="none"/>
                      <w:lang w:eastAsia="zh-CN"/>
                    </w:rPr>
                    <w:t>和</w:t>
                  </w:r>
                  <w:r>
                    <w:rPr>
                      <w:color w:val="auto"/>
                      <w:sz w:val="21"/>
                      <w:szCs w:val="21"/>
                      <w:highlight w:val="none"/>
                    </w:rPr>
                    <w:t>《大气污染物综合排放标准》（GB16297-1996）</w:t>
                  </w:r>
                  <w:r>
                    <w:rPr>
                      <w:rFonts w:hint="eastAsia"/>
                      <w:color w:val="auto"/>
                      <w:sz w:val="21"/>
                      <w:szCs w:val="21"/>
                      <w:highlight w:val="none"/>
                    </w:rPr>
                    <w:t>表2中二级标准</w:t>
                  </w:r>
                  <w:r>
                    <w:rPr>
                      <w:rFonts w:hint="eastAsia"/>
                      <w:color w:val="auto"/>
                      <w:sz w:val="21"/>
                      <w:szCs w:val="21"/>
                      <w:highlight w:val="none"/>
                      <w:lang w:eastAsia="zh-CN"/>
                    </w:rPr>
                    <w:t>。</w:t>
                  </w:r>
                  <w:r>
                    <w:rPr>
                      <w:color w:val="auto"/>
                      <w:sz w:val="21"/>
                      <w:szCs w:val="21"/>
                      <w:highlight w:val="none"/>
                    </w:rPr>
                    <w:t>（</w:t>
                  </w:r>
                  <w:r>
                    <w:rPr>
                      <w:rFonts w:hint="eastAsia"/>
                      <w:color w:val="auto"/>
                      <w:sz w:val="21"/>
                      <w:szCs w:val="21"/>
                      <w:highlight w:val="none"/>
                    </w:rPr>
                    <w:t>即颗粒物</w:t>
                  </w:r>
                  <w:r>
                    <w:rPr>
                      <w:color w:val="auto"/>
                      <w:sz w:val="21"/>
                      <w:szCs w:val="21"/>
                      <w:highlight w:val="none"/>
                    </w:rPr>
                    <w:t>≤</w:t>
                  </w:r>
                  <w:r>
                    <w:rPr>
                      <w:rFonts w:hint="eastAsia"/>
                      <w:color w:val="auto"/>
                      <w:sz w:val="21"/>
                      <w:szCs w:val="21"/>
                      <w:highlight w:val="none"/>
                    </w:rPr>
                    <w:t>200</w:t>
                  </w:r>
                  <w:r>
                    <w:rPr>
                      <w:color w:val="auto"/>
                      <w:sz w:val="21"/>
                      <w:szCs w:val="21"/>
                      <w:highlight w:val="none"/>
                    </w:rPr>
                    <w:t>mg/m</w:t>
                  </w:r>
                  <w:r>
                    <w:rPr>
                      <w:color w:val="auto"/>
                      <w:sz w:val="21"/>
                      <w:szCs w:val="21"/>
                      <w:highlight w:val="none"/>
                      <w:vertAlign w:val="superscript"/>
                    </w:rPr>
                    <w:t>3</w:t>
                  </w:r>
                  <w:r>
                    <w:rPr>
                      <w:rFonts w:hint="eastAsia"/>
                      <w:color w:val="auto"/>
                      <w:sz w:val="21"/>
                      <w:szCs w:val="21"/>
                      <w:highlight w:val="none"/>
                    </w:rPr>
                    <w:t>，SO</w:t>
                  </w:r>
                  <w:r>
                    <w:rPr>
                      <w:rFonts w:hint="eastAsia"/>
                      <w:color w:val="auto"/>
                      <w:sz w:val="21"/>
                      <w:szCs w:val="21"/>
                      <w:highlight w:val="none"/>
                      <w:vertAlign w:val="subscript"/>
                    </w:rPr>
                    <w:t>2</w:t>
                  </w:r>
                  <w:r>
                    <w:rPr>
                      <w:color w:val="auto"/>
                      <w:sz w:val="21"/>
                      <w:szCs w:val="21"/>
                      <w:highlight w:val="none"/>
                    </w:rPr>
                    <w:t>≤</w:t>
                  </w:r>
                  <w:r>
                    <w:rPr>
                      <w:rFonts w:hint="eastAsia"/>
                      <w:color w:val="auto"/>
                      <w:sz w:val="21"/>
                      <w:szCs w:val="21"/>
                      <w:highlight w:val="none"/>
                    </w:rPr>
                    <w:t>850</w:t>
                  </w:r>
                  <w:r>
                    <w:rPr>
                      <w:color w:val="auto"/>
                      <w:sz w:val="21"/>
                      <w:szCs w:val="21"/>
                      <w:highlight w:val="none"/>
                    </w:rPr>
                    <w:t>mg/m</w:t>
                  </w:r>
                  <w:r>
                    <w:rPr>
                      <w:color w:val="auto"/>
                      <w:sz w:val="21"/>
                      <w:szCs w:val="21"/>
                      <w:highlight w:val="none"/>
                      <w:vertAlign w:val="superscript"/>
                    </w:rPr>
                    <w:t>3</w:t>
                  </w:r>
                  <w:r>
                    <w:rPr>
                      <w:rFonts w:hint="eastAsia"/>
                      <w:color w:val="auto"/>
                      <w:sz w:val="21"/>
                      <w:szCs w:val="21"/>
                      <w:highlight w:val="none"/>
                      <w:lang w:eastAsia="zh-CN"/>
                    </w:rPr>
                    <w:t>、</w:t>
                  </w:r>
                  <w:r>
                    <w:rPr>
                      <w:rFonts w:hint="eastAsia"/>
                      <w:color w:val="auto"/>
                      <w:sz w:val="21"/>
                      <w:szCs w:val="21"/>
                      <w:highlight w:val="none"/>
                    </w:rPr>
                    <w:t>NOx</w:t>
                  </w:r>
                  <w:r>
                    <w:rPr>
                      <w:color w:val="auto"/>
                      <w:sz w:val="21"/>
                      <w:szCs w:val="21"/>
                      <w:highlight w:val="none"/>
                    </w:rPr>
                    <w:t>≤</w:t>
                  </w:r>
                  <w:r>
                    <w:rPr>
                      <w:rFonts w:hint="eastAsia"/>
                      <w:color w:val="auto"/>
                      <w:sz w:val="21"/>
                      <w:szCs w:val="21"/>
                      <w:highlight w:val="none"/>
                    </w:rPr>
                    <w:t>240</w:t>
                  </w:r>
                  <w:r>
                    <w:rPr>
                      <w:color w:val="auto"/>
                      <w:sz w:val="21"/>
                      <w:szCs w:val="21"/>
                      <w:highlight w:val="none"/>
                    </w:rPr>
                    <w:t>mg/m</w:t>
                  </w:r>
                  <w:r>
                    <w:rPr>
                      <w:rFonts w:hint="eastAsia"/>
                      <w:color w:val="auto"/>
                      <w:sz w:val="21"/>
                      <w:szCs w:val="21"/>
                      <w:highlight w:val="none"/>
                      <w:vertAlign w:val="superscript"/>
                    </w:rPr>
                    <w:t>3</w:t>
                  </w:r>
                  <w:r>
                    <w:rPr>
                      <w:rFonts w:hint="eastAsia"/>
                      <w:color w:val="auto"/>
                      <w:sz w:val="21"/>
                      <w:szCs w:val="21"/>
                      <w:highlight w:val="none"/>
                      <w:lang w:eastAsia="zh-CN"/>
                    </w:rPr>
                    <w:t>）</w:t>
                  </w:r>
                </w:p>
              </w:tc>
              <w:tc>
                <w:tcPr>
                  <w:tcW w:w="718" w:type="dxa"/>
                  <w:noWrap w:val="0"/>
                  <w:vAlign w:val="center"/>
                </w:tcPr>
                <w:p w14:paraId="535E8D0D">
                  <w:pPr>
                    <w:jc w:val="center"/>
                    <w:rPr>
                      <w:color w:val="auto"/>
                      <w:highlight w:val="none"/>
                    </w:rPr>
                  </w:pPr>
                  <w:r>
                    <w:rPr>
                      <w:color w:val="auto"/>
                      <w:kern w:val="0"/>
                      <w:szCs w:val="21"/>
                      <w:highlight w:val="none"/>
                    </w:rPr>
                    <w:t>符合</w:t>
                  </w:r>
                </w:p>
              </w:tc>
            </w:tr>
            <w:tr w14:paraId="061F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center"/>
                </w:tcPr>
                <w:p w14:paraId="18F81426">
                  <w:pPr>
                    <w:widowControl/>
                    <w:jc w:val="left"/>
                    <w:rPr>
                      <w:rFonts w:hint="eastAsia" w:eastAsia="宋体"/>
                      <w:color w:val="auto"/>
                      <w:highlight w:val="none"/>
                      <w:lang w:eastAsia="zh-CN"/>
                    </w:rPr>
                  </w:pPr>
                  <w:r>
                    <w:rPr>
                      <w:rFonts w:hint="eastAsia"/>
                      <w:color w:val="auto"/>
                      <w:highlight w:val="none"/>
                      <w:lang w:eastAsia="zh-CN"/>
                    </w:rPr>
                    <w:t>加大产业结构调整力度，严格建设项目环境准入，新建涉及工业窑炉的建设项目，原则上要入园区，配套高效环保治理设施。</w:t>
                  </w:r>
                </w:p>
              </w:tc>
              <w:tc>
                <w:tcPr>
                  <w:tcW w:w="3191" w:type="dxa"/>
                  <w:noWrap w:val="0"/>
                  <w:vAlign w:val="center"/>
                </w:tcPr>
                <w:p w14:paraId="39530E94">
                  <w:pPr>
                    <w:widowControl/>
                    <w:jc w:val="center"/>
                    <w:rPr>
                      <w:rFonts w:hint="default" w:eastAsia="宋体"/>
                      <w:color w:val="auto"/>
                      <w:highlight w:val="none"/>
                      <w:lang w:val="en-US" w:eastAsia="zh-CN"/>
                    </w:rPr>
                  </w:pPr>
                  <w:r>
                    <w:rPr>
                      <w:rFonts w:hint="eastAsia"/>
                      <w:color w:val="auto"/>
                      <w:sz w:val="21"/>
                      <w:szCs w:val="21"/>
                      <w:highlight w:val="none"/>
                      <w:lang w:eastAsia="zh-CN"/>
                    </w:rPr>
                    <w:t>本项目位于</w:t>
                  </w:r>
                  <w:r>
                    <w:rPr>
                      <w:rFonts w:hint="default" w:ascii="Times New Roman" w:hAnsi="Times New Roman" w:eastAsia="宋体" w:cs="Times New Roman"/>
                      <w:color w:val="auto"/>
                      <w:sz w:val="21"/>
                      <w:szCs w:val="21"/>
                      <w:highlight w:val="none"/>
                      <w:u w:val="none"/>
                      <w:lang w:val="en-US" w:eastAsia="zh-CN"/>
                    </w:rPr>
                    <w:t>云南寻甸产业园区金所片区金所组团内</w:t>
                  </w:r>
                  <w:r>
                    <w:rPr>
                      <w:rFonts w:hint="eastAsia"/>
                      <w:color w:val="auto"/>
                      <w:sz w:val="21"/>
                      <w:szCs w:val="21"/>
                      <w:highlight w:val="none"/>
                      <w:lang w:eastAsia="zh-CN"/>
                    </w:rPr>
                    <w:t>，已取得相关入园同意书，见附件</w:t>
                  </w:r>
                  <w:r>
                    <w:rPr>
                      <w:rFonts w:hint="eastAsia"/>
                      <w:color w:val="auto"/>
                      <w:sz w:val="21"/>
                      <w:szCs w:val="21"/>
                      <w:highlight w:val="none"/>
                      <w:lang w:val="en-US" w:eastAsia="zh-CN"/>
                    </w:rPr>
                    <w:t>6，并配套相应的环保治理设施，</w:t>
                  </w:r>
                  <w:r>
                    <w:rPr>
                      <w:rFonts w:hint="eastAsia"/>
                      <w:color w:val="auto"/>
                      <w:highlight w:val="none"/>
                      <w:lang w:val="en-US" w:eastAsia="zh-CN"/>
                    </w:rPr>
                    <w:t>烘干炉窑排烟系统</w:t>
                  </w:r>
                  <w:r>
                    <w:rPr>
                      <w:rFonts w:hint="default" w:ascii="Times New Roman" w:hAnsi="Times New Roman" w:eastAsia="宋体" w:cs="Times New Roman"/>
                      <w:color w:val="auto"/>
                      <w:sz w:val="21"/>
                      <w:szCs w:val="21"/>
                      <w:highlight w:val="none"/>
                    </w:rPr>
                    <w:t>设置“</w:t>
                  </w:r>
                  <w:r>
                    <w:rPr>
                      <w:rFonts w:hint="eastAsia"/>
                      <w:color w:val="auto"/>
                      <w:sz w:val="21"/>
                      <w:szCs w:val="21"/>
                      <w:highlight w:val="none"/>
                    </w:rPr>
                    <w:t>炉内喷钙脱硫</w:t>
                  </w:r>
                  <w:r>
                    <w:rPr>
                      <w:rFonts w:hint="eastAsia"/>
                      <w:color w:val="auto"/>
                      <w:sz w:val="21"/>
                      <w:szCs w:val="21"/>
                      <w:highlight w:val="none"/>
                      <w:lang w:eastAsia="zh-CN"/>
                    </w:rPr>
                    <w:t>（</w:t>
                  </w:r>
                  <w:r>
                    <w:rPr>
                      <w:rFonts w:hint="eastAsia"/>
                      <w:color w:val="auto"/>
                      <w:sz w:val="21"/>
                      <w:szCs w:val="21"/>
                      <w:highlight w:val="none"/>
                    </w:rPr>
                    <w:t>结合尾部烟气的增湿活化脱硫效应</w:t>
                  </w:r>
                  <w:r>
                    <w:rPr>
                      <w:rFonts w:hint="eastAsia"/>
                      <w:color w:val="auto"/>
                      <w:sz w:val="21"/>
                      <w:szCs w:val="21"/>
                      <w:highlight w:val="none"/>
                      <w:lang w:eastAsia="zh-CN"/>
                    </w:rPr>
                    <w:t>）</w:t>
                  </w:r>
                  <w:r>
                    <w:rPr>
                      <w:rFonts w:hint="eastAsia"/>
                      <w:color w:val="auto"/>
                      <w:sz w:val="21"/>
                      <w:szCs w:val="21"/>
                      <w:highlight w:val="none"/>
                      <w:lang w:val="en-US" w:eastAsia="zh-CN"/>
                    </w:rPr>
                    <w:t>+分级燃烧+</w:t>
                  </w:r>
                  <w:r>
                    <w:rPr>
                      <w:rFonts w:hint="eastAsia"/>
                      <w:color w:val="auto"/>
                      <w:sz w:val="21"/>
                      <w:szCs w:val="21"/>
                      <w:highlight w:val="none"/>
                    </w:rPr>
                    <w:t>SNCR</w:t>
                  </w:r>
                  <w:r>
                    <w:rPr>
                      <w:rFonts w:hint="eastAsia"/>
                      <w:color w:val="auto"/>
                      <w:sz w:val="21"/>
                      <w:szCs w:val="21"/>
                      <w:highlight w:val="none"/>
                      <w:lang w:val="en-US" w:eastAsia="zh-CN"/>
                    </w:rPr>
                    <w:t>喷氨</w:t>
                  </w:r>
                  <w:r>
                    <w:rPr>
                      <w:rFonts w:hint="eastAsia"/>
                      <w:color w:val="auto"/>
                      <w:sz w:val="21"/>
                      <w:szCs w:val="21"/>
                      <w:highlight w:val="none"/>
                    </w:rPr>
                    <w:t>脱硝</w:t>
                  </w:r>
                  <w:r>
                    <w:rPr>
                      <w:rFonts w:hint="eastAsia" w:cs="Times New Roman"/>
                      <w:color w:val="auto"/>
                      <w:sz w:val="21"/>
                      <w:szCs w:val="21"/>
                      <w:highlight w:val="none"/>
                      <w:lang w:val="en-US" w:eastAsia="zh-CN"/>
                    </w:rPr>
                    <w:t>+1套</w:t>
                  </w:r>
                  <w:r>
                    <w:rPr>
                      <w:rFonts w:hint="eastAsia"/>
                      <w:color w:val="auto"/>
                      <w:sz w:val="21"/>
                      <w:szCs w:val="21"/>
                      <w:highlight w:val="none"/>
                    </w:rPr>
                    <w:t>脉冲袋式除尘器</w:t>
                  </w:r>
                  <w:r>
                    <w:rPr>
                      <w:rFonts w:hint="eastAsia" w:cs="Times New Roman"/>
                      <w:color w:val="auto"/>
                      <w:sz w:val="21"/>
                      <w:szCs w:val="21"/>
                      <w:highlight w:val="none"/>
                      <w:lang w:val="en-US" w:eastAsia="zh-CN"/>
                    </w:rPr>
                    <w:t>+25m高排气筒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烘干</w:t>
                  </w:r>
                  <w:r>
                    <w:rPr>
                      <w:rFonts w:hint="default" w:ascii="Times New Roman" w:hAnsi="Times New Roman" w:eastAsia="宋体" w:cs="Times New Roman"/>
                      <w:color w:val="auto"/>
                      <w:sz w:val="21"/>
                      <w:szCs w:val="21"/>
                      <w:highlight w:val="none"/>
                    </w:rPr>
                    <w:t>过程产生的</w:t>
                  </w:r>
                  <w:r>
                    <w:rPr>
                      <w:rFonts w:hint="eastAsia" w:cs="Times New Roman"/>
                      <w:color w:val="auto"/>
                      <w:sz w:val="21"/>
                      <w:szCs w:val="21"/>
                      <w:highlight w:val="none"/>
                      <w:lang w:val="en-US" w:eastAsia="zh-CN"/>
                    </w:rPr>
                    <w:t>污染物</w:t>
                  </w:r>
                  <w:r>
                    <w:rPr>
                      <w:rFonts w:hint="eastAsia"/>
                      <w:color w:val="auto"/>
                      <w:highlight w:val="none"/>
                      <w:lang w:val="en-US" w:eastAsia="zh-CN"/>
                    </w:rPr>
                    <w:t>。</w:t>
                  </w:r>
                </w:p>
              </w:tc>
              <w:tc>
                <w:tcPr>
                  <w:tcW w:w="718" w:type="dxa"/>
                  <w:noWrap w:val="0"/>
                  <w:vAlign w:val="center"/>
                </w:tcPr>
                <w:p w14:paraId="40AC7183">
                  <w:pPr>
                    <w:jc w:val="center"/>
                    <w:rPr>
                      <w:rFonts w:hint="eastAsia" w:eastAsia="宋体"/>
                      <w:color w:val="auto"/>
                      <w:kern w:val="0"/>
                      <w:szCs w:val="21"/>
                      <w:highlight w:val="none"/>
                      <w:lang w:eastAsia="zh-CN"/>
                    </w:rPr>
                  </w:pPr>
                  <w:r>
                    <w:rPr>
                      <w:rFonts w:hint="eastAsia"/>
                      <w:color w:val="auto"/>
                      <w:kern w:val="0"/>
                      <w:szCs w:val="21"/>
                      <w:highlight w:val="none"/>
                      <w:lang w:eastAsia="zh-CN"/>
                    </w:rPr>
                    <w:t>符合</w:t>
                  </w:r>
                </w:p>
              </w:tc>
            </w:tr>
            <w:tr w14:paraId="2424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center"/>
                </w:tcPr>
                <w:p w14:paraId="6BAA79DE">
                  <w:pPr>
                    <w:widowControl/>
                    <w:jc w:val="left"/>
                    <w:rPr>
                      <w:color w:val="auto"/>
                      <w:highlight w:val="none"/>
                    </w:rPr>
                  </w:pPr>
                  <w:r>
                    <w:rPr>
                      <w:rFonts w:hint="eastAsia"/>
                      <w:color w:val="auto"/>
                      <w:highlight w:val="none"/>
                    </w:rPr>
                    <w:t>全面加强无组织排放管理。严格控制工业炉窑生产工艺过程及相关物料储存、输送等无组织排放，在保障生产安全的前提下，采取密闭、封闭等有效措施，有效提高废气收集率，产尘点及车间不得有可见烟粉尘外</w:t>
                  </w:r>
                  <w:r>
                    <w:rPr>
                      <w:rFonts w:hint="eastAsia"/>
                      <w:color w:val="auto"/>
                      <w:highlight w:val="none"/>
                      <w:lang w:eastAsia="zh-CN"/>
                    </w:rPr>
                    <w:t>溢</w:t>
                  </w:r>
                  <w:r>
                    <w:rPr>
                      <w:rFonts w:hint="eastAsia"/>
                      <w:color w:val="auto"/>
                      <w:highlight w:val="none"/>
                    </w:rPr>
                    <w:t>。生产工艺产尘点</w:t>
                  </w:r>
                  <w:r>
                    <w:rPr>
                      <w:rFonts w:hint="eastAsia"/>
                      <w:color w:val="auto"/>
                      <w:highlight w:val="none"/>
                      <w:lang w:eastAsia="zh-CN"/>
                    </w:rPr>
                    <w:t>（</w:t>
                  </w:r>
                  <w:r>
                    <w:rPr>
                      <w:rFonts w:hint="eastAsia"/>
                      <w:color w:val="auto"/>
                      <w:highlight w:val="none"/>
                    </w:rPr>
                    <w:t>装置</w:t>
                  </w:r>
                  <w:r>
                    <w:rPr>
                      <w:rFonts w:hint="eastAsia"/>
                      <w:color w:val="auto"/>
                      <w:highlight w:val="none"/>
                      <w:lang w:eastAsia="zh-CN"/>
                    </w:rPr>
                    <w:t>）</w:t>
                  </w:r>
                  <w:r>
                    <w:rPr>
                      <w:rFonts w:hint="eastAsia"/>
                      <w:color w:val="auto"/>
                      <w:highlight w:val="none"/>
                    </w:rPr>
                    <w:t>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3191" w:type="dxa"/>
                  <w:noWrap w:val="0"/>
                  <w:vAlign w:val="center"/>
                </w:tcPr>
                <w:p w14:paraId="19660F05">
                  <w:pPr>
                    <w:widowControl/>
                    <w:jc w:val="left"/>
                    <w:rPr>
                      <w:rFonts w:hint="default" w:eastAsia="宋体"/>
                      <w:color w:val="auto"/>
                      <w:highlight w:val="none"/>
                      <w:lang w:val="en-US" w:eastAsia="zh-CN"/>
                    </w:rPr>
                  </w:pPr>
                  <w:r>
                    <w:rPr>
                      <w:rFonts w:hint="eastAsia"/>
                      <w:color w:val="auto"/>
                      <w:highlight w:val="none"/>
                      <w:lang w:eastAsia="zh-CN"/>
                    </w:rPr>
                    <w:t>项目原料及产品均设置了厂房，均配备了相应的环保设施，物料在输送的过程中均采用密闭输送系统。</w:t>
                  </w:r>
                </w:p>
              </w:tc>
              <w:tc>
                <w:tcPr>
                  <w:tcW w:w="718" w:type="dxa"/>
                  <w:noWrap w:val="0"/>
                  <w:vAlign w:val="center"/>
                </w:tcPr>
                <w:p w14:paraId="7AC9B72F">
                  <w:pPr>
                    <w:jc w:val="center"/>
                    <w:rPr>
                      <w:color w:val="auto"/>
                      <w:highlight w:val="none"/>
                    </w:rPr>
                  </w:pPr>
                  <w:r>
                    <w:rPr>
                      <w:color w:val="auto"/>
                      <w:kern w:val="0"/>
                      <w:szCs w:val="21"/>
                      <w:highlight w:val="none"/>
                    </w:rPr>
                    <w:t>符合</w:t>
                  </w:r>
                </w:p>
              </w:tc>
            </w:tr>
          </w:tbl>
          <w:p w14:paraId="56F2EF26">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11、</w:t>
            </w:r>
            <w:r>
              <w:rPr>
                <w:rFonts w:hint="default" w:ascii="Times New Roman" w:hAnsi="Times New Roman" w:eastAsia="宋体" w:cs="Times New Roman"/>
                <w:b/>
                <w:bCs w:val="0"/>
                <w:color w:val="auto"/>
                <w:sz w:val="24"/>
                <w:szCs w:val="24"/>
                <w:highlight w:val="none"/>
                <w:lang w:val="en-US" w:eastAsia="zh-CN"/>
              </w:rPr>
              <w:t>选址合理性分析</w:t>
            </w:r>
          </w:p>
          <w:p w14:paraId="7166C26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本项目为</w:t>
            </w:r>
            <w:r>
              <w:rPr>
                <w:rFonts w:hint="eastAsia" w:ascii="Times New Roman" w:hAnsi="Times New Roman" w:eastAsia="宋体" w:cs="Times New Roman"/>
                <w:color w:val="auto"/>
                <w:sz w:val="24"/>
                <w:szCs w:val="24"/>
                <w:highlight w:val="none"/>
                <w:lang w:val="en-US" w:eastAsia="zh-CN"/>
              </w:rPr>
              <w:t>其他煤炭加工</w:t>
            </w:r>
            <w:r>
              <w:rPr>
                <w:rFonts w:hint="eastAsia" w:ascii="Times New Roman" w:hAnsi="Times New Roman" w:eastAsia="宋体" w:cs="Times New Roman"/>
                <w:color w:val="auto"/>
                <w:sz w:val="24"/>
                <w:szCs w:val="24"/>
                <w:highlight w:val="none"/>
                <w:lang w:eastAsia="zh-CN"/>
              </w:rPr>
              <w:t>项</w:t>
            </w:r>
            <w:r>
              <w:rPr>
                <w:rFonts w:hint="eastAsia" w:cs="Times New Roman"/>
                <w:color w:val="auto"/>
                <w:sz w:val="24"/>
                <w:szCs w:val="24"/>
                <w:highlight w:val="none"/>
                <w:lang w:eastAsia="zh-CN"/>
              </w:rPr>
              <w:t>目</w:t>
            </w:r>
            <w:r>
              <w:rPr>
                <w:rFonts w:hint="default" w:ascii="Times New Roman" w:hAnsi="Times New Roman" w:eastAsia="宋体" w:cs="Times New Roman"/>
                <w:b w:val="0"/>
                <w:bCs w:val="0"/>
                <w:color w:val="auto"/>
                <w:kern w:val="0"/>
                <w:sz w:val="24"/>
                <w:szCs w:val="24"/>
                <w:highlight w:val="none"/>
                <w:lang w:val="en-US" w:eastAsia="zh-CN" w:bidi="ar"/>
              </w:rPr>
              <w:t>，位于</w:t>
            </w:r>
            <w:r>
              <w:rPr>
                <w:rFonts w:hint="default" w:ascii="Times New Roman" w:hAnsi="Times New Roman" w:eastAsia="宋体" w:cs="Times New Roman"/>
                <w:color w:val="auto"/>
                <w:sz w:val="24"/>
                <w:szCs w:val="24"/>
                <w:highlight w:val="none"/>
                <w:u w:val="none"/>
                <w:lang w:val="en-US" w:eastAsia="zh-CN"/>
              </w:rPr>
              <w:t>云南寻甸产业园区金所片区金所组团内</w:t>
            </w:r>
            <w:r>
              <w:rPr>
                <w:rFonts w:hint="default" w:ascii="Times New Roman" w:hAnsi="Times New Roman" w:eastAsia="宋体" w:cs="Times New Roman"/>
                <w:b w:val="0"/>
                <w:bCs w:val="0"/>
                <w:color w:val="auto"/>
                <w:kern w:val="0"/>
                <w:sz w:val="24"/>
                <w:szCs w:val="24"/>
                <w:highlight w:val="none"/>
                <w:lang w:val="en-US" w:eastAsia="zh-CN" w:bidi="ar"/>
              </w:rPr>
              <w:t>，用地性质属工业用地，符合园区规划。由于园区基础设施的建设，所选厂地在供电、供水、交通等基础条件十分便利。在采取相应环保措施后，项目产生的废气均可达标排放，对周围环境影响不大；废水可做到不外排，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14:paraId="5E63747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综上，项目建设场地条件、交通运输、环境保护和水、电、通信等条件好，无重大的环境制约因素，项目选址合理。</w:t>
            </w:r>
          </w:p>
          <w:p w14:paraId="569217D1">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12</w:t>
            </w:r>
            <w:r>
              <w:rPr>
                <w:rFonts w:hint="default" w:ascii="Times New Roman" w:hAnsi="Times New Roman" w:eastAsia="宋体" w:cs="Times New Roman"/>
                <w:b/>
                <w:bCs w:val="0"/>
                <w:color w:val="auto"/>
                <w:sz w:val="24"/>
                <w:szCs w:val="24"/>
                <w:highlight w:val="none"/>
                <w:lang w:val="en-US" w:eastAsia="zh-CN"/>
              </w:rPr>
              <w:t>、项目平面布置合理性分析</w:t>
            </w:r>
          </w:p>
          <w:p w14:paraId="3F81B78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本项目位于</w:t>
            </w:r>
            <w:r>
              <w:rPr>
                <w:rFonts w:hint="default" w:ascii="Times New Roman" w:hAnsi="Times New Roman" w:eastAsia="宋体" w:cs="Times New Roman"/>
                <w:color w:val="auto"/>
                <w:sz w:val="24"/>
                <w:szCs w:val="24"/>
                <w:highlight w:val="none"/>
                <w:u w:val="none"/>
                <w:lang w:val="en-US" w:eastAsia="zh-CN"/>
              </w:rPr>
              <w:t>云南寻甸产业园区金所片区金所组团内</w:t>
            </w:r>
            <w:r>
              <w:rPr>
                <w:rFonts w:hint="default" w:ascii="Times New Roman" w:hAnsi="Times New Roman" w:eastAsia="宋体" w:cs="Times New Roman"/>
                <w:b w:val="0"/>
                <w:bCs w:val="0"/>
                <w:color w:val="auto"/>
                <w:kern w:val="0"/>
                <w:sz w:val="24"/>
                <w:szCs w:val="24"/>
                <w:highlight w:val="none"/>
                <w:lang w:val="en-US" w:eastAsia="zh-CN" w:bidi="ar"/>
              </w:rPr>
              <w:t>，项目周边主要为各生产加工型企业；厂区总</w:t>
            </w:r>
            <w:r>
              <w:rPr>
                <w:rFonts w:hint="eastAsia" w:cs="Times New Roman"/>
                <w:b w:val="0"/>
                <w:bCs w:val="0"/>
                <w:color w:val="auto"/>
                <w:kern w:val="0"/>
                <w:sz w:val="24"/>
                <w:szCs w:val="24"/>
                <w:highlight w:val="none"/>
                <w:lang w:val="en-US" w:eastAsia="zh-CN" w:bidi="ar"/>
              </w:rPr>
              <w:t>体</w:t>
            </w:r>
            <w:r>
              <w:rPr>
                <w:rFonts w:hint="default" w:ascii="Times New Roman" w:hAnsi="Times New Roman" w:eastAsia="宋体" w:cs="Times New Roman"/>
                <w:b w:val="0"/>
                <w:bCs w:val="0"/>
                <w:color w:val="auto"/>
                <w:kern w:val="0"/>
                <w:sz w:val="24"/>
                <w:szCs w:val="24"/>
                <w:highlight w:val="none"/>
                <w:lang w:val="en-US" w:eastAsia="zh-CN" w:bidi="ar"/>
              </w:rPr>
              <w:t>方案功能分区明确，总体划分为两个主要区域，即办公区及生产加工区。项目区场地呈东西向，根据项目区地形特点及生产生活的需求，在项目区</w:t>
            </w:r>
            <w:r>
              <w:rPr>
                <w:rFonts w:hint="eastAsia" w:cs="Times New Roman"/>
                <w:b w:val="0"/>
                <w:bCs w:val="0"/>
                <w:color w:val="auto"/>
                <w:kern w:val="0"/>
                <w:sz w:val="24"/>
                <w:szCs w:val="24"/>
                <w:highlight w:val="none"/>
                <w:lang w:val="en-US" w:eastAsia="zh-CN" w:bidi="ar"/>
              </w:rPr>
              <w:t>西侧</w:t>
            </w:r>
            <w:r>
              <w:rPr>
                <w:rFonts w:hint="default" w:ascii="Times New Roman" w:hAnsi="Times New Roman" w:eastAsia="宋体" w:cs="Times New Roman"/>
                <w:b w:val="0"/>
                <w:bCs w:val="0"/>
                <w:color w:val="auto"/>
                <w:kern w:val="0"/>
                <w:sz w:val="24"/>
                <w:szCs w:val="24"/>
                <w:highlight w:val="none"/>
                <w:lang w:val="en-US" w:eastAsia="zh-CN" w:bidi="ar"/>
              </w:rPr>
              <w:t>靠近道路厂界一侧设置1个总出入口，方便物料运进和产品运出；</w:t>
            </w:r>
            <w:r>
              <w:rPr>
                <w:rFonts w:hint="eastAsia" w:cs="Times New Roman"/>
                <w:b w:val="0"/>
                <w:bCs w:val="0"/>
                <w:color w:val="auto"/>
                <w:kern w:val="0"/>
                <w:sz w:val="24"/>
                <w:szCs w:val="24"/>
                <w:highlight w:val="none"/>
                <w:lang w:val="en-US" w:eastAsia="zh-CN" w:bidi="ar"/>
              </w:rPr>
              <w:t>项目区北侧为原料储存区，从北侧到南侧分别为生产区（含烘干区）、成品储存及发运区，东侧为辅助设施区；中控化验楼一楼为实验室，二楼为办公区，</w:t>
            </w:r>
            <w:r>
              <w:rPr>
                <w:rFonts w:hint="default" w:ascii="Times New Roman" w:hAnsi="Times New Roman" w:eastAsia="宋体" w:cs="Times New Roman"/>
                <w:b w:val="0"/>
                <w:bCs w:val="0"/>
                <w:color w:val="auto"/>
                <w:kern w:val="0"/>
                <w:sz w:val="24"/>
                <w:szCs w:val="24"/>
                <w:highlight w:val="none"/>
                <w:lang w:val="en-US" w:eastAsia="zh-CN" w:bidi="ar"/>
              </w:rPr>
              <w:t>位于</w:t>
            </w:r>
            <w:r>
              <w:rPr>
                <w:rFonts w:hint="eastAsia" w:cs="Times New Roman"/>
                <w:b w:val="0"/>
                <w:bCs w:val="0"/>
                <w:color w:val="auto"/>
                <w:kern w:val="0"/>
                <w:sz w:val="24"/>
                <w:szCs w:val="24"/>
                <w:highlight w:val="none"/>
                <w:lang w:val="en-US" w:eastAsia="zh-CN" w:bidi="ar"/>
              </w:rPr>
              <w:t>项目区</w:t>
            </w:r>
            <w:r>
              <w:rPr>
                <w:rFonts w:hint="default" w:ascii="Times New Roman" w:hAnsi="Times New Roman" w:eastAsia="宋体" w:cs="Times New Roman"/>
                <w:b w:val="0"/>
                <w:bCs w:val="0"/>
                <w:color w:val="auto"/>
                <w:kern w:val="0"/>
                <w:sz w:val="24"/>
                <w:szCs w:val="24"/>
                <w:highlight w:val="none"/>
                <w:lang w:val="en-US" w:eastAsia="zh-CN" w:bidi="ar"/>
              </w:rPr>
              <w:t>东侧，生产区及办公区有一定的距离，方便厂区管理又不影响工作人员的办公及生活。项目建、构筑物的布置紧凑合理，人货流通畅顺捷，减少交叉。可满足生产系统的加工和储、装、运等主要生产环节的要求。总体布置分区明确，布置合理。</w:t>
            </w:r>
          </w:p>
          <w:p w14:paraId="2B48D8B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综上所述，从环保角度考虑，项目布局合理。</w:t>
            </w:r>
          </w:p>
          <w:p w14:paraId="6FF4D9F6">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13</w:t>
            </w:r>
            <w:r>
              <w:rPr>
                <w:rFonts w:hint="default" w:ascii="Times New Roman" w:hAnsi="Times New Roman" w:eastAsia="宋体" w:cs="Times New Roman"/>
                <w:b/>
                <w:bCs w:val="0"/>
                <w:color w:val="auto"/>
                <w:sz w:val="24"/>
                <w:szCs w:val="24"/>
                <w:highlight w:val="none"/>
                <w:lang w:val="en-US" w:eastAsia="zh-CN"/>
              </w:rPr>
              <w:t>、环境相容性分析</w:t>
            </w:r>
          </w:p>
          <w:p w14:paraId="363AFA6A">
            <w:pPr>
              <w:pStyle w:val="76"/>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color w:val="auto"/>
                <w:kern w:val="2"/>
                <w:sz w:val="24"/>
                <w:szCs w:val="24"/>
                <w:highlight w:val="none"/>
                <w:lang w:val="en-US" w:eastAsia="zh-CN" w:bidi="ar-SA"/>
              </w:rPr>
              <w:t>本项目位于</w:t>
            </w:r>
            <w:r>
              <w:rPr>
                <w:rFonts w:hint="default" w:ascii="Times New Roman" w:hAnsi="Times New Roman" w:eastAsia="宋体" w:cs="Times New Roman"/>
                <w:color w:val="auto"/>
                <w:sz w:val="24"/>
                <w:szCs w:val="24"/>
                <w:highlight w:val="none"/>
                <w:u w:val="none"/>
                <w:lang w:val="en-US" w:eastAsia="zh-CN"/>
              </w:rPr>
              <w:t>云南寻甸产业园区金所片区金所组团内</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val="zh-CN" w:eastAsia="zh-CN"/>
              </w:rPr>
              <w:t>根据现场调查，</w:t>
            </w:r>
            <w:r>
              <w:rPr>
                <w:rFonts w:hint="default" w:ascii="Times New Roman" w:hAnsi="Times New Roman" w:eastAsia="宋体" w:cs="Times New Roman"/>
                <w:color w:val="auto"/>
                <w:kern w:val="2"/>
                <w:sz w:val="24"/>
                <w:szCs w:val="24"/>
                <w:highlight w:val="none"/>
                <w:lang w:val="en-US" w:eastAsia="zh-CN" w:bidi="ar-SA"/>
              </w:rPr>
              <w:t>项目周边500m范围内主要为</w:t>
            </w:r>
            <w:r>
              <w:rPr>
                <w:rFonts w:hint="default" w:ascii="Times New Roman" w:hAnsi="Times New Roman" w:eastAsia="宋体" w:cs="Times New Roman"/>
                <w:color w:val="auto"/>
                <w:sz w:val="24"/>
                <w:szCs w:val="24"/>
                <w:highlight w:val="none"/>
              </w:rPr>
              <w:t>生产加工</w:t>
            </w:r>
            <w:r>
              <w:rPr>
                <w:rFonts w:hint="default" w:ascii="Times New Roman" w:hAnsi="Times New Roman" w:eastAsia="宋体" w:cs="Times New Roman"/>
                <w:color w:val="auto"/>
                <w:sz w:val="24"/>
                <w:szCs w:val="24"/>
                <w:highlight w:val="none"/>
                <w:lang w:val="en-US" w:eastAsia="zh-CN"/>
              </w:rPr>
              <w:t>型</w:t>
            </w:r>
            <w:r>
              <w:rPr>
                <w:rFonts w:hint="default" w:ascii="Times New Roman" w:hAnsi="Times New Roman" w:eastAsia="宋体" w:cs="Times New Roman"/>
                <w:color w:val="auto"/>
                <w:kern w:val="2"/>
                <w:sz w:val="24"/>
                <w:szCs w:val="24"/>
                <w:highlight w:val="none"/>
                <w:lang w:val="en-US" w:eastAsia="zh-CN" w:bidi="ar-SA"/>
              </w:rPr>
              <w:t>企业，具体企业分布情况见表。</w:t>
            </w:r>
          </w:p>
          <w:p w14:paraId="2B80EB24">
            <w:pPr>
              <w:keepNext w:val="0"/>
              <w:keepLines w:val="0"/>
              <w:pageBreakBefore w:val="0"/>
              <w:widowControl/>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w:t>
            </w:r>
            <w:r>
              <w:rPr>
                <w:rFonts w:hint="default" w:ascii="Times New Roman" w:hAnsi="Times New Roman" w:eastAsia="宋体" w:cs="Times New Roman"/>
                <w:b/>
                <w:bCs/>
                <w:color w:val="auto"/>
                <w:spacing w:val="-2"/>
                <w:sz w:val="21"/>
                <w:szCs w:val="21"/>
                <w:highlight w:val="none"/>
                <w:lang w:val="en-US" w:eastAsia="zh-CN"/>
              </w:rPr>
              <w:t>1-1</w:t>
            </w:r>
            <w:r>
              <w:rPr>
                <w:rFonts w:hint="eastAsia" w:cs="Times New Roman"/>
                <w:b/>
                <w:bCs/>
                <w:color w:val="auto"/>
                <w:spacing w:val="-2"/>
                <w:sz w:val="21"/>
                <w:szCs w:val="21"/>
                <w:highlight w:val="none"/>
                <w:lang w:val="en-US" w:eastAsia="zh-CN"/>
              </w:rPr>
              <w:t>3</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pacing w:val="-2"/>
                <w:sz w:val="21"/>
                <w:szCs w:val="21"/>
                <w:highlight w:val="none"/>
              </w:rPr>
              <w:t>本项目周边企业</w:t>
            </w:r>
            <w:r>
              <w:rPr>
                <w:rFonts w:hint="default" w:ascii="Times New Roman" w:hAnsi="Times New Roman" w:eastAsia="宋体" w:cs="Times New Roman"/>
                <w:b/>
                <w:bCs/>
                <w:color w:val="auto"/>
                <w:spacing w:val="-2"/>
                <w:sz w:val="21"/>
                <w:szCs w:val="21"/>
                <w:highlight w:val="none"/>
                <w:lang w:val="en-US" w:eastAsia="zh-CN"/>
              </w:rPr>
              <w:t>情况</w:t>
            </w:r>
            <w:r>
              <w:rPr>
                <w:rFonts w:hint="default" w:ascii="Times New Roman" w:hAnsi="Times New Roman" w:eastAsia="宋体" w:cs="Times New Roman"/>
                <w:b/>
                <w:bCs/>
                <w:color w:val="auto"/>
                <w:spacing w:val="-2"/>
                <w:sz w:val="21"/>
                <w:szCs w:val="21"/>
                <w:highlight w:val="none"/>
              </w:rPr>
              <w:t>一览表</w:t>
            </w:r>
          </w:p>
          <w:tbl>
            <w:tblPr>
              <w:tblStyle w:val="27"/>
              <w:tblW w:w="7837"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413"/>
              <w:gridCol w:w="1566"/>
              <w:gridCol w:w="972"/>
              <w:gridCol w:w="1219"/>
              <w:gridCol w:w="3667"/>
            </w:tblGrid>
            <w:tr w14:paraId="257C319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14:paraId="25784819">
                  <w:pPr>
                    <w:pStyle w:val="82"/>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566" w:type="dxa"/>
                  <w:tcBorders>
                    <w:tl2br w:val="nil"/>
                    <w:tr2bl w:val="nil"/>
                  </w:tcBorders>
                  <w:noWrap w:val="0"/>
                  <w:vAlign w:val="center"/>
                </w:tcPr>
                <w:p w14:paraId="1296C4F4">
                  <w:pPr>
                    <w:pStyle w:val="82"/>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工业企业单位名称</w:t>
                  </w:r>
                </w:p>
              </w:tc>
              <w:tc>
                <w:tcPr>
                  <w:tcW w:w="972" w:type="dxa"/>
                  <w:tcBorders>
                    <w:tl2br w:val="nil"/>
                    <w:tr2bl w:val="nil"/>
                  </w:tcBorders>
                  <w:noWrap w:val="0"/>
                  <w:vAlign w:val="center"/>
                </w:tcPr>
                <w:p w14:paraId="4AFE10DB">
                  <w:pPr>
                    <w:pStyle w:val="82"/>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0"/>
                      <w:sz w:val="21"/>
                      <w:szCs w:val="21"/>
                      <w:highlight w:val="none"/>
                    </w:rPr>
                    <w:t>与本项目厂界方位、距离</w:t>
                  </w:r>
                </w:p>
              </w:tc>
              <w:tc>
                <w:tcPr>
                  <w:tcW w:w="1219" w:type="dxa"/>
                  <w:tcBorders>
                    <w:tl2br w:val="nil"/>
                    <w:tr2bl w:val="nil"/>
                  </w:tcBorders>
                  <w:noWrap w:val="0"/>
                  <w:vAlign w:val="center"/>
                </w:tcPr>
                <w:p w14:paraId="0F45DE18">
                  <w:pPr>
                    <w:pStyle w:val="82"/>
                    <w:spacing w:before="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z w:val="21"/>
                      <w:szCs w:val="21"/>
                      <w:highlight w:val="none"/>
                    </w:rPr>
                    <w:t>主营业务</w:t>
                  </w:r>
                </w:p>
              </w:tc>
              <w:tc>
                <w:tcPr>
                  <w:tcW w:w="3667" w:type="dxa"/>
                  <w:tcBorders>
                    <w:tl2br w:val="nil"/>
                    <w:tr2bl w:val="nil"/>
                  </w:tcBorders>
                  <w:noWrap w:val="0"/>
                  <w:vAlign w:val="center"/>
                </w:tcPr>
                <w:p w14:paraId="3A463255">
                  <w:pPr>
                    <w:pStyle w:val="82"/>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主要污染物</w:t>
                  </w:r>
                </w:p>
              </w:tc>
            </w:tr>
            <w:tr w14:paraId="212AA40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14:paraId="16E88BAF">
                  <w:pPr>
                    <w:pStyle w:val="82"/>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1566" w:type="dxa"/>
                  <w:tcBorders>
                    <w:tl2br w:val="nil"/>
                    <w:tr2bl w:val="nil"/>
                  </w:tcBorders>
                  <w:noWrap w:val="0"/>
                  <w:vAlign w:val="center"/>
                </w:tcPr>
                <w:p w14:paraId="7891E8CB">
                  <w:pPr>
                    <w:pStyle w:val="82"/>
                    <w:spacing w:before="0"/>
                    <w:jc w:val="center"/>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云南滇木人造板有限公司</w:t>
                  </w:r>
                </w:p>
              </w:tc>
              <w:tc>
                <w:tcPr>
                  <w:tcW w:w="972" w:type="dxa"/>
                  <w:tcBorders>
                    <w:tl2br w:val="nil"/>
                    <w:tr2bl w:val="nil"/>
                  </w:tcBorders>
                  <w:noWrap w:val="0"/>
                  <w:vAlign w:val="center"/>
                </w:tcPr>
                <w:p w14:paraId="59134137">
                  <w:pPr>
                    <w:pStyle w:val="82"/>
                    <w:spacing w:before="0"/>
                    <w:jc w:val="center"/>
                    <w:rPr>
                      <w:rFonts w:hint="default" w:ascii="Times New Roman" w:hAnsi="Times New Roman" w:eastAsia="宋体" w:cs="Times New Roman"/>
                      <w:b w:val="0"/>
                      <w:bCs w:val="0"/>
                      <w:color w:val="auto"/>
                      <w:spacing w:val="-10"/>
                      <w:sz w:val="21"/>
                      <w:szCs w:val="21"/>
                      <w:highlight w:val="none"/>
                    </w:rPr>
                  </w:pPr>
                  <w:r>
                    <w:rPr>
                      <w:rFonts w:hint="eastAsia" w:cs="Times New Roman"/>
                      <w:b w:val="0"/>
                      <w:bCs w:val="0"/>
                      <w:color w:val="auto"/>
                      <w:sz w:val="21"/>
                      <w:szCs w:val="21"/>
                      <w:highlight w:val="none"/>
                      <w:lang w:val="en-US" w:eastAsia="zh-CN"/>
                    </w:rPr>
                    <w:t>南</w:t>
                  </w:r>
                  <w:r>
                    <w:rPr>
                      <w:rFonts w:hint="default" w:ascii="Times New Roman" w:hAnsi="Times New Roman" w:eastAsia="宋体" w:cs="Times New Roman"/>
                      <w:b w:val="0"/>
                      <w:bCs w:val="0"/>
                      <w:color w:val="auto"/>
                      <w:sz w:val="21"/>
                      <w:szCs w:val="21"/>
                      <w:highlight w:val="none"/>
                      <w:lang w:val="en-US" w:eastAsia="zh-CN"/>
                    </w:rPr>
                    <w:t>侧</w:t>
                  </w:r>
                  <w:r>
                    <w:rPr>
                      <w:rFonts w:hint="eastAsia" w:cs="Times New Roman"/>
                      <w:b w:val="0"/>
                      <w:bCs w:val="0"/>
                      <w:color w:val="auto"/>
                      <w:sz w:val="21"/>
                      <w:szCs w:val="21"/>
                      <w:highlight w:val="none"/>
                      <w:lang w:val="en-US" w:eastAsia="zh-CN"/>
                    </w:rPr>
                    <w:t>紧邻</w:t>
                  </w:r>
                </w:p>
              </w:tc>
              <w:tc>
                <w:tcPr>
                  <w:tcW w:w="1219" w:type="dxa"/>
                  <w:tcBorders>
                    <w:tl2br w:val="nil"/>
                    <w:tr2bl w:val="nil"/>
                  </w:tcBorders>
                  <w:noWrap w:val="0"/>
                  <w:vAlign w:val="center"/>
                </w:tcPr>
                <w:p w14:paraId="21E041B7">
                  <w:pPr>
                    <w:pStyle w:val="82"/>
                    <w:spacing w:before="0"/>
                    <w:jc w:val="center"/>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人造板</w:t>
                  </w:r>
                </w:p>
              </w:tc>
              <w:tc>
                <w:tcPr>
                  <w:tcW w:w="3667" w:type="dxa"/>
                  <w:tcBorders>
                    <w:tl2br w:val="nil"/>
                    <w:tr2bl w:val="nil"/>
                  </w:tcBorders>
                  <w:noWrap w:val="0"/>
                  <w:vAlign w:val="center"/>
                </w:tcPr>
                <w:p w14:paraId="2D550A22">
                  <w:pPr>
                    <w:pStyle w:val="82"/>
                    <w:spacing w:befor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废水：生活污水；废气：</w:t>
                  </w:r>
                  <w:r>
                    <w:rPr>
                      <w:rFonts w:hint="default" w:ascii="Times New Roman" w:hAnsi="Times New Roman" w:eastAsia="宋体" w:cs="Times New Roman"/>
                      <w:color w:val="auto"/>
                      <w:spacing w:val="6"/>
                      <w:sz w:val="21"/>
                      <w:szCs w:val="21"/>
                      <w:highlight w:val="none"/>
                    </w:rPr>
                    <w:t>颗粒物、SO</w:t>
                  </w:r>
                  <w:r>
                    <w:rPr>
                      <w:rFonts w:hint="default" w:ascii="Times New Roman" w:hAnsi="Times New Roman" w:eastAsia="宋体" w:cs="Times New Roman"/>
                      <w:color w:val="auto"/>
                      <w:spacing w:val="6"/>
                      <w:sz w:val="21"/>
                      <w:szCs w:val="21"/>
                      <w:highlight w:val="none"/>
                      <w:vertAlign w:val="subscript"/>
                    </w:rPr>
                    <w:t>2</w:t>
                  </w:r>
                  <w:r>
                    <w:rPr>
                      <w:rFonts w:hint="default" w:ascii="Times New Roman" w:hAnsi="Times New Roman" w:eastAsia="宋体" w:cs="Times New Roman"/>
                      <w:color w:val="auto"/>
                      <w:spacing w:val="6"/>
                      <w:sz w:val="21"/>
                      <w:szCs w:val="21"/>
                      <w:highlight w:val="none"/>
                    </w:rPr>
                    <w:t>、NO</w:t>
                  </w:r>
                  <w:r>
                    <w:rPr>
                      <w:rFonts w:hint="default" w:ascii="Times New Roman" w:hAnsi="Times New Roman" w:eastAsia="宋体" w:cs="Times New Roman"/>
                      <w:color w:val="auto"/>
                      <w:spacing w:val="6"/>
                      <w:sz w:val="21"/>
                      <w:szCs w:val="21"/>
                      <w:highlight w:val="none"/>
                      <w:vertAlign w:val="subscript"/>
                    </w:rPr>
                    <w:t>X</w:t>
                  </w:r>
                  <w:r>
                    <w:rPr>
                      <w:rFonts w:hint="default" w:ascii="Times New Roman" w:hAnsi="Times New Roman" w:eastAsia="宋体" w:cs="Times New Roman"/>
                      <w:color w:val="auto"/>
                      <w:spacing w:val="6"/>
                      <w:sz w:val="21"/>
                      <w:szCs w:val="21"/>
                      <w:highlight w:val="none"/>
                    </w:rPr>
                    <w:t>、TVOC</w:t>
                  </w:r>
                  <w:r>
                    <w:rPr>
                      <w:rFonts w:hint="default" w:ascii="Times New Roman" w:hAnsi="Times New Roman" w:eastAsia="宋体" w:cs="Times New Roman"/>
                      <w:color w:val="auto"/>
                      <w:sz w:val="21"/>
                      <w:szCs w:val="21"/>
                      <w:highlight w:val="none"/>
                    </w:rPr>
                    <w:t>；噪声；固废；</w:t>
                  </w:r>
                </w:p>
              </w:tc>
            </w:tr>
            <w:tr w14:paraId="58D2850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14:paraId="26CC98AD">
                  <w:pPr>
                    <w:pStyle w:val="82"/>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566" w:type="dxa"/>
                  <w:tcBorders>
                    <w:tl2br w:val="nil"/>
                    <w:tr2bl w:val="nil"/>
                  </w:tcBorders>
                  <w:noWrap w:val="0"/>
                  <w:vAlign w:val="center"/>
                </w:tcPr>
                <w:p w14:paraId="7ADC5275">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中化云龙有限公司</w:t>
                  </w:r>
                </w:p>
              </w:tc>
              <w:tc>
                <w:tcPr>
                  <w:tcW w:w="972" w:type="dxa"/>
                  <w:tcBorders>
                    <w:tl2br w:val="nil"/>
                    <w:tr2bl w:val="nil"/>
                  </w:tcBorders>
                  <w:noWrap w:val="0"/>
                  <w:vAlign w:val="center"/>
                </w:tcPr>
                <w:p w14:paraId="1EA60CA2">
                  <w:pPr>
                    <w:pStyle w:val="82"/>
                    <w:spacing w:before="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东</w:t>
                  </w:r>
                  <w:r>
                    <w:rPr>
                      <w:rFonts w:hint="default" w:cs="Times New Roman"/>
                      <w:b w:val="0"/>
                      <w:bCs w:val="0"/>
                      <w:color w:val="auto"/>
                      <w:sz w:val="21"/>
                      <w:szCs w:val="21"/>
                      <w:highlight w:val="none"/>
                      <w:lang w:val="en-US" w:eastAsia="zh-CN"/>
                    </w:rPr>
                    <w:t>侧</w:t>
                  </w:r>
                  <w:r>
                    <w:rPr>
                      <w:rFonts w:hint="eastAsia" w:cs="Times New Roman"/>
                      <w:b w:val="0"/>
                      <w:bCs w:val="0"/>
                      <w:color w:val="auto"/>
                      <w:sz w:val="21"/>
                      <w:szCs w:val="21"/>
                      <w:highlight w:val="none"/>
                      <w:lang w:val="en-US" w:eastAsia="zh-CN"/>
                    </w:rPr>
                    <w:t>52</w:t>
                  </w:r>
                  <w:r>
                    <w:rPr>
                      <w:rFonts w:hint="default" w:cs="Times New Roman"/>
                      <w:b w:val="0"/>
                      <w:bCs w:val="0"/>
                      <w:color w:val="auto"/>
                      <w:sz w:val="21"/>
                      <w:szCs w:val="21"/>
                      <w:highlight w:val="none"/>
                      <w:lang w:val="en-US" w:eastAsia="zh-CN"/>
                    </w:rPr>
                    <w:t>m</w:t>
                  </w:r>
                </w:p>
              </w:tc>
              <w:tc>
                <w:tcPr>
                  <w:tcW w:w="1219" w:type="dxa"/>
                  <w:tcBorders>
                    <w:tl2br w:val="nil"/>
                    <w:tr2bl w:val="nil"/>
                  </w:tcBorders>
                  <w:noWrap w:val="0"/>
                  <w:vAlign w:val="center"/>
                </w:tcPr>
                <w:p w14:paraId="7BF40DA6">
                  <w:pPr>
                    <w:pStyle w:val="82"/>
                    <w:spacing w:before="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饲料级磷酸氢钙、饲料级磷酸二氢钙、肥料级磷酸氢钙</w:t>
                  </w:r>
                </w:p>
              </w:tc>
              <w:tc>
                <w:tcPr>
                  <w:tcW w:w="3667" w:type="dxa"/>
                  <w:tcBorders>
                    <w:tl2br w:val="nil"/>
                    <w:tr2bl w:val="nil"/>
                  </w:tcBorders>
                  <w:noWrap w:val="0"/>
                  <w:vAlign w:val="center"/>
                </w:tcPr>
                <w:p w14:paraId="00E4E0DA">
                  <w:pPr>
                    <w:pStyle w:val="82"/>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废水：生活污水；废气：</w:t>
                  </w:r>
                  <w:r>
                    <w:rPr>
                      <w:rFonts w:hint="default" w:ascii="Times New Roman" w:hAnsi="Times New Roman" w:eastAsia="宋体" w:cs="Times New Roman"/>
                      <w:color w:val="auto"/>
                      <w:spacing w:val="6"/>
                      <w:sz w:val="21"/>
                      <w:szCs w:val="21"/>
                      <w:highlight w:val="none"/>
                    </w:rPr>
                    <w:t>颗粒物、SO</w:t>
                  </w:r>
                  <w:r>
                    <w:rPr>
                      <w:rFonts w:hint="default" w:ascii="Times New Roman" w:hAnsi="Times New Roman" w:eastAsia="宋体" w:cs="Times New Roman"/>
                      <w:color w:val="auto"/>
                      <w:spacing w:val="6"/>
                      <w:sz w:val="21"/>
                      <w:szCs w:val="21"/>
                      <w:highlight w:val="none"/>
                      <w:vertAlign w:val="subscript"/>
                    </w:rPr>
                    <w:t>2</w:t>
                  </w:r>
                  <w:r>
                    <w:rPr>
                      <w:rFonts w:hint="default" w:ascii="Times New Roman" w:hAnsi="Times New Roman" w:eastAsia="宋体" w:cs="Times New Roman"/>
                      <w:color w:val="auto"/>
                      <w:spacing w:val="6"/>
                      <w:sz w:val="21"/>
                      <w:szCs w:val="21"/>
                      <w:highlight w:val="none"/>
                    </w:rPr>
                    <w:t>、NO</w:t>
                  </w:r>
                  <w:r>
                    <w:rPr>
                      <w:rFonts w:hint="default" w:ascii="Times New Roman" w:hAnsi="Times New Roman" w:eastAsia="宋体" w:cs="Times New Roman"/>
                      <w:color w:val="auto"/>
                      <w:spacing w:val="6"/>
                      <w:sz w:val="21"/>
                      <w:szCs w:val="21"/>
                      <w:highlight w:val="none"/>
                      <w:vertAlign w:val="subscript"/>
                    </w:rPr>
                    <w:t>X</w:t>
                  </w:r>
                  <w:r>
                    <w:rPr>
                      <w:rFonts w:hint="default" w:ascii="Times New Roman" w:hAnsi="Times New Roman" w:eastAsia="宋体" w:cs="Times New Roman"/>
                      <w:color w:val="auto"/>
                      <w:spacing w:val="6"/>
                      <w:sz w:val="21"/>
                      <w:szCs w:val="21"/>
                      <w:highlight w:val="none"/>
                    </w:rPr>
                    <w:t>、</w:t>
                  </w:r>
                  <w:r>
                    <w:rPr>
                      <w:rFonts w:hint="eastAsia" w:cs="Times New Roman"/>
                      <w:color w:val="auto"/>
                      <w:spacing w:val="6"/>
                      <w:sz w:val="21"/>
                      <w:szCs w:val="21"/>
                      <w:highlight w:val="none"/>
                      <w:lang w:eastAsia="zh-CN"/>
                    </w:rPr>
                    <w:t>氟化物</w:t>
                  </w:r>
                  <w:r>
                    <w:rPr>
                      <w:rFonts w:hint="default" w:ascii="Times New Roman" w:hAnsi="Times New Roman" w:eastAsia="宋体" w:cs="Times New Roman"/>
                      <w:color w:val="auto"/>
                      <w:sz w:val="21"/>
                      <w:szCs w:val="21"/>
                      <w:highlight w:val="none"/>
                    </w:rPr>
                    <w:t>；噪声；固废；</w:t>
                  </w:r>
                </w:p>
              </w:tc>
            </w:tr>
            <w:tr w14:paraId="551AB46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14:paraId="47023776">
                  <w:pPr>
                    <w:pStyle w:val="82"/>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566" w:type="dxa"/>
                  <w:tcBorders>
                    <w:tl2br w:val="nil"/>
                    <w:tr2bl w:val="nil"/>
                  </w:tcBorders>
                  <w:noWrap w:val="0"/>
                  <w:vAlign w:val="center"/>
                </w:tcPr>
                <w:p w14:paraId="60A12908">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云南</w:t>
                  </w:r>
                  <w:r>
                    <w:rPr>
                      <w:rFonts w:hint="eastAsia" w:cs="Times New Roman"/>
                      <w:b w:val="0"/>
                      <w:bCs w:val="0"/>
                      <w:color w:val="auto"/>
                      <w:sz w:val="21"/>
                      <w:szCs w:val="21"/>
                      <w:highlight w:val="none"/>
                      <w:lang w:val="en-US" w:eastAsia="zh-CN"/>
                    </w:rPr>
                    <w:t>寻甸宏盛公司</w:t>
                  </w:r>
                </w:p>
              </w:tc>
              <w:tc>
                <w:tcPr>
                  <w:tcW w:w="972" w:type="dxa"/>
                  <w:tcBorders>
                    <w:tl2br w:val="nil"/>
                    <w:tr2bl w:val="nil"/>
                  </w:tcBorders>
                  <w:noWrap w:val="0"/>
                  <w:vAlign w:val="center"/>
                </w:tcPr>
                <w:p w14:paraId="05186547">
                  <w:pPr>
                    <w:pStyle w:val="82"/>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w:t>
                  </w:r>
                  <w:r>
                    <w:rPr>
                      <w:rFonts w:hint="eastAsia" w:cs="Times New Roman"/>
                      <w:b w:val="0"/>
                      <w:bCs w:val="0"/>
                      <w:color w:val="auto"/>
                      <w:sz w:val="21"/>
                      <w:szCs w:val="21"/>
                      <w:highlight w:val="none"/>
                      <w:lang w:val="en-US" w:eastAsia="zh-CN"/>
                    </w:rPr>
                    <w:t>紧邻</w:t>
                  </w:r>
                </w:p>
              </w:tc>
              <w:tc>
                <w:tcPr>
                  <w:tcW w:w="1219" w:type="dxa"/>
                  <w:tcBorders>
                    <w:tl2br w:val="nil"/>
                    <w:tr2bl w:val="nil"/>
                  </w:tcBorders>
                  <w:noWrap w:val="0"/>
                  <w:vAlign w:val="center"/>
                </w:tcPr>
                <w:p w14:paraId="26109BA4">
                  <w:pPr>
                    <w:pStyle w:val="82"/>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育种</w:t>
                  </w:r>
                </w:p>
              </w:tc>
              <w:tc>
                <w:tcPr>
                  <w:tcW w:w="3667" w:type="dxa"/>
                  <w:tcBorders>
                    <w:tl2br w:val="nil"/>
                    <w:tr2bl w:val="nil"/>
                  </w:tcBorders>
                  <w:noWrap w:val="0"/>
                  <w:vAlign w:val="center"/>
                </w:tcPr>
                <w:p w14:paraId="73089E1E">
                  <w:pPr>
                    <w:pStyle w:val="82"/>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废水：生活污水；废气：</w:t>
                  </w:r>
                  <w:r>
                    <w:rPr>
                      <w:rFonts w:hint="default" w:ascii="Times New Roman" w:hAnsi="Times New Roman" w:eastAsia="宋体" w:cs="Times New Roman"/>
                      <w:color w:val="auto"/>
                      <w:spacing w:val="6"/>
                      <w:sz w:val="21"/>
                      <w:szCs w:val="21"/>
                      <w:highlight w:val="none"/>
                    </w:rPr>
                    <w:t>颗粒物</w:t>
                  </w:r>
                  <w:r>
                    <w:rPr>
                      <w:rFonts w:hint="default" w:ascii="Times New Roman" w:hAnsi="Times New Roman" w:eastAsia="宋体" w:cs="Times New Roman"/>
                      <w:color w:val="auto"/>
                      <w:sz w:val="21"/>
                      <w:szCs w:val="21"/>
                      <w:highlight w:val="none"/>
                    </w:rPr>
                    <w:t>；噪声；固废；</w:t>
                  </w:r>
                </w:p>
              </w:tc>
            </w:tr>
            <w:tr w14:paraId="6330107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14:paraId="68B4B91A">
                  <w:pPr>
                    <w:pStyle w:val="82"/>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1566" w:type="dxa"/>
                  <w:tcBorders>
                    <w:tl2br w:val="nil"/>
                    <w:tr2bl w:val="nil"/>
                  </w:tcBorders>
                  <w:noWrap w:val="0"/>
                  <w:vAlign w:val="center"/>
                </w:tcPr>
                <w:p w14:paraId="74F83AED">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昆明欧铂瑞木制品有限公司</w:t>
                  </w:r>
                </w:p>
              </w:tc>
              <w:tc>
                <w:tcPr>
                  <w:tcW w:w="972" w:type="dxa"/>
                  <w:tcBorders>
                    <w:tl2br w:val="nil"/>
                    <w:tr2bl w:val="nil"/>
                  </w:tcBorders>
                  <w:noWrap w:val="0"/>
                  <w:vAlign w:val="center"/>
                </w:tcPr>
                <w:p w14:paraId="00594D7E">
                  <w:pPr>
                    <w:pStyle w:val="82"/>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北侧287m</w:t>
                  </w:r>
                </w:p>
              </w:tc>
              <w:tc>
                <w:tcPr>
                  <w:tcW w:w="1219" w:type="dxa"/>
                  <w:tcBorders>
                    <w:tl2br w:val="nil"/>
                    <w:tr2bl w:val="nil"/>
                  </w:tcBorders>
                  <w:noWrap w:val="0"/>
                  <w:vAlign w:val="center"/>
                </w:tcPr>
                <w:p w14:paraId="2DA486D2">
                  <w:pPr>
                    <w:pStyle w:val="82"/>
                    <w:spacing w:before="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木材加工、家具</w:t>
                  </w:r>
                </w:p>
              </w:tc>
              <w:tc>
                <w:tcPr>
                  <w:tcW w:w="3667" w:type="dxa"/>
                  <w:tcBorders>
                    <w:tl2br w:val="nil"/>
                    <w:tr2bl w:val="nil"/>
                  </w:tcBorders>
                  <w:noWrap w:val="0"/>
                  <w:vAlign w:val="center"/>
                </w:tcPr>
                <w:p w14:paraId="0E1923BA">
                  <w:pPr>
                    <w:pStyle w:val="82"/>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废水：生活污水；废气：</w:t>
                  </w:r>
                  <w:r>
                    <w:rPr>
                      <w:rFonts w:hint="default" w:ascii="Times New Roman" w:hAnsi="Times New Roman" w:eastAsia="宋体" w:cs="Times New Roman"/>
                      <w:color w:val="auto"/>
                      <w:spacing w:val="6"/>
                      <w:sz w:val="21"/>
                      <w:szCs w:val="21"/>
                      <w:highlight w:val="none"/>
                    </w:rPr>
                    <w:t>颗粒物、TVOC</w:t>
                  </w:r>
                  <w:r>
                    <w:rPr>
                      <w:rFonts w:hint="default" w:ascii="Times New Roman" w:hAnsi="Times New Roman" w:eastAsia="宋体" w:cs="Times New Roman"/>
                      <w:color w:val="auto"/>
                      <w:sz w:val="21"/>
                      <w:szCs w:val="21"/>
                      <w:highlight w:val="none"/>
                    </w:rPr>
                    <w:t>；噪声；固废；</w:t>
                  </w:r>
                </w:p>
              </w:tc>
            </w:tr>
            <w:tr w14:paraId="36DB9DE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14:paraId="6126E1AE">
                  <w:pPr>
                    <w:pStyle w:val="82"/>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1566" w:type="dxa"/>
                  <w:tcBorders>
                    <w:tl2br w:val="nil"/>
                    <w:tr2bl w:val="nil"/>
                  </w:tcBorders>
                  <w:noWrap w:val="0"/>
                  <w:vAlign w:val="center"/>
                </w:tcPr>
                <w:p w14:paraId="4379A3AD">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云南妙富再生资源回收利用有限公司</w:t>
                  </w:r>
                </w:p>
              </w:tc>
              <w:tc>
                <w:tcPr>
                  <w:tcW w:w="972" w:type="dxa"/>
                  <w:tcBorders>
                    <w:tl2br w:val="nil"/>
                    <w:tr2bl w:val="nil"/>
                  </w:tcBorders>
                  <w:noWrap w:val="0"/>
                  <w:vAlign w:val="center"/>
                </w:tcPr>
                <w:p w14:paraId="6830CF86">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西侧紧邻</w:t>
                  </w:r>
                </w:p>
              </w:tc>
              <w:tc>
                <w:tcPr>
                  <w:tcW w:w="1219" w:type="dxa"/>
                  <w:tcBorders>
                    <w:tl2br w:val="nil"/>
                    <w:tr2bl w:val="nil"/>
                  </w:tcBorders>
                  <w:noWrap w:val="0"/>
                  <w:vAlign w:val="center"/>
                </w:tcPr>
                <w:p w14:paraId="1A75045F">
                  <w:pPr>
                    <w:jc w:val="center"/>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汽车拆解</w:t>
                  </w:r>
                </w:p>
              </w:tc>
              <w:tc>
                <w:tcPr>
                  <w:tcW w:w="3667" w:type="dxa"/>
                  <w:tcBorders>
                    <w:tl2br w:val="nil"/>
                    <w:tr2bl w:val="nil"/>
                  </w:tcBorders>
                  <w:noWrap w:val="0"/>
                  <w:vAlign w:val="center"/>
                </w:tcPr>
                <w:p w14:paraId="5CBE4CBC">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废水：生产废水、生活污水；废气：颗粒物、有机废气、硝酸雾、氟化物；噪声；固废；</w:t>
                  </w:r>
                </w:p>
              </w:tc>
            </w:tr>
            <w:tr w14:paraId="3587795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14:paraId="0F9922FD">
                  <w:pPr>
                    <w:pStyle w:val="82"/>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p>
              </w:tc>
              <w:tc>
                <w:tcPr>
                  <w:tcW w:w="1566" w:type="dxa"/>
                  <w:tcBorders>
                    <w:tl2br w:val="nil"/>
                    <w:tr2bl w:val="nil"/>
                  </w:tcBorders>
                  <w:noWrap w:val="0"/>
                  <w:vAlign w:val="center"/>
                </w:tcPr>
                <w:p w14:paraId="3740246C">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云南</w:t>
                  </w:r>
                  <w:r>
                    <w:rPr>
                      <w:rFonts w:hint="eastAsia" w:cs="Times New Roman"/>
                      <w:b w:val="0"/>
                      <w:bCs w:val="0"/>
                      <w:color w:val="auto"/>
                      <w:sz w:val="21"/>
                      <w:szCs w:val="21"/>
                      <w:highlight w:val="none"/>
                      <w:lang w:val="en-US" w:eastAsia="zh-CN"/>
                    </w:rPr>
                    <w:t>建工云岭水泥有限公司</w:t>
                  </w:r>
                </w:p>
              </w:tc>
              <w:tc>
                <w:tcPr>
                  <w:tcW w:w="972" w:type="dxa"/>
                  <w:tcBorders>
                    <w:tl2br w:val="nil"/>
                    <w:tr2bl w:val="nil"/>
                  </w:tcBorders>
                  <w:noWrap w:val="0"/>
                  <w:vAlign w:val="center"/>
                </w:tcPr>
                <w:p w14:paraId="27032809">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w:t>
                  </w:r>
                  <w:r>
                    <w:rPr>
                      <w:rFonts w:hint="eastAsia" w:cs="Times New Roman"/>
                      <w:b w:val="0"/>
                      <w:bCs w:val="0"/>
                      <w:color w:val="auto"/>
                      <w:sz w:val="21"/>
                      <w:szCs w:val="21"/>
                      <w:highlight w:val="none"/>
                      <w:lang w:val="en-US" w:eastAsia="zh-CN"/>
                    </w:rPr>
                    <w:t>侧紧邻</w:t>
                  </w:r>
                </w:p>
              </w:tc>
              <w:tc>
                <w:tcPr>
                  <w:tcW w:w="1219" w:type="dxa"/>
                  <w:tcBorders>
                    <w:tl2br w:val="nil"/>
                    <w:tr2bl w:val="nil"/>
                  </w:tcBorders>
                  <w:noWrap w:val="0"/>
                  <w:vAlign w:val="center"/>
                </w:tcPr>
                <w:p w14:paraId="15AB8F86">
                  <w:pPr>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水泥、砼结构构件制造</w:t>
                  </w:r>
                </w:p>
              </w:tc>
              <w:tc>
                <w:tcPr>
                  <w:tcW w:w="3667" w:type="dxa"/>
                  <w:tcBorders>
                    <w:tl2br w:val="nil"/>
                    <w:tr2bl w:val="nil"/>
                  </w:tcBorders>
                  <w:noWrap w:val="0"/>
                  <w:vAlign w:val="center"/>
                </w:tcPr>
                <w:p w14:paraId="4149E725">
                  <w:pPr>
                    <w:pStyle w:val="82"/>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废水：生活污水；废气：</w:t>
                  </w:r>
                  <w:r>
                    <w:rPr>
                      <w:rFonts w:hint="default" w:ascii="Times New Roman" w:hAnsi="Times New Roman" w:eastAsia="宋体" w:cs="Times New Roman"/>
                      <w:color w:val="auto"/>
                      <w:spacing w:val="6"/>
                      <w:sz w:val="21"/>
                      <w:szCs w:val="21"/>
                      <w:highlight w:val="none"/>
                    </w:rPr>
                    <w:t>颗粒物</w:t>
                  </w:r>
                  <w:r>
                    <w:rPr>
                      <w:rFonts w:hint="default" w:ascii="Times New Roman" w:hAnsi="Times New Roman" w:eastAsia="宋体" w:cs="Times New Roman"/>
                      <w:color w:val="auto"/>
                      <w:sz w:val="21"/>
                      <w:szCs w:val="21"/>
                      <w:highlight w:val="none"/>
                    </w:rPr>
                    <w:t>；噪声；固废；</w:t>
                  </w:r>
                </w:p>
              </w:tc>
            </w:tr>
          </w:tbl>
          <w:p w14:paraId="3500D56C">
            <w:pPr>
              <w:pStyle w:val="76"/>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产生的</w:t>
            </w:r>
            <w:r>
              <w:rPr>
                <w:rFonts w:hint="default" w:ascii="Times New Roman" w:hAnsi="Times New Roman" w:eastAsia="宋体" w:cs="Times New Roman"/>
                <w:color w:val="auto"/>
                <w:kern w:val="2"/>
                <w:sz w:val="24"/>
                <w:szCs w:val="24"/>
                <w:highlight w:val="none"/>
                <w:lang w:val="zh-CN" w:eastAsia="zh-CN" w:bidi="ar-SA"/>
              </w:rPr>
              <w:t>噪声、废气、</w:t>
            </w:r>
            <w:r>
              <w:rPr>
                <w:rFonts w:hint="default" w:ascii="Times New Roman" w:hAnsi="Times New Roman" w:eastAsia="宋体" w:cs="Times New Roman"/>
                <w:color w:val="auto"/>
                <w:kern w:val="2"/>
                <w:sz w:val="24"/>
                <w:szCs w:val="24"/>
                <w:highlight w:val="none"/>
                <w:lang w:val="en-US" w:eastAsia="zh-CN" w:bidi="ar-SA"/>
              </w:rPr>
              <w:t>废水</w:t>
            </w:r>
            <w:r>
              <w:rPr>
                <w:rFonts w:hint="default" w:ascii="Times New Roman" w:hAnsi="Times New Roman" w:eastAsia="宋体" w:cs="Times New Roman"/>
                <w:color w:val="auto"/>
                <w:kern w:val="2"/>
                <w:sz w:val="24"/>
                <w:szCs w:val="24"/>
                <w:highlight w:val="none"/>
                <w:lang w:val="zh-CN" w:eastAsia="zh-CN" w:bidi="ar-SA"/>
              </w:rPr>
              <w:t>均能达标排放，</w:t>
            </w:r>
            <w:r>
              <w:rPr>
                <w:rFonts w:hint="default" w:ascii="Times New Roman" w:hAnsi="Times New Roman" w:eastAsia="宋体" w:cs="Times New Roman"/>
                <w:color w:val="auto"/>
                <w:kern w:val="2"/>
                <w:sz w:val="24"/>
                <w:szCs w:val="24"/>
                <w:highlight w:val="none"/>
                <w:lang w:val="en-US" w:eastAsia="zh-CN" w:bidi="ar-SA"/>
              </w:rPr>
              <w:t>固体废物100%合理处置，</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14:paraId="75739256">
            <w:pPr>
              <w:pStyle w:val="76"/>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综上所述，本项目与</w:t>
            </w:r>
            <w:r>
              <w:rPr>
                <w:rFonts w:hint="default" w:ascii="Times New Roman" w:hAnsi="Times New Roman" w:eastAsia="宋体"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zh-CN" w:eastAsia="zh-CN" w:bidi="ar-SA"/>
              </w:rPr>
              <w:t>环境是相容的。</w:t>
            </w:r>
          </w:p>
          <w:p w14:paraId="25F1B212">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default" w:ascii="Times New Roman" w:hAnsi="Times New Roman" w:eastAsia="宋体" w:cs="Times New Roman"/>
                <w:color w:val="auto"/>
                <w:kern w:val="2"/>
                <w:sz w:val="24"/>
                <w:szCs w:val="24"/>
                <w:highlight w:val="none"/>
                <w:lang w:val="zh-CN" w:eastAsia="zh-CN" w:bidi="ar-SA"/>
              </w:rPr>
            </w:pPr>
          </w:p>
          <w:p w14:paraId="06D8BD35">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08140CED">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4252922C">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43BE687B">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529FD0AD">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0B679B64">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7E959257">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037EF899">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36B591F0">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6F52AC64">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44FAFD42">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7250AC95">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11A98BC2">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 xml:space="preserve"> </w:t>
            </w:r>
          </w:p>
          <w:p w14:paraId="72B30E6D">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7D9F0982">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31A7ABC1">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1CF4364A">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56553B72">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val="en-US" w:eastAsia="zh-CN"/>
              </w:rPr>
            </w:pPr>
          </w:p>
          <w:p w14:paraId="6596A522">
            <w:pPr>
              <w:pStyle w:val="7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default" w:ascii="Times New Roman" w:hAnsi="Times New Roman" w:eastAsia="宋体" w:cs="Times New Roman"/>
                <w:color w:val="auto"/>
                <w:kern w:val="0"/>
                <w:sz w:val="24"/>
                <w:szCs w:val="24"/>
                <w:highlight w:val="none"/>
                <w:lang w:val="en-US" w:eastAsia="zh-CN"/>
              </w:rPr>
            </w:pPr>
          </w:p>
        </w:tc>
      </w:tr>
    </w:tbl>
    <w:p w14:paraId="097BDCF6">
      <w:pPr>
        <w:spacing w:line="360" w:lineRule="auto"/>
        <w:outlineLvl w:val="9"/>
        <w:rPr>
          <w:rFonts w:hint="default" w:ascii="Times New Roman" w:hAnsi="Times New Roman" w:eastAsia="宋体" w:cs="Times New Roman"/>
          <w:color w:val="auto"/>
          <w:sz w:val="30"/>
          <w:highlight w:val="none"/>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0D24350A">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3" w:name="_Toc1587"/>
      <w:bookmarkStart w:id="14" w:name="_Toc22458"/>
      <w:r>
        <w:rPr>
          <w:rFonts w:hint="default" w:ascii="Times New Roman" w:hAnsi="Times New Roman" w:eastAsia="宋体" w:cs="Times New Roman"/>
          <w:b/>
          <w:bCs/>
          <w:snapToGrid w:val="0"/>
          <w:color w:val="auto"/>
          <w:sz w:val="30"/>
          <w:szCs w:val="30"/>
          <w:highlight w:val="none"/>
        </w:rPr>
        <w:t>二、建设项目工程分析</w:t>
      </w:r>
      <w:bookmarkEnd w:id="13"/>
      <w:bookmarkEnd w:id="14"/>
    </w:p>
    <w:tbl>
      <w:tblPr>
        <w:tblStyle w:val="27"/>
        <w:tblW w:w="88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402"/>
      </w:tblGrid>
      <w:tr w14:paraId="02341F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7802DBB1">
            <w:pPr>
              <w:pStyle w:val="24"/>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建设内容</w:t>
            </w:r>
          </w:p>
        </w:tc>
        <w:tc>
          <w:tcPr>
            <w:tcW w:w="8402" w:type="dxa"/>
            <w:vAlign w:val="top"/>
          </w:tcPr>
          <w:p w14:paraId="60E04CE8">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一、项目由来</w:t>
            </w:r>
          </w:p>
          <w:p w14:paraId="6103C18A">
            <w:pPr>
              <w:keepNext w:val="0"/>
              <w:keepLines w:val="0"/>
              <w:pageBreakBefore w:val="0"/>
              <w:kinsoku/>
              <w:wordWrap/>
              <w:overflowPunct/>
              <w:topLinePunct w:val="0"/>
              <w:autoSpaceDE/>
              <w:autoSpaceDN/>
              <w:bidi w:val="0"/>
              <w:spacing w:line="360" w:lineRule="auto"/>
              <w:ind w:firstLine="480" w:firstLineChars="200"/>
              <w:textAlignment w:val="auto"/>
              <w:rPr>
                <w:rFonts w:hint="eastAsia"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煤中的水分越高热效率越低、运输成本越高，因此，煤中的含水率与成本成反比，水分含量高，则煤价越低。为提高褐煤的有效热值，同时减少占地，降低环境污染，在符合国家、行业和地方经济发展规划，符合行业技术进步要求，符合国民经济可持续发展战略要求和循环经济理念的情况下，</w:t>
            </w:r>
            <w:r>
              <w:rPr>
                <w:rFonts w:hint="eastAsia" w:cs="Times New Roman"/>
                <w:color w:val="auto"/>
                <w:sz w:val="24"/>
                <w:highlight w:val="none"/>
                <w:lang w:val="en-US" w:eastAsia="zh-CN"/>
              </w:rPr>
              <w:t>对褐煤进行烘干提质。</w:t>
            </w:r>
          </w:p>
          <w:p w14:paraId="40DB974C">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云南</w:t>
            </w:r>
            <w:r>
              <w:rPr>
                <w:rFonts w:hint="eastAsia" w:cs="Times New Roman"/>
                <w:color w:val="auto"/>
                <w:sz w:val="24"/>
                <w:highlight w:val="none"/>
                <w:lang w:val="en-US" w:eastAsia="zh-CN"/>
              </w:rPr>
              <w:t>中发能源</w:t>
            </w:r>
            <w:r>
              <w:rPr>
                <w:rFonts w:hint="default" w:ascii="Times New Roman" w:hAnsi="Times New Roman" w:eastAsia="宋体" w:cs="Times New Roman"/>
                <w:color w:val="auto"/>
                <w:sz w:val="24"/>
                <w:highlight w:val="none"/>
                <w:lang w:val="en-US" w:eastAsia="zh-CN"/>
              </w:rPr>
              <w:t>有限公司成立于20</w:t>
            </w:r>
            <w:r>
              <w:rPr>
                <w:rFonts w:hint="eastAsia" w:cs="Times New Roman"/>
                <w:color w:val="auto"/>
                <w:sz w:val="24"/>
                <w:highlight w:val="none"/>
                <w:lang w:val="en-US" w:eastAsia="zh-CN"/>
              </w:rPr>
              <w:t>22</w:t>
            </w:r>
            <w:r>
              <w:rPr>
                <w:rFonts w:hint="default" w:ascii="Times New Roman" w:hAnsi="Times New Roman" w:eastAsia="宋体" w:cs="Times New Roman"/>
                <w:color w:val="auto"/>
                <w:sz w:val="24"/>
                <w:highlight w:val="none"/>
                <w:lang w:val="en-US" w:eastAsia="zh-CN"/>
              </w:rPr>
              <w:t>年06月</w:t>
            </w:r>
            <w:r>
              <w:rPr>
                <w:rFonts w:hint="eastAsia" w:cs="Times New Roman"/>
                <w:color w:val="auto"/>
                <w:sz w:val="24"/>
                <w:highlight w:val="none"/>
                <w:lang w:val="en-US" w:eastAsia="zh-CN"/>
              </w:rPr>
              <w:t>09</w:t>
            </w:r>
            <w:r>
              <w:rPr>
                <w:rFonts w:hint="default" w:ascii="Times New Roman" w:hAnsi="Times New Roman" w:eastAsia="宋体" w:cs="Times New Roman"/>
                <w:color w:val="auto"/>
                <w:sz w:val="24"/>
                <w:highlight w:val="none"/>
                <w:lang w:val="en-US" w:eastAsia="zh-CN"/>
              </w:rPr>
              <w:t>日，</w:t>
            </w:r>
            <w:r>
              <w:rPr>
                <w:rFonts w:hint="eastAsia" w:cs="Times New Roman"/>
                <w:color w:val="auto"/>
                <w:sz w:val="24"/>
                <w:highlight w:val="none"/>
                <w:lang w:val="en-US" w:eastAsia="zh-CN"/>
              </w:rPr>
              <w:t>现拟投资78095.86万元</w:t>
            </w:r>
            <w:r>
              <w:rPr>
                <w:rFonts w:hint="default" w:cs="Times New Roman"/>
                <w:color w:val="auto"/>
                <w:sz w:val="24"/>
                <w:highlight w:val="none"/>
                <w:lang w:val="zh-CN" w:eastAsia="zh-CN"/>
              </w:rPr>
              <w:t>在</w:t>
            </w:r>
            <w:r>
              <w:rPr>
                <w:rFonts w:hint="default" w:cs="Times New Roman"/>
                <w:color w:val="auto"/>
                <w:sz w:val="24"/>
                <w:highlight w:val="none"/>
                <w:lang w:val="en-US" w:eastAsia="zh-CN"/>
              </w:rPr>
              <w:t>云南寻甸产业园区金所片区金所组团</w:t>
            </w:r>
            <w:r>
              <w:rPr>
                <w:rFonts w:hint="default" w:ascii="Times New Roman" w:hAnsi="Times New Roman" w:eastAsia="宋体" w:cs="Times New Roman"/>
                <w:color w:val="auto"/>
                <w:sz w:val="24"/>
                <w:szCs w:val="24"/>
                <w:highlight w:val="none"/>
              </w:rPr>
              <w:t>内建设“</w:t>
            </w:r>
            <w:r>
              <w:rPr>
                <w:rFonts w:hint="default" w:ascii="Times New Roman" w:hAnsi="Times New Roman" w:eastAsia="宋体" w:cs="Times New Roman"/>
                <w:color w:val="auto"/>
                <w:sz w:val="24"/>
                <w:szCs w:val="24"/>
                <w:highlight w:val="none"/>
                <w:lang w:val="en-US" w:eastAsia="zh-CN"/>
              </w:rPr>
              <w:t>云南中发能源有限公司年处理300万吨</w:t>
            </w:r>
            <w:r>
              <w:rPr>
                <w:rFonts w:hint="eastAsia" w:ascii="Times New Roman" w:hAnsi="Times New Roman" w:eastAsia="宋体" w:cs="Times New Roman"/>
                <w:color w:val="auto"/>
                <w:sz w:val="24"/>
                <w:szCs w:val="24"/>
                <w:highlight w:val="none"/>
                <w:lang w:val="en-US" w:eastAsia="zh-CN"/>
              </w:rPr>
              <w:t>褐</w:t>
            </w:r>
            <w:r>
              <w:rPr>
                <w:rFonts w:hint="default" w:ascii="Times New Roman" w:hAnsi="Times New Roman" w:eastAsia="宋体" w:cs="Times New Roman"/>
                <w:color w:val="auto"/>
                <w:sz w:val="24"/>
                <w:szCs w:val="24"/>
                <w:highlight w:val="none"/>
                <w:lang w:val="en-US" w:eastAsia="zh-CN"/>
              </w:rPr>
              <w:t>煤</w:t>
            </w:r>
            <w:r>
              <w:rPr>
                <w:rFonts w:hint="eastAsia" w:cs="Times New Roman"/>
                <w:color w:val="auto"/>
                <w:sz w:val="24"/>
                <w:szCs w:val="24"/>
                <w:highlight w:val="none"/>
                <w:lang w:val="en-US" w:eastAsia="zh-CN"/>
              </w:rPr>
              <w:t>提质</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w:t>
            </w:r>
          </w:p>
          <w:p w14:paraId="290BE1B9">
            <w:pPr>
              <w:widowControl/>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项目已于</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lang w:val="en-US" w:eastAsia="zh-CN"/>
              </w:rPr>
              <w:t>日取得了寻甸特色产业园区管理委员会出具的云南</w:t>
            </w:r>
            <w:r>
              <w:rPr>
                <w:rFonts w:hint="eastAsia" w:cs="Times New Roman"/>
                <w:color w:val="auto"/>
                <w:sz w:val="24"/>
                <w:szCs w:val="24"/>
                <w:highlight w:val="none"/>
                <w:lang w:val="en-US" w:eastAsia="zh-CN"/>
              </w:rPr>
              <w:t>中发能源</w:t>
            </w:r>
            <w:r>
              <w:rPr>
                <w:rFonts w:hint="default" w:ascii="Times New Roman" w:hAnsi="Times New Roman" w:eastAsia="宋体" w:cs="Times New Roman"/>
                <w:color w:val="auto"/>
                <w:sz w:val="24"/>
                <w:szCs w:val="24"/>
                <w:highlight w:val="none"/>
                <w:lang w:val="en-US" w:eastAsia="zh-CN"/>
              </w:rPr>
              <w:t>有限公司</w:t>
            </w:r>
            <w:r>
              <w:rPr>
                <w:rFonts w:hint="eastAsia" w:cs="Times New Roman"/>
                <w:color w:val="auto"/>
                <w:sz w:val="24"/>
                <w:szCs w:val="24"/>
                <w:highlight w:val="none"/>
                <w:lang w:val="en-US" w:eastAsia="zh-CN"/>
              </w:rPr>
              <w:t>年处理300万吨褐煤提质项目</w:t>
            </w:r>
            <w:r>
              <w:rPr>
                <w:rFonts w:hint="default" w:ascii="Times New Roman" w:hAnsi="Times New Roman" w:eastAsia="宋体" w:cs="Times New Roman"/>
                <w:color w:val="auto"/>
                <w:sz w:val="24"/>
                <w:szCs w:val="24"/>
                <w:highlight w:val="none"/>
                <w:lang w:val="en-US" w:eastAsia="zh-CN"/>
              </w:rPr>
              <w:t>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同意书中明确“项目符合本园区产业发展要求，同意云南</w:t>
            </w:r>
            <w:r>
              <w:rPr>
                <w:rFonts w:hint="eastAsia" w:cs="Times New Roman"/>
                <w:color w:val="auto"/>
                <w:sz w:val="24"/>
                <w:szCs w:val="24"/>
                <w:highlight w:val="none"/>
                <w:lang w:val="en-US" w:eastAsia="zh-CN"/>
              </w:rPr>
              <w:t>中发能源</w:t>
            </w:r>
            <w:r>
              <w:rPr>
                <w:rFonts w:hint="default" w:ascii="Times New Roman" w:hAnsi="Times New Roman" w:eastAsia="宋体" w:cs="Times New Roman"/>
                <w:color w:val="auto"/>
                <w:sz w:val="24"/>
                <w:szCs w:val="24"/>
                <w:highlight w:val="none"/>
                <w:lang w:val="en-US" w:eastAsia="zh-CN"/>
              </w:rPr>
              <w:t>有限公司</w:t>
            </w:r>
            <w:r>
              <w:rPr>
                <w:rFonts w:hint="eastAsia" w:cs="Times New Roman"/>
                <w:color w:val="auto"/>
                <w:sz w:val="24"/>
                <w:szCs w:val="24"/>
                <w:highlight w:val="none"/>
                <w:lang w:val="en-US" w:eastAsia="zh-CN"/>
              </w:rPr>
              <w:t>年处理300万吨褐煤提质项目</w:t>
            </w:r>
            <w:r>
              <w:rPr>
                <w:rFonts w:hint="default" w:ascii="Times New Roman" w:hAnsi="Times New Roman" w:eastAsia="宋体" w:cs="Times New Roman"/>
                <w:color w:val="auto"/>
                <w:sz w:val="24"/>
                <w:szCs w:val="24"/>
                <w:highlight w:val="none"/>
                <w:lang w:val="en-US" w:eastAsia="zh-CN"/>
              </w:rPr>
              <w:t>入驻寻甸特色产业园区金所片区”。2022年</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云南</w:t>
            </w:r>
            <w:r>
              <w:rPr>
                <w:rFonts w:hint="eastAsia" w:cs="Times New Roman"/>
                <w:color w:val="auto"/>
                <w:sz w:val="24"/>
                <w:szCs w:val="24"/>
                <w:highlight w:val="none"/>
                <w:lang w:val="en-US" w:eastAsia="zh-CN"/>
              </w:rPr>
              <w:t>中发能源</w:t>
            </w:r>
            <w:r>
              <w:rPr>
                <w:rFonts w:hint="default" w:ascii="Times New Roman" w:hAnsi="Times New Roman" w:eastAsia="宋体" w:cs="Times New Roman"/>
                <w:color w:val="auto"/>
                <w:sz w:val="24"/>
                <w:szCs w:val="24"/>
                <w:highlight w:val="none"/>
                <w:lang w:val="en-US" w:eastAsia="zh-CN"/>
              </w:rPr>
              <w:t>有限公司</w:t>
            </w:r>
            <w:r>
              <w:rPr>
                <w:rFonts w:hint="default" w:ascii="Times New Roman" w:hAnsi="Times New Roman" w:eastAsia="宋体" w:cs="Times New Roman"/>
                <w:color w:val="auto"/>
                <w:sz w:val="24"/>
                <w:szCs w:val="24"/>
                <w:highlight w:val="none"/>
              </w:rPr>
              <w:t>取得了</w:t>
            </w:r>
            <w:r>
              <w:rPr>
                <w:rFonts w:hint="default" w:ascii="Times New Roman" w:hAnsi="Times New Roman" w:eastAsia="宋体" w:cs="Times New Roman"/>
                <w:color w:val="auto"/>
                <w:sz w:val="24"/>
                <w:szCs w:val="24"/>
                <w:highlight w:val="none"/>
                <w:lang w:val="en-US" w:eastAsia="zh-CN"/>
              </w:rPr>
              <w:t>寻甸回族彝族自治县发展和改革局</w:t>
            </w:r>
            <w:r>
              <w:rPr>
                <w:rFonts w:hint="default" w:ascii="Times New Roman" w:hAnsi="Times New Roman" w:eastAsia="宋体" w:cs="Times New Roman"/>
                <w:color w:val="auto"/>
                <w:sz w:val="24"/>
                <w:szCs w:val="24"/>
                <w:highlight w:val="none"/>
              </w:rPr>
              <w:t>核发的</w:t>
            </w:r>
            <w:r>
              <w:rPr>
                <w:rFonts w:hint="default" w:ascii="Times New Roman" w:hAnsi="Times New Roman" w:eastAsia="宋体" w:cs="Times New Roman"/>
                <w:color w:val="auto"/>
                <w:sz w:val="24"/>
                <w:szCs w:val="24"/>
                <w:highlight w:val="none"/>
                <w:lang w:val="en-US" w:eastAsia="zh-CN"/>
              </w:rPr>
              <w:t>云南省固定资产投资项目备案证</w:t>
            </w:r>
            <w:r>
              <w:rPr>
                <w:rFonts w:hint="default" w:ascii="Times New Roman" w:hAnsi="Times New Roman" w:eastAsia="宋体" w:cs="Times New Roman"/>
                <w:color w:val="auto"/>
                <w:sz w:val="24"/>
                <w:szCs w:val="24"/>
                <w:highlight w:val="none"/>
              </w:rPr>
              <w:t>，项目代码为：</w:t>
            </w:r>
            <w:r>
              <w:rPr>
                <w:rFonts w:hint="default" w:ascii="Times New Roman" w:hAnsi="Times New Roman" w:eastAsia="宋体" w:cs="Times New Roman"/>
                <w:color w:val="auto"/>
                <w:sz w:val="24"/>
                <w:szCs w:val="24"/>
                <w:highlight w:val="none"/>
                <w:lang w:val="en-US" w:eastAsia="zh-CN"/>
              </w:rPr>
              <w:t>220</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-530129-04-01-</w:t>
            </w:r>
            <w:r>
              <w:rPr>
                <w:rFonts w:hint="eastAsia" w:cs="Times New Roman"/>
                <w:color w:val="auto"/>
                <w:sz w:val="24"/>
                <w:szCs w:val="24"/>
                <w:highlight w:val="none"/>
                <w:lang w:val="en-US" w:eastAsia="zh-CN"/>
              </w:rPr>
              <w:t>264722，项目于2022年8月22日对项目总投资及资金来源进行了变更，于2022年12月5日对建设内容及规模进行了变更，</w:t>
            </w:r>
            <w:r>
              <w:rPr>
                <w:rFonts w:hint="eastAsia"/>
                <w:color w:val="auto"/>
                <w:sz w:val="24"/>
                <w:highlight w:val="none"/>
                <w:lang w:val="zh-CN"/>
              </w:rPr>
              <w:t>项目占地面积</w:t>
            </w:r>
            <w:r>
              <w:rPr>
                <w:rFonts w:hint="eastAsia" w:cs="宋体"/>
                <w:color w:val="auto"/>
                <w:sz w:val="24"/>
                <w:highlight w:val="none"/>
                <w:lang w:val="en-US" w:eastAsia="zh-CN"/>
              </w:rPr>
              <w:t>48666.9</w:t>
            </w:r>
            <w:r>
              <w:rPr>
                <w:rFonts w:hint="default"/>
                <w:color w:val="auto"/>
                <w:sz w:val="24"/>
                <w:highlight w:val="none"/>
                <w:lang w:val="zh-CN"/>
              </w:rPr>
              <w:t>m</w:t>
            </w:r>
            <w:r>
              <w:rPr>
                <w:rFonts w:hint="default"/>
                <w:color w:val="auto"/>
                <w:sz w:val="24"/>
                <w:highlight w:val="none"/>
                <w:vertAlign w:val="superscript"/>
                <w:lang w:val="zh-CN"/>
              </w:rPr>
              <w:t>2</w:t>
            </w:r>
            <w:r>
              <w:rPr>
                <w:rFonts w:hint="eastAsia"/>
                <w:color w:val="auto"/>
                <w:sz w:val="24"/>
                <w:highlight w:val="none"/>
                <w:vertAlign w:val="baseline"/>
                <w:lang w:val="zh-CN"/>
              </w:rPr>
              <w:t>（</w:t>
            </w:r>
            <w:r>
              <w:rPr>
                <w:rFonts w:hint="eastAsia"/>
                <w:color w:val="auto"/>
                <w:sz w:val="24"/>
                <w:highlight w:val="none"/>
                <w:vertAlign w:val="baseline"/>
                <w:lang w:val="en-US" w:eastAsia="zh-CN"/>
              </w:rPr>
              <w:t>73亩</w:t>
            </w:r>
            <w:r>
              <w:rPr>
                <w:rFonts w:hint="eastAsia"/>
                <w:color w:val="auto"/>
                <w:sz w:val="24"/>
                <w:highlight w:val="none"/>
                <w:vertAlign w:val="baseline"/>
                <w:lang w:val="zh-CN"/>
              </w:rPr>
              <w:t>），（项目实际占地面积</w:t>
            </w:r>
            <w:r>
              <w:rPr>
                <w:rFonts w:hint="eastAsia" w:cs="宋体"/>
                <w:color w:val="auto"/>
                <w:sz w:val="24"/>
                <w:highlight w:val="none"/>
                <w:lang w:val="en-US" w:eastAsia="zh-CN"/>
              </w:rPr>
              <w:t>48912</w:t>
            </w:r>
            <w:r>
              <w:rPr>
                <w:rFonts w:hint="default"/>
                <w:color w:val="auto"/>
                <w:sz w:val="24"/>
                <w:highlight w:val="none"/>
                <w:lang w:val="zh-CN"/>
              </w:rPr>
              <w:t>m</w:t>
            </w:r>
            <w:r>
              <w:rPr>
                <w:rFonts w:hint="default"/>
                <w:color w:val="auto"/>
                <w:sz w:val="24"/>
                <w:highlight w:val="none"/>
                <w:vertAlign w:val="superscript"/>
                <w:lang w:val="zh-CN"/>
              </w:rPr>
              <w:t>2</w:t>
            </w:r>
            <w:r>
              <w:rPr>
                <w:rFonts w:hint="eastAsia"/>
                <w:color w:val="auto"/>
                <w:sz w:val="24"/>
                <w:highlight w:val="none"/>
                <w:vertAlign w:val="baseline"/>
                <w:lang w:val="zh-CN"/>
              </w:rPr>
              <w:t>（</w:t>
            </w:r>
            <w:r>
              <w:rPr>
                <w:rFonts w:hint="eastAsia"/>
                <w:color w:val="auto"/>
                <w:sz w:val="24"/>
                <w:highlight w:val="none"/>
                <w:vertAlign w:val="baseline"/>
                <w:lang w:val="en-US" w:eastAsia="zh-CN"/>
              </w:rPr>
              <w:t>根据土地实际面积</w:t>
            </w:r>
            <w:r>
              <w:rPr>
                <w:rFonts w:hint="eastAsia"/>
                <w:color w:val="auto"/>
                <w:sz w:val="24"/>
                <w:highlight w:val="none"/>
                <w:vertAlign w:val="baseline"/>
                <w:lang w:val="zh-CN"/>
              </w:rPr>
              <w:t>））</w:t>
            </w:r>
            <w:r>
              <w:rPr>
                <w:rFonts w:hint="eastAsia"/>
                <w:color w:val="auto"/>
                <w:sz w:val="24"/>
                <w:highlight w:val="none"/>
                <w:lang w:val="zh-CN"/>
              </w:rPr>
              <w:t>，建筑面积约</w:t>
            </w:r>
            <w:r>
              <w:rPr>
                <w:rFonts w:hint="eastAsia"/>
                <w:color w:val="auto"/>
                <w:sz w:val="24"/>
                <w:highlight w:val="none"/>
                <w:lang w:val="en-US" w:eastAsia="zh-CN"/>
              </w:rPr>
              <w:t>43840.5</w:t>
            </w:r>
            <w:r>
              <w:rPr>
                <w:rFonts w:hint="eastAsia"/>
                <w:color w:val="auto"/>
                <w:sz w:val="24"/>
                <w:highlight w:val="none"/>
                <w:lang w:val="zh-CN"/>
              </w:rPr>
              <w:t>m</w:t>
            </w:r>
            <w:r>
              <w:rPr>
                <w:rFonts w:hint="default"/>
                <w:color w:val="auto"/>
                <w:sz w:val="24"/>
                <w:highlight w:val="none"/>
                <w:vertAlign w:val="superscript"/>
                <w:lang w:val="zh-CN"/>
              </w:rPr>
              <w:t>2</w:t>
            </w:r>
            <w:r>
              <w:rPr>
                <w:rFonts w:hint="eastAsia" w:cs="Times New Roman"/>
                <w:color w:val="auto"/>
                <w:sz w:val="24"/>
                <w:szCs w:val="24"/>
                <w:highlight w:val="none"/>
                <w:lang w:val="en-US" w:eastAsia="zh-CN"/>
              </w:rPr>
              <w:t>，分三期建设。</w:t>
            </w:r>
            <w:r>
              <w:rPr>
                <w:rFonts w:hint="default" w:ascii="Times New Roman" w:hAnsi="Times New Roman" w:eastAsia="宋体" w:cs="Times New Roman"/>
                <w:color w:val="auto"/>
                <w:sz w:val="24"/>
                <w:szCs w:val="24"/>
                <w:highlight w:val="none"/>
                <w:lang w:val="en-US" w:eastAsia="zh-CN"/>
              </w:rPr>
              <w:t>一期建设一条年处理100万吨褐煤提质生产线及附属工程，建筑面积为21017.5</w:t>
            </w:r>
            <w:r>
              <w:rPr>
                <w:rFonts w:hint="default"/>
                <w:color w:val="auto"/>
                <w:sz w:val="24"/>
                <w:highlight w:val="none"/>
                <w:lang w:val="zh-CN"/>
              </w:rPr>
              <w:t>m</w:t>
            </w:r>
            <w:r>
              <w:rPr>
                <w:rFonts w:hint="default"/>
                <w:color w:val="auto"/>
                <w:sz w:val="24"/>
                <w:highlight w:val="none"/>
                <w:vertAlign w:val="superscript"/>
                <w:lang w:val="zh-CN"/>
              </w:rPr>
              <w:t>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二期建设一条年处理100万吨褐煤提质生产线，建筑面积为1805.5</w:t>
            </w:r>
            <w:r>
              <w:rPr>
                <w:rFonts w:hint="default"/>
                <w:color w:val="auto"/>
                <w:sz w:val="24"/>
                <w:highlight w:val="none"/>
                <w:lang w:val="zh-CN"/>
              </w:rPr>
              <w:t>m</w:t>
            </w:r>
            <w:r>
              <w:rPr>
                <w:rFonts w:hint="default"/>
                <w:color w:val="auto"/>
                <w:sz w:val="24"/>
                <w:highlight w:val="none"/>
                <w:vertAlign w:val="superscript"/>
                <w:lang w:val="zh-CN"/>
              </w:rPr>
              <w:t>2</w:t>
            </w:r>
            <w:r>
              <w:rPr>
                <w:rFonts w:hint="eastAsia"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val="en-US" w:eastAsia="zh-CN"/>
              </w:rPr>
              <w:t>期建设一条年处理100万吨褐煤提质生产线</w:t>
            </w:r>
            <w:r>
              <w:rPr>
                <w:rFonts w:hint="eastAsia" w:cs="Times New Roman"/>
                <w:color w:val="auto"/>
                <w:sz w:val="24"/>
                <w:szCs w:val="24"/>
                <w:highlight w:val="none"/>
                <w:lang w:val="en-US" w:eastAsia="zh-CN"/>
              </w:rPr>
              <w:t>及附属工程</w:t>
            </w:r>
            <w:r>
              <w:rPr>
                <w:rFonts w:hint="default" w:ascii="Times New Roman" w:hAnsi="Times New Roman" w:eastAsia="宋体" w:cs="Times New Roman"/>
                <w:color w:val="auto"/>
                <w:sz w:val="24"/>
                <w:szCs w:val="24"/>
                <w:highlight w:val="none"/>
                <w:lang w:val="en-US" w:eastAsia="zh-CN"/>
              </w:rPr>
              <w:t>，建筑面积为21017.5</w:t>
            </w:r>
            <w:r>
              <w:rPr>
                <w:rFonts w:hint="default"/>
                <w:color w:val="auto"/>
                <w:sz w:val="24"/>
                <w:highlight w:val="none"/>
                <w:lang w:val="zh-CN"/>
              </w:rPr>
              <w:t>m</w:t>
            </w:r>
            <w:r>
              <w:rPr>
                <w:rFonts w:hint="default"/>
                <w:color w:val="auto"/>
                <w:sz w:val="24"/>
                <w:highlight w:val="none"/>
                <w:vertAlign w:val="superscript"/>
                <w:lang w:val="zh-CN"/>
              </w:rPr>
              <w:t>2</w:t>
            </w:r>
            <w:r>
              <w:rPr>
                <w:rFonts w:hint="eastAsia" w:cs="Times New Roman"/>
                <w:color w:val="auto"/>
                <w:sz w:val="24"/>
                <w:szCs w:val="24"/>
                <w:highlight w:val="none"/>
                <w:lang w:val="en-US" w:eastAsia="zh-CN"/>
              </w:rPr>
              <w:t>。</w:t>
            </w:r>
            <w:r>
              <w:rPr>
                <w:rFonts w:hint="eastAsia"/>
                <w:color w:val="auto"/>
                <w:sz w:val="24"/>
                <w:highlight w:val="none"/>
              </w:rPr>
              <w:t>因项目</w:t>
            </w:r>
            <w:r>
              <w:rPr>
                <w:rFonts w:hint="eastAsia"/>
                <w:color w:val="auto"/>
                <w:sz w:val="24"/>
                <w:highlight w:val="none"/>
                <w:lang w:eastAsia="zh-CN"/>
              </w:rPr>
              <w:t>在立项备案时还属于前期规划阶段，土地占地面积尚未准确确定，后</w:t>
            </w:r>
            <w:r>
              <w:rPr>
                <w:color w:val="auto"/>
                <w:sz w:val="24"/>
                <w:highlight w:val="none"/>
              </w:rPr>
              <w:t>云南</w:t>
            </w:r>
            <w:r>
              <w:rPr>
                <w:rFonts w:hint="eastAsia"/>
                <w:color w:val="auto"/>
                <w:sz w:val="24"/>
                <w:highlight w:val="none"/>
              </w:rPr>
              <w:t>中发能源</w:t>
            </w:r>
            <w:r>
              <w:rPr>
                <w:color w:val="auto"/>
                <w:sz w:val="24"/>
                <w:highlight w:val="none"/>
              </w:rPr>
              <w:t>有限公司</w:t>
            </w:r>
            <w:r>
              <w:rPr>
                <w:rFonts w:hint="eastAsia"/>
                <w:color w:val="auto"/>
                <w:sz w:val="24"/>
                <w:highlight w:val="none"/>
                <w:lang w:eastAsia="zh-CN"/>
              </w:rPr>
              <w:t>取得国有建设用地使用权出让合同后确定</w:t>
            </w:r>
            <w:r>
              <w:rPr>
                <w:rFonts w:hint="eastAsia"/>
                <w:color w:val="auto"/>
                <w:sz w:val="24"/>
                <w:highlight w:val="none"/>
                <w:lang w:val="zh-CN"/>
              </w:rPr>
              <w:t>项目一期实际占地面积</w:t>
            </w:r>
            <w:r>
              <w:rPr>
                <w:rFonts w:hint="eastAsia" w:cs="宋体"/>
                <w:color w:val="auto"/>
                <w:sz w:val="24"/>
                <w:highlight w:val="none"/>
              </w:rPr>
              <w:t>48</w:t>
            </w:r>
            <w:r>
              <w:rPr>
                <w:rFonts w:hint="eastAsia" w:cs="宋体"/>
                <w:color w:val="auto"/>
                <w:sz w:val="24"/>
                <w:highlight w:val="none"/>
                <w:lang w:val="en-US" w:eastAsia="zh-CN"/>
              </w:rPr>
              <w:t>912</w:t>
            </w:r>
            <w:r>
              <w:rPr>
                <w:color w:val="auto"/>
                <w:sz w:val="24"/>
                <w:highlight w:val="none"/>
                <w:lang w:val="zh-CN"/>
              </w:rPr>
              <w:t>m</w:t>
            </w:r>
            <w:r>
              <w:rPr>
                <w:color w:val="auto"/>
                <w:sz w:val="24"/>
                <w:highlight w:val="none"/>
                <w:vertAlign w:val="superscript"/>
                <w:lang w:val="zh-CN"/>
              </w:rPr>
              <w:t>2</w:t>
            </w:r>
            <w:r>
              <w:rPr>
                <w:rFonts w:hint="eastAsia"/>
                <w:color w:val="auto"/>
                <w:sz w:val="24"/>
                <w:highlight w:val="none"/>
                <w:vertAlign w:val="baseline"/>
                <w:lang w:val="zh-CN"/>
              </w:rPr>
              <w:t>。根据项目设计及规划，土地占地面积仅够一期使用，无法建设二、三期，因此本项目</w:t>
            </w:r>
            <w:r>
              <w:rPr>
                <w:rFonts w:hint="eastAsia"/>
                <w:color w:val="auto"/>
                <w:sz w:val="24"/>
                <w:highlight w:val="none"/>
              </w:rPr>
              <w:t>设计规划未涉及第</w:t>
            </w:r>
            <w:r>
              <w:rPr>
                <w:rFonts w:hint="eastAsia"/>
                <w:color w:val="auto"/>
                <w:sz w:val="24"/>
                <w:highlight w:val="none"/>
                <w:lang w:eastAsia="zh-CN"/>
              </w:rPr>
              <w:t>二期、</w:t>
            </w:r>
            <w:r>
              <w:rPr>
                <w:rFonts w:hint="eastAsia"/>
                <w:color w:val="auto"/>
                <w:sz w:val="24"/>
                <w:highlight w:val="none"/>
              </w:rPr>
              <w:t>三期建设内容，</w:t>
            </w:r>
            <w:r>
              <w:rPr>
                <w:rFonts w:hint="eastAsia" w:cs="Times New Roman"/>
                <w:color w:val="auto"/>
                <w:sz w:val="24"/>
                <w:szCs w:val="24"/>
                <w:highlight w:val="none"/>
                <w:lang w:val="en-US" w:eastAsia="zh-CN"/>
              </w:rPr>
              <w:t>本次评价仅针对一期工程建设内容进行评价，二期、三期工程内容建设前需根据法律法规另行办理相关环保手续。本次评价项目名称为</w:t>
            </w:r>
            <w:r>
              <w:rPr>
                <w:rFonts w:hint="default" w:ascii="Times New Roman" w:hAnsi="Times New Roman" w:eastAsia="宋体" w:cs="Times New Roman"/>
                <w:color w:val="auto"/>
                <w:sz w:val="24"/>
                <w:szCs w:val="24"/>
                <w:highlight w:val="none"/>
                <w:lang w:val="en-US" w:eastAsia="zh-CN"/>
              </w:rPr>
              <w:t>云南中发能源有限公司年处理300万吨</w:t>
            </w:r>
            <w:r>
              <w:rPr>
                <w:rFonts w:hint="eastAsia" w:ascii="Times New Roman" w:hAnsi="Times New Roman" w:eastAsia="宋体" w:cs="Times New Roman"/>
                <w:color w:val="auto"/>
                <w:sz w:val="24"/>
                <w:szCs w:val="24"/>
                <w:highlight w:val="none"/>
                <w:lang w:val="en-US" w:eastAsia="zh-CN"/>
              </w:rPr>
              <w:t>褐</w:t>
            </w:r>
            <w:r>
              <w:rPr>
                <w:rFonts w:hint="default" w:ascii="Times New Roman" w:hAnsi="Times New Roman" w:eastAsia="宋体" w:cs="Times New Roman"/>
                <w:color w:val="auto"/>
                <w:sz w:val="24"/>
                <w:szCs w:val="24"/>
                <w:highlight w:val="none"/>
                <w:lang w:val="en-US" w:eastAsia="zh-CN"/>
              </w:rPr>
              <w:t>煤提质项目</w:t>
            </w:r>
            <w:r>
              <w:rPr>
                <w:rFonts w:hint="eastAsia" w:cs="Times New Roman"/>
                <w:color w:val="auto"/>
                <w:sz w:val="24"/>
                <w:szCs w:val="24"/>
                <w:highlight w:val="none"/>
                <w:lang w:val="en-US" w:eastAsia="zh-CN"/>
              </w:rPr>
              <w:t>，评价内容为</w:t>
            </w:r>
            <w:r>
              <w:rPr>
                <w:rFonts w:hint="eastAsia"/>
                <w:color w:val="auto"/>
                <w:sz w:val="24"/>
                <w:highlight w:val="none"/>
                <w:lang w:val="zh-CN"/>
              </w:rPr>
              <w:t>项目占地面积</w:t>
            </w:r>
            <w:r>
              <w:rPr>
                <w:rFonts w:hint="eastAsia" w:cs="宋体"/>
                <w:color w:val="auto"/>
                <w:sz w:val="24"/>
                <w:highlight w:val="none"/>
                <w:lang w:val="en-US" w:eastAsia="zh-CN"/>
              </w:rPr>
              <w:t>48912</w:t>
            </w:r>
            <w:r>
              <w:rPr>
                <w:rFonts w:hint="default"/>
                <w:color w:val="auto"/>
                <w:sz w:val="24"/>
                <w:highlight w:val="none"/>
                <w:lang w:val="zh-CN"/>
              </w:rPr>
              <w:t>m</w:t>
            </w:r>
            <w:r>
              <w:rPr>
                <w:rFonts w:hint="default"/>
                <w:color w:val="auto"/>
                <w:sz w:val="24"/>
                <w:highlight w:val="none"/>
                <w:vertAlign w:val="superscript"/>
                <w:lang w:val="zh-CN"/>
              </w:rPr>
              <w:t>2</w:t>
            </w:r>
            <w:r>
              <w:rPr>
                <w:rFonts w:hint="eastAsia"/>
                <w:color w:val="auto"/>
                <w:sz w:val="24"/>
                <w:highlight w:val="none"/>
                <w:vertAlign w:val="baseline"/>
                <w:lang w:val="zh-CN"/>
              </w:rPr>
              <w:t>（</w:t>
            </w:r>
            <w:r>
              <w:rPr>
                <w:rFonts w:hint="eastAsia"/>
                <w:color w:val="auto"/>
                <w:sz w:val="24"/>
                <w:highlight w:val="none"/>
                <w:vertAlign w:val="baseline"/>
                <w:lang w:val="en-US" w:eastAsia="zh-CN"/>
              </w:rPr>
              <w:t>根据土地实际面积</w:t>
            </w:r>
            <w:r>
              <w:rPr>
                <w:rFonts w:hint="eastAsia"/>
                <w:color w:val="auto"/>
                <w:sz w:val="24"/>
                <w:highlight w:val="none"/>
                <w:vertAlign w:val="baseline"/>
                <w:lang w:val="zh-CN"/>
              </w:rPr>
              <w:t>）</w:t>
            </w:r>
            <w:r>
              <w:rPr>
                <w:rFonts w:hint="eastAsia"/>
                <w:color w:val="auto"/>
                <w:sz w:val="24"/>
                <w:highlight w:val="none"/>
                <w:lang w:val="zh-CN"/>
              </w:rPr>
              <w:t>，建筑面积约</w:t>
            </w:r>
            <w:r>
              <w:rPr>
                <w:rFonts w:hint="eastAsia"/>
                <w:color w:val="auto"/>
                <w:sz w:val="24"/>
                <w:highlight w:val="none"/>
                <w:lang w:val="en-US" w:eastAsia="zh-CN"/>
              </w:rPr>
              <w:t>14286.21</w:t>
            </w:r>
            <w:r>
              <w:rPr>
                <w:rFonts w:hint="eastAsia"/>
                <w:color w:val="auto"/>
                <w:sz w:val="24"/>
                <w:highlight w:val="none"/>
                <w:lang w:val="zh-CN"/>
              </w:rPr>
              <w:t>m</w:t>
            </w:r>
            <w:r>
              <w:rPr>
                <w:rFonts w:hint="default"/>
                <w:color w:val="auto"/>
                <w:sz w:val="24"/>
                <w:highlight w:val="none"/>
                <w:vertAlign w:val="superscript"/>
                <w:lang w:val="zh-CN"/>
              </w:rPr>
              <w:t>2</w:t>
            </w:r>
            <w:r>
              <w:rPr>
                <w:rFonts w:hint="eastAsia" w:cs="Times New Roman"/>
                <w:color w:val="auto"/>
                <w:sz w:val="24"/>
                <w:szCs w:val="24"/>
                <w:highlight w:val="none"/>
                <w:lang w:val="en-US" w:eastAsia="zh-CN"/>
              </w:rPr>
              <w:t>，仅评价建设一期（见附件11）。</w:t>
            </w:r>
            <w:r>
              <w:rPr>
                <w:rFonts w:hint="default" w:ascii="Times New Roman" w:hAnsi="Times New Roman" w:eastAsia="宋体" w:cs="Times New Roman"/>
                <w:color w:val="auto"/>
                <w:sz w:val="24"/>
                <w:szCs w:val="24"/>
                <w:highlight w:val="none"/>
                <w:lang w:val="en-US" w:eastAsia="zh-CN"/>
              </w:rPr>
              <w:t>一期建设一条年处理100万吨褐煤提质生产线及</w:t>
            </w:r>
            <w:r>
              <w:rPr>
                <w:rFonts w:hint="eastAsia" w:cs="Times New Roman"/>
                <w:color w:val="auto"/>
                <w:sz w:val="24"/>
                <w:szCs w:val="24"/>
                <w:highlight w:val="none"/>
                <w:lang w:val="en-US" w:eastAsia="zh-CN"/>
              </w:rPr>
              <w:t>所有</w:t>
            </w:r>
            <w:r>
              <w:rPr>
                <w:rFonts w:hint="default" w:ascii="Times New Roman" w:hAnsi="Times New Roman" w:eastAsia="宋体" w:cs="Times New Roman"/>
                <w:color w:val="auto"/>
                <w:sz w:val="24"/>
                <w:szCs w:val="24"/>
                <w:highlight w:val="none"/>
                <w:lang w:val="en-US" w:eastAsia="zh-CN"/>
              </w:rPr>
              <w:t>附属工程，</w:t>
            </w:r>
            <w:r>
              <w:rPr>
                <w:rFonts w:hint="eastAsia" w:cs="Times New Roman"/>
                <w:color w:val="auto"/>
                <w:sz w:val="24"/>
                <w:szCs w:val="24"/>
                <w:highlight w:val="none"/>
                <w:lang w:val="en-US" w:eastAsia="zh-CN"/>
              </w:rPr>
              <w:t>占地面积为</w:t>
            </w:r>
            <w:r>
              <w:rPr>
                <w:rFonts w:hint="eastAsia" w:cs="宋体"/>
                <w:color w:val="auto"/>
                <w:sz w:val="24"/>
                <w:highlight w:val="none"/>
                <w:lang w:val="en-US" w:eastAsia="zh-CN"/>
              </w:rPr>
              <w:t>48912</w:t>
            </w:r>
            <w:r>
              <w:rPr>
                <w:rFonts w:hint="default"/>
                <w:color w:val="auto"/>
                <w:sz w:val="24"/>
                <w:highlight w:val="none"/>
                <w:lang w:val="zh-CN"/>
              </w:rPr>
              <w:t>m</w:t>
            </w:r>
            <w:r>
              <w:rPr>
                <w:rFonts w:hint="default"/>
                <w:color w:val="auto"/>
                <w:sz w:val="24"/>
                <w:highlight w:val="none"/>
                <w:vertAlign w:val="superscript"/>
                <w:lang w:val="zh-CN"/>
              </w:rPr>
              <w:t>2</w:t>
            </w:r>
            <w:r>
              <w:rPr>
                <w:rFonts w:hint="eastAsia"/>
                <w:color w:val="auto"/>
                <w:sz w:val="24"/>
                <w:highlight w:val="none"/>
                <w:vertAlign w:val="baseline"/>
                <w:lang w:val="zh-CN"/>
              </w:rPr>
              <w:t>（</w:t>
            </w:r>
            <w:r>
              <w:rPr>
                <w:rFonts w:hint="eastAsia"/>
                <w:color w:val="auto"/>
                <w:sz w:val="24"/>
                <w:highlight w:val="none"/>
                <w:vertAlign w:val="baseline"/>
                <w:lang w:val="en-US" w:eastAsia="zh-CN"/>
              </w:rPr>
              <w:t>根据土地实际面积</w:t>
            </w:r>
            <w:r>
              <w:rPr>
                <w:rFonts w:hint="eastAsia"/>
                <w:color w:val="auto"/>
                <w:sz w:val="24"/>
                <w:highlight w:val="none"/>
                <w:vertAlign w:val="baseline"/>
                <w:lang w:val="zh-CN"/>
              </w:rPr>
              <w:t>）</w:t>
            </w:r>
            <w:r>
              <w:rPr>
                <w:rFonts w:hint="eastAsia"/>
                <w:color w:val="auto"/>
                <w:sz w:val="24"/>
                <w:highlight w:val="none"/>
                <w:lang w:val="zh-CN"/>
              </w:rPr>
              <w:t>，建筑面积约</w:t>
            </w:r>
            <w:r>
              <w:rPr>
                <w:rFonts w:hint="eastAsia"/>
                <w:color w:val="auto"/>
                <w:sz w:val="24"/>
                <w:highlight w:val="none"/>
                <w:lang w:val="en-US" w:eastAsia="zh-CN"/>
              </w:rPr>
              <w:t>14286.21</w:t>
            </w:r>
            <w:r>
              <w:rPr>
                <w:rFonts w:hint="eastAsia"/>
                <w:color w:val="auto"/>
                <w:sz w:val="24"/>
                <w:highlight w:val="none"/>
                <w:lang w:val="zh-CN"/>
              </w:rPr>
              <w:t>m</w:t>
            </w:r>
            <w:r>
              <w:rPr>
                <w:rFonts w:hint="default"/>
                <w:color w:val="auto"/>
                <w:sz w:val="24"/>
                <w:highlight w:val="none"/>
                <w:vertAlign w:val="superscript"/>
                <w:lang w:val="zh-CN"/>
              </w:rPr>
              <w:t>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w:t>
            </w:r>
            <w:r>
              <w:rPr>
                <w:rFonts w:hint="eastAsia" w:cs="Times New Roman"/>
                <w:color w:val="auto"/>
                <w:sz w:val="24"/>
                <w:szCs w:val="24"/>
                <w:highlight w:val="none"/>
                <w:lang w:val="en-US" w:eastAsia="zh-CN"/>
              </w:rPr>
              <w:t>次评价</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建成后</w:t>
            </w:r>
            <w:r>
              <w:rPr>
                <w:rFonts w:hint="eastAsia" w:cs="Times New Roman"/>
                <w:color w:val="auto"/>
                <w:sz w:val="24"/>
                <w:szCs w:val="24"/>
                <w:highlight w:val="none"/>
                <w:lang w:val="en-US" w:eastAsia="zh-CN"/>
              </w:rPr>
              <w:t>年处理100万吨褐煤。</w:t>
            </w:r>
          </w:p>
          <w:p w14:paraId="602CE835">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w:t>
            </w:r>
            <w:r>
              <w:rPr>
                <w:rFonts w:hint="eastAsia" w:cs="Times New Roman"/>
                <w:color w:val="auto"/>
                <w:sz w:val="24"/>
                <w:szCs w:val="24"/>
                <w:highlight w:val="none"/>
                <w:lang w:val="en-US" w:eastAsia="zh-CN"/>
              </w:rPr>
              <w:t>二十二</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石油、煤炭及其他燃料加工业42煤炭加工252  其他煤炭加工</w:t>
            </w:r>
            <w:r>
              <w:rPr>
                <w:rFonts w:hint="default" w:ascii="Times New Roman" w:hAnsi="Times New Roman" w:eastAsia="宋体" w:cs="Times New Roman"/>
                <w:color w:val="auto"/>
                <w:kern w:val="0"/>
                <w:sz w:val="24"/>
                <w:szCs w:val="24"/>
                <w:highlight w:val="none"/>
                <w:lang w:val="en-US" w:eastAsia="zh-CN" w:bidi="ar"/>
              </w:rPr>
              <w:t>”，需编制环境影响报告表。为此，</w:t>
            </w:r>
            <w:r>
              <w:rPr>
                <w:rFonts w:hint="default" w:ascii="Times New Roman" w:hAnsi="Times New Roman" w:eastAsia="宋体" w:cs="Times New Roman"/>
                <w:color w:val="auto"/>
                <w:sz w:val="24"/>
                <w:highlight w:val="none"/>
                <w:lang w:val="en-US" w:eastAsia="zh-CN"/>
              </w:rPr>
              <w:t>云南</w:t>
            </w:r>
            <w:r>
              <w:rPr>
                <w:rFonts w:hint="eastAsia" w:cs="Times New Roman"/>
                <w:color w:val="auto"/>
                <w:sz w:val="24"/>
                <w:highlight w:val="none"/>
                <w:lang w:val="en-US" w:eastAsia="zh-CN"/>
              </w:rPr>
              <w:t>中发能源</w:t>
            </w:r>
            <w:r>
              <w:rPr>
                <w:rFonts w:hint="default" w:ascii="Times New Roman" w:hAnsi="Times New Roman" w:eastAsia="宋体" w:cs="Times New Roman"/>
                <w:color w:val="auto"/>
                <w:sz w:val="24"/>
                <w:highlight w:val="none"/>
                <w:lang w:val="en-US" w:eastAsia="zh-CN"/>
              </w:rPr>
              <w:t>有限公司</w:t>
            </w:r>
            <w:r>
              <w:rPr>
                <w:rFonts w:hint="default" w:ascii="Times New Roman" w:hAnsi="Times New Roman" w:eastAsia="宋体" w:cs="Times New Roman"/>
                <w:color w:val="auto"/>
                <w:kern w:val="0"/>
                <w:sz w:val="24"/>
                <w:szCs w:val="24"/>
                <w:highlight w:val="none"/>
                <w:lang w:val="en-US" w:eastAsia="zh-CN" w:bidi="ar"/>
              </w:rPr>
              <w:t>委托云南勤策环境检测技术有限公司承担该项目的环境影响报告表编制工作（委托书见附件1）。我单位接受委托后，根据国家建设项目环境管理</w:t>
            </w:r>
            <w:r>
              <w:rPr>
                <w:rFonts w:hint="default" w:ascii="Times New Roman" w:hAnsi="Times New Roman" w:eastAsia="宋体" w:cs="Times New Roman"/>
                <w:color w:val="auto"/>
                <w:sz w:val="24"/>
                <w:szCs w:val="24"/>
                <w:highlight w:val="none"/>
              </w:rPr>
              <w:t>的有关规定，对项目建设地周围环境状况进行了实地调查，收集及核实了当地有关环境资料，按照环境影响评价有关技术规范编制了《</w:t>
            </w:r>
            <w:r>
              <w:rPr>
                <w:rFonts w:hint="default" w:ascii="Times New Roman" w:hAnsi="Times New Roman" w:eastAsia="宋体" w:cs="Times New Roman"/>
                <w:color w:val="auto"/>
                <w:sz w:val="24"/>
                <w:szCs w:val="24"/>
                <w:highlight w:val="none"/>
                <w:lang w:val="en-US" w:eastAsia="zh-CN"/>
              </w:rPr>
              <w:t>云南中发能源有限公司年处理300万吨</w:t>
            </w:r>
            <w:r>
              <w:rPr>
                <w:rFonts w:hint="eastAsia" w:ascii="Times New Roman" w:hAnsi="Times New Roman" w:eastAsia="宋体" w:cs="Times New Roman"/>
                <w:color w:val="auto"/>
                <w:sz w:val="24"/>
                <w:szCs w:val="24"/>
                <w:highlight w:val="none"/>
                <w:lang w:val="en-US" w:eastAsia="zh-CN"/>
              </w:rPr>
              <w:t>褐</w:t>
            </w:r>
            <w:r>
              <w:rPr>
                <w:rFonts w:hint="default" w:ascii="Times New Roman" w:hAnsi="Times New Roman" w:eastAsia="宋体" w:cs="Times New Roman"/>
                <w:color w:val="auto"/>
                <w:sz w:val="24"/>
                <w:szCs w:val="24"/>
                <w:highlight w:val="none"/>
                <w:lang w:val="en-US" w:eastAsia="zh-CN"/>
              </w:rPr>
              <w:t>煤提质项目</w:t>
            </w:r>
            <w:r>
              <w:rPr>
                <w:rFonts w:hint="default" w:ascii="Times New Roman" w:hAnsi="Times New Roman" w:eastAsia="宋体" w:cs="Times New Roman"/>
                <w:color w:val="auto"/>
                <w:sz w:val="24"/>
                <w:szCs w:val="24"/>
                <w:highlight w:val="none"/>
              </w:rPr>
              <w:t>环境影响报告表》，供建设单位上报审批</w:t>
            </w:r>
            <w:r>
              <w:rPr>
                <w:rFonts w:hint="default" w:ascii="Times New Roman" w:hAnsi="Times New Roman" w:eastAsia="宋体" w:cs="Times New Roman"/>
                <w:color w:val="auto"/>
                <w:sz w:val="24"/>
                <w:szCs w:val="24"/>
                <w:highlight w:val="none"/>
                <w:lang w:eastAsia="zh-CN"/>
              </w:rPr>
              <w:t>。</w:t>
            </w:r>
          </w:p>
          <w:p w14:paraId="2601293F">
            <w:pPr>
              <w:pStyle w:val="10"/>
              <w:keepNext w:val="0"/>
              <w:keepLines w:val="0"/>
              <w:pageBreakBefore w:val="0"/>
              <w:widowControl w:val="0"/>
              <w:tabs>
                <w:tab w:val="center" w:pos="4360"/>
              </w:tabs>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二、</w:t>
            </w:r>
            <w:r>
              <w:rPr>
                <w:rFonts w:hint="default" w:ascii="Times New Roman" w:hAnsi="Times New Roman" w:eastAsia="宋体" w:cs="Times New Roman"/>
                <w:b/>
                <w:color w:val="auto"/>
                <w:sz w:val="24"/>
                <w:szCs w:val="24"/>
                <w:highlight w:val="none"/>
              </w:rPr>
              <w:t>工程内容及规模</w:t>
            </w:r>
          </w:p>
          <w:p w14:paraId="3B8B82FE">
            <w:pPr>
              <w:pStyle w:val="16"/>
              <w:adjustRightInd w:val="0"/>
              <w:snapToGrid w:val="0"/>
              <w:spacing w:line="360" w:lineRule="auto"/>
              <w:ind w:firstLine="482" w:firstLineChars="200"/>
              <w:rPr>
                <w:rFonts w:hint="eastAsia"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rPr>
              <w:t>1、</w:t>
            </w:r>
            <w:r>
              <w:rPr>
                <w:rFonts w:hint="eastAsia" w:ascii="Times New Roman" w:hAnsi="Times New Roman" w:cs="Times New Roman"/>
                <w:b/>
                <w:color w:val="auto"/>
                <w:sz w:val="24"/>
                <w:highlight w:val="none"/>
                <w:lang w:eastAsia="zh-CN"/>
              </w:rPr>
              <w:t>项目概况</w:t>
            </w:r>
          </w:p>
          <w:p w14:paraId="66156C66">
            <w:pPr>
              <w:snapToGrid w:val="0"/>
              <w:spacing w:line="360" w:lineRule="auto"/>
              <w:ind w:firstLine="480" w:firstLineChars="200"/>
              <w:rPr>
                <w:color w:val="auto"/>
                <w:sz w:val="24"/>
                <w:highlight w:val="none"/>
              </w:rPr>
            </w:pPr>
            <w:r>
              <w:rPr>
                <w:color w:val="auto"/>
                <w:sz w:val="24"/>
                <w:highlight w:val="none"/>
              </w:rPr>
              <w:t>项目名称：</w:t>
            </w:r>
            <w:r>
              <w:rPr>
                <w:rFonts w:hint="default" w:ascii="Times New Roman" w:hAnsi="Times New Roman" w:eastAsia="宋体" w:cs="Times New Roman"/>
                <w:color w:val="auto"/>
                <w:sz w:val="24"/>
                <w:szCs w:val="24"/>
                <w:highlight w:val="none"/>
                <w:lang w:val="en-US" w:eastAsia="zh-CN"/>
              </w:rPr>
              <w:t>云南中发能源有限公司年处理300万吨</w:t>
            </w:r>
            <w:r>
              <w:rPr>
                <w:rFonts w:hint="eastAsia" w:ascii="Times New Roman" w:hAnsi="Times New Roman" w:eastAsia="宋体" w:cs="Times New Roman"/>
                <w:color w:val="auto"/>
                <w:sz w:val="24"/>
                <w:szCs w:val="24"/>
                <w:highlight w:val="none"/>
                <w:lang w:val="en-US" w:eastAsia="zh-CN"/>
              </w:rPr>
              <w:t>褐</w:t>
            </w:r>
            <w:r>
              <w:rPr>
                <w:rFonts w:hint="default" w:ascii="Times New Roman" w:hAnsi="Times New Roman" w:eastAsia="宋体" w:cs="Times New Roman"/>
                <w:color w:val="auto"/>
                <w:sz w:val="24"/>
                <w:szCs w:val="24"/>
                <w:highlight w:val="none"/>
                <w:lang w:val="en-US" w:eastAsia="zh-CN"/>
              </w:rPr>
              <w:t>煤提质项目</w:t>
            </w:r>
          </w:p>
          <w:p w14:paraId="08569475">
            <w:pPr>
              <w:adjustRightInd w:val="0"/>
              <w:snapToGrid w:val="0"/>
              <w:spacing w:line="360" w:lineRule="auto"/>
              <w:ind w:firstLine="480" w:firstLineChars="200"/>
              <w:rPr>
                <w:color w:val="auto"/>
                <w:sz w:val="24"/>
                <w:highlight w:val="none"/>
              </w:rPr>
            </w:pPr>
            <w:r>
              <w:rPr>
                <w:color w:val="auto"/>
                <w:sz w:val="24"/>
                <w:highlight w:val="none"/>
              </w:rPr>
              <w:t>项目建设地点：</w:t>
            </w:r>
            <w:r>
              <w:rPr>
                <w:rFonts w:hint="default" w:ascii="Times New Roman" w:hAnsi="Times New Roman" w:eastAsia="宋体" w:cs="Times New Roman"/>
                <w:color w:val="auto"/>
                <w:sz w:val="24"/>
                <w:szCs w:val="24"/>
                <w:highlight w:val="none"/>
                <w:u w:val="none"/>
                <w:lang w:val="en-US" w:eastAsia="zh-CN"/>
              </w:rPr>
              <w:t>云南寻甸产业园区金所片区金所组团内</w:t>
            </w:r>
            <w:r>
              <w:rPr>
                <w:rFonts w:hint="eastAsia"/>
                <w:color w:val="auto"/>
                <w:sz w:val="24"/>
                <w:highlight w:val="none"/>
              </w:rPr>
              <w:t>，地理位置中心坐标东</w:t>
            </w:r>
            <w:r>
              <w:rPr>
                <w:color w:val="auto"/>
                <w:sz w:val="24"/>
                <w:highlight w:val="none"/>
              </w:rPr>
              <w:t>经</w:t>
            </w:r>
            <w:r>
              <w:rPr>
                <w:rFonts w:hint="eastAsia"/>
                <w:color w:val="auto"/>
                <w:sz w:val="24"/>
                <w:highlight w:val="none"/>
                <w:lang w:val="en-US" w:eastAsia="zh-CN"/>
              </w:rPr>
              <w:t>103</w:t>
            </w:r>
            <w:r>
              <w:rPr>
                <w:color w:val="auto"/>
                <w:sz w:val="24"/>
                <w:highlight w:val="none"/>
              </w:rPr>
              <w:t>°</w:t>
            </w:r>
            <w:r>
              <w:rPr>
                <w:rFonts w:hint="eastAsia"/>
                <w:color w:val="auto"/>
                <w:sz w:val="24"/>
                <w:highlight w:val="none"/>
                <w:lang w:val="en-US" w:eastAsia="zh-CN"/>
              </w:rPr>
              <w:t>11</w:t>
            </w:r>
            <w:r>
              <w:rPr>
                <w:color w:val="auto"/>
                <w:sz w:val="24"/>
                <w:highlight w:val="none"/>
              </w:rPr>
              <w:t>′</w:t>
            </w:r>
            <w:r>
              <w:rPr>
                <w:rFonts w:hint="eastAsia"/>
                <w:color w:val="auto"/>
                <w:sz w:val="24"/>
                <w:highlight w:val="none"/>
                <w:lang w:val="en-US" w:eastAsia="zh-CN"/>
              </w:rPr>
              <w:t>44.826</w:t>
            </w:r>
            <w:r>
              <w:rPr>
                <w:color w:val="auto"/>
                <w:sz w:val="24"/>
                <w:highlight w:val="none"/>
              </w:rPr>
              <w:t>″，北纬25°</w:t>
            </w:r>
            <w:r>
              <w:rPr>
                <w:rFonts w:hint="eastAsia"/>
                <w:color w:val="auto"/>
                <w:sz w:val="24"/>
                <w:highlight w:val="none"/>
                <w:lang w:val="en-US" w:eastAsia="zh-CN"/>
              </w:rPr>
              <w:t>33</w:t>
            </w:r>
            <w:r>
              <w:rPr>
                <w:color w:val="auto"/>
                <w:sz w:val="24"/>
                <w:highlight w:val="none"/>
              </w:rPr>
              <w:t>′</w:t>
            </w:r>
            <w:r>
              <w:rPr>
                <w:rFonts w:hint="eastAsia"/>
                <w:color w:val="auto"/>
                <w:sz w:val="24"/>
                <w:highlight w:val="none"/>
                <w:lang w:val="en-US" w:eastAsia="zh-CN"/>
              </w:rPr>
              <w:t>40.417</w:t>
            </w:r>
            <w:r>
              <w:rPr>
                <w:color w:val="auto"/>
                <w:sz w:val="24"/>
                <w:highlight w:val="none"/>
              </w:rPr>
              <w:t>″。</w:t>
            </w:r>
          </w:p>
          <w:p w14:paraId="70BDE157">
            <w:pPr>
              <w:adjustRightInd w:val="0"/>
              <w:snapToGrid w:val="0"/>
              <w:spacing w:line="360" w:lineRule="auto"/>
              <w:ind w:firstLine="480" w:firstLineChars="200"/>
              <w:rPr>
                <w:rFonts w:hint="eastAsia" w:cs="宋体"/>
                <w:color w:val="auto"/>
                <w:sz w:val="24"/>
                <w:highlight w:val="none"/>
              </w:rPr>
            </w:pPr>
            <w:r>
              <w:rPr>
                <w:color w:val="auto"/>
                <w:sz w:val="24"/>
                <w:highlight w:val="none"/>
              </w:rPr>
              <w:t>建设单位：</w:t>
            </w:r>
            <w:r>
              <w:rPr>
                <w:rFonts w:hint="default" w:ascii="Times New Roman" w:hAnsi="Times New Roman" w:eastAsia="宋体" w:cs="Times New Roman"/>
                <w:color w:val="auto"/>
                <w:sz w:val="24"/>
                <w:szCs w:val="24"/>
                <w:highlight w:val="none"/>
                <w:lang w:val="en-US" w:eastAsia="zh-CN"/>
              </w:rPr>
              <w:t>云南中发能源有限公司</w:t>
            </w:r>
          </w:p>
          <w:p w14:paraId="352FDB40">
            <w:pPr>
              <w:adjustRightInd w:val="0"/>
              <w:snapToGrid w:val="0"/>
              <w:spacing w:line="360" w:lineRule="auto"/>
              <w:ind w:firstLine="480" w:firstLineChars="200"/>
              <w:rPr>
                <w:color w:val="auto"/>
                <w:sz w:val="24"/>
                <w:highlight w:val="none"/>
              </w:rPr>
            </w:pPr>
            <w:r>
              <w:rPr>
                <w:color w:val="auto"/>
                <w:sz w:val="24"/>
                <w:highlight w:val="none"/>
              </w:rPr>
              <w:t>建设性质：新建</w:t>
            </w:r>
          </w:p>
          <w:p w14:paraId="1B69FB2D">
            <w:pPr>
              <w:adjustRightInd w:val="0"/>
              <w:snapToGrid w:val="0"/>
              <w:spacing w:line="360" w:lineRule="auto"/>
              <w:ind w:firstLine="480" w:firstLineChars="200"/>
              <w:rPr>
                <w:color w:val="auto"/>
                <w:sz w:val="24"/>
                <w:highlight w:val="none"/>
              </w:rPr>
            </w:pPr>
            <w:r>
              <w:rPr>
                <w:color w:val="auto"/>
                <w:sz w:val="24"/>
                <w:highlight w:val="none"/>
              </w:rPr>
              <w:t>项目投资：</w:t>
            </w:r>
            <w:r>
              <w:rPr>
                <w:rFonts w:hint="default" w:ascii="Times New Roman" w:hAnsi="Times New Roman" w:eastAsia="宋体" w:cs="Times New Roman"/>
                <w:color w:val="auto"/>
                <w:sz w:val="24"/>
                <w:highlight w:val="none"/>
              </w:rPr>
              <w:t>项目总投资</w:t>
            </w:r>
            <w:r>
              <w:rPr>
                <w:rFonts w:hint="eastAsia" w:cs="Times New Roman"/>
                <w:color w:val="auto"/>
                <w:sz w:val="24"/>
                <w:szCs w:val="24"/>
                <w:highlight w:val="none"/>
                <w:lang w:val="en-US" w:eastAsia="zh-CN"/>
              </w:rPr>
              <w:t>35000</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val="en-US" w:eastAsia="zh-CN"/>
              </w:rPr>
              <w:t>环保</w:t>
            </w:r>
            <w:r>
              <w:rPr>
                <w:rFonts w:hint="default" w:ascii="Times New Roman" w:hAnsi="Times New Roman" w:eastAsia="宋体" w:cs="Times New Roman"/>
                <w:color w:val="auto"/>
                <w:sz w:val="24"/>
                <w:highlight w:val="none"/>
              </w:rPr>
              <w:t>投资</w:t>
            </w:r>
            <w:r>
              <w:rPr>
                <w:rFonts w:hint="eastAsia" w:cs="Times New Roman"/>
                <w:color w:val="auto"/>
                <w:sz w:val="24"/>
                <w:highlight w:val="none"/>
                <w:lang w:val="en-US" w:eastAsia="zh-CN"/>
              </w:rPr>
              <w:t>2981</w:t>
            </w:r>
            <w:r>
              <w:rPr>
                <w:rFonts w:hint="default" w:ascii="Times New Roman" w:hAnsi="Times New Roman" w:eastAsia="宋体" w:cs="Times New Roman"/>
                <w:color w:val="auto"/>
                <w:sz w:val="24"/>
                <w:highlight w:val="none"/>
              </w:rPr>
              <w:t>万元，占总投资的</w:t>
            </w:r>
            <w:r>
              <w:rPr>
                <w:rFonts w:hint="eastAsia" w:cs="Times New Roman"/>
                <w:color w:val="auto"/>
                <w:sz w:val="24"/>
                <w:highlight w:val="none"/>
                <w:lang w:val="en-US" w:eastAsia="zh-CN"/>
              </w:rPr>
              <w:t>8.52</w:t>
            </w:r>
            <w:r>
              <w:rPr>
                <w:rFonts w:hint="default" w:ascii="Times New Roman" w:hAnsi="Times New Roman" w:eastAsia="宋体" w:cs="Times New Roman"/>
                <w:color w:val="auto"/>
                <w:sz w:val="24"/>
                <w:highlight w:val="none"/>
              </w:rPr>
              <w:t>%</w:t>
            </w:r>
            <w:r>
              <w:rPr>
                <w:color w:val="auto"/>
                <w:sz w:val="24"/>
                <w:highlight w:val="none"/>
              </w:rPr>
              <w:t>。</w:t>
            </w:r>
          </w:p>
          <w:p w14:paraId="4C888166">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rPr>
              <w:t>建设规模：</w:t>
            </w:r>
            <w:r>
              <w:rPr>
                <w:rFonts w:hint="eastAsia"/>
                <w:color w:val="auto"/>
                <w:sz w:val="24"/>
                <w:highlight w:val="none"/>
                <w:lang w:val="zh-CN"/>
              </w:rPr>
              <w:t>项目占地面积</w:t>
            </w:r>
            <w:r>
              <w:rPr>
                <w:rFonts w:hint="eastAsia" w:cs="宋体"/>
                <w:color w:val="auto"/>
                <w:sz w:val="24"/>
                <w:highlight w:val="none"/>
                <w:lang w:val="en-US" w:eastAsia="zh-CN"/>
              </w:rPr>
              <w:t>48912</w:t>
            </w:r>
            <w:r>
              <w:rPr>
                <w:rFonts w:hint="default"/>
                <w:color w:val="auto"/>
                <w:sz w:val="24"/>
                <w:highlight w:val="none"/>
                <w:lang w:val="zh-CN"/>
              </w:rPr>
              <w:t>m</w:t>
            </w:r>
            <w:r>
              <w:rPr>
                <w:rFonts w:hint="default"/>
                <w:color w:val="auto"/>
                <w:sz w:val="24"/>
                <w:highlight w:val="none"/>
                <w:vertAlign w:val="superscript"/>
                <w:lang w:val="zh-CN"/>
              </w:rPr>
              <w:t>2</w:t>
            </w:r>
            <w:r>
              <w:rPr>
                <w:rFonts w:hint="eastAsia"/>
                <w:color w:val="auto"/>
                <w:sz w:val="24"/>
                <w:highlight w:val="none"/>
                <w:lang w:val="zh-CN"/>
              </w:rPr>
              <w:t>，建筑面积约</w:t>
            </w:r>
            <w:r>
              <w:rPr>
                <w:rFonts w:hint="eastAsia"/>
                <w:color w:val="auto"/>
                <w:sz w:val="24"/>
                <w:highlight w:val="none"/>
                <w:lang w:val="en-US" w:eastAsia="zh-CN"/>
              </w:rPr>
              <w:t>14286.21</w:t>
            </w:r>
            <w:r>
              <w:rPr>
                <w:rFonts w:hint="eastAsia"/>
                <w:color w:val="auto"/>
                <w:sz w:val="24"/>
                <w:highlight w:val="none"/>
                <w:lang w:val="zh-CN"/>
              </w:rPr>
              <w:t>m</w:t>
            </w:r>
            <w:r>
              <w:rPr>
                <w:rFonts w:hint="default"/>
                <w:color w:val="auto"/>
                <w:sz w:val="24"/>
                <w:highlight w:val="none"/>
                <w:vertAlign w:val="superscript"/>
                <w:lang w:val="zh-CN"/>
              </w:rPr>
              <w:t>2</w:t>
            </w:r>
            <w:r>
              <w:rPr>
                <w:rFonts w:hint="eastAsia"/>
                <w:color w:val="auto"/>
                <w:sz w:val="24"/>
                <w:highlight w:val="none"/>
                <w:lang w:val="zh-CN"/>
              </w:rPr>
              <w:t>。项目建成后年提质处理</w:t>
            </w:r>
            <w:r>
              <w:rPr>
                <w:rFonts w:hint="eastAsia"/>
                <w:color w:val="auto"/>
                <w:sz w:val="24"/>
                <w:highlight w:val="none"/>
                <w:lang w:val="en-US" w:eastAsia="zh-CN"/>
              </w:rPr>
              <w:t>100万吨褐煤</w:t>
            </w:r>
            <w:r>
              <w:rPr>
                <w:rFonts w:hint="eastAsia"/>
                <w:color w:val="auto"/>
                <w:sz w:val="24"/>
                <w:highlight w:val="none"/>
                <w:lang w:val="zh-CN"/>
              </w:rPr>
              <w:t>。</w:t>
            </w:r>
          </w:p>
          <w:p w14:paraId="55E235D7">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2、项目建设内容及规模</w:t>
            </w:r>
          </w:p>
          <w:p w14:paraId="709DCD0C">
            <w:pPr>
              <w:widowControl/>
              <w:adjustRightInd w:val="0"/>
              <w:snapToGrid w:val="0"/>
              <w:spacing w:line="360" w:lineRule="auto"/>
              <w:ind w:firstLine="480" w:firstLineChars="20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rPr>
              <w:t>项目建设内容</w:t>
            </w:r>
            <w:r>
              <w:rPr>
                <w:rFonts w:hint="default" w:ascii="Times New Roman" w:hAnsi="Times New Roman" w:eastAsia="宋体" w:cs="Times New Roman"/>
                <w:color w:val="auto"/>
                <w:sz w:val="24"/>
                <w:szCs w:val="24"/>
                <w:highlight w:val="none"/>
              </w:rPr>
              <w:t>包括主体工程、辅助工程、公用工程、环保工</w:t>
            </w:r>
            <w:r>
              <w:rPr>
                <w:rFonts w:hint="default" w:ascii="Times New Roman" w:hAnsi="Times New Roman" w:eastAsia="宋体" w:cs="Times New Roman"/>
                <w:color w:val="auto"/>
                <w:sz w:val="24"/>
                <w:szCs w:val="24"/>
                <w:highlight w:val="none"/>
                <w:lang w:val="en-US" w:eastAsia="zh-CN"/>
              </w:rPr>
              <w:t>程。项目建设一条年处理100万吨褐煤提质生产线及附属工程，年处理</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00万吨褐煤。本项目</w:t>
            </w:r>
            <w:r>
              <w:rPr>
                <w:rFonts w:hint="default" w:ascii="Times New Roman" w:hAnsi="Times New Roman" w:eastAsia="宋体" w:cs="Times New Roman"/>
                <w:color w:val="auto"/>
                <w:sz w:val="24"/>
                <w:highlight w:val="none"/>
              </w:rPr>
              <w:t>主要建设内容见表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-1。</w:t>
            </w:r>
          </w:p>
          <w:p w14:paraId="01FCA434">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-1 </w:t>
            </w:r>
            <w:r>
              <w:rPr>
                <w:rFonts w:hint="default"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en-US" w:eastAsia="zh-CN"/>
              </w:rPr>
              <w:t>本</w:t>
            </w:r>
            <w:r>
              <w:rPr>
                <w:rFonts w:hint="default" w:ascii="Times New Roman" w:hAnsi="Times New Roman" w:eastAsia="宋体" w:cs="Times New Roman"/>
                <w:b/>
                <w:bCs/>
                <w:color w:val="auto"/>
                <w:szCs w:val="21"/>
                <w:highlight w:val="none"/>
              </w:rPr>
              <w:t>项目</w:t>
            </w:r>
            <w:r>
              <w:rPr>
                <w:rFonts w:hint="eastAsia" w:cs="Times New Roman"/>
                <w:b/>
                <w:bCs/>
                <w:color w:val="auto"/>
                <w:szCs w:val="21"/>
                <w:highlight w:val="none"/>
                <w:lang w:eastAsia="zh-CN"/>
              </w:rPr>
              <w:t>工程</w:t>
            </w:r>
            <w:r>
              <w:rPr>
                <w:rFonts w:hint="default" w:ascii="Times New Roman" w:hAnsi="Times New Roman" w:eastAsia="宋体" w:cs="Times New Roman"/>
                <w:b/>
                <w:bCs/>
                <w:color w:val="auto"/>
                <w:szCs w:val="21"/>
                <w:highlight w:val="none"/>
              </w:rPr>
              <w:t>组成一览表</w:t>
            </w:r>
          </w:p>
          <w:tbl>
            <w:tblPr>
              <w:tblStyle w:val="27"/>
              <w:tblW w:w="8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
              <w:gridCol w:w="389"/>
              <w:gridCol w:w="476"/>
              <w:gridCol w:w="660"/>
              <w:gridCol w:w="5121"/>
              <w:gridCol w:w="1138"/>
            </w:tblGrid>
            <w:tr w14:paraId="3BAE6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85" w:type="dxa"/>
                  <w:vMerge w:val="restart"/>
                  <w:vAlign w:val="center"/>
                </w:tcPr>
                <w:p w14:paraId="28222309">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工程分类</w:t>
                  </w:r>
                </w:p>
              </w:tc>
              <w:tc>
                <w:tcPr>
                  <w:tcW w:w="1525" w:type="dxa"/>
                  <w:gridSpan w:val="3"/>
                  <w:vMerge w:val="restart"/>
                  <w:vAlign w:val="center"/>
                </w:tcPr>
                <w:p w14:paraId="223BD426">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5121" w:type="dxa"/>
                  <w:vMerge w:val="restart"/>
                  <w:vAlign w:val="center"/>
                </w:tcPr>
                <w:p w14:paraId="2D842AA4">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建设内容及规模</w:t>
                  </w:r>
                </w:p>
              </w:tc>
              <w:tc>
                <w:tcPr>
                  <w:tcW w:w="1138" w:type="dxa"/>
                  <w:vMerge w:val="restart"/>
                  <w:vAlign w:val="center"/>
                </w:tcPr>
                <w:p w14:paraId="1955C469">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14:paraId="23EB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85" w:type="dxa"/>
                  <w:vMerge w:val="continue"/>
                  <w:vAlign w:val="center"/>
                </w:tcPr>
                <w:p w14:paraId="774A7F76">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525" w:type="dxa"/>
                  <w:gridSpan w:val="3"/>
                  <w:vMerge w:val="continue"/>
                  <w:vAlign w:val="center"/>
                </w:tcPr>
                <w:p w14:paraId="6D7E59C8">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5121" w:type="dxa"/>
                  <w:vMerge w:val="continue"/>
                  <w:vAlign w:val="center"/>
                </w:tcPr>
                <w:p w14:paraId="22AA232C">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138" w:type="dxa"/>
                  <w:vMerge w:val="continue"/>
                  <w:vAlign w:val="center"/>
                </w:tcPr>
                <w:p w14:paraId="778A55F5">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14:paraId="672D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85" w:type="dxa"/>
                  <w:vMerge w:val="restart"/>
                  <w:vAlign w:val="center"/>
                </w:tcPr>
                <w:p w14:paraId="05A9FF28">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主体工程</w:t>
                  </w:r>
                </w:p>
              </w:tc>
              <w:tc>
                <w:tcPr>
                  <w:tcW w:w="1525" w:type="dxa"/>
                  <w:gridSpan w:val="3"/>
                  <w:vAlign w:val="center"/>
                </w:tcPr>
                <w:p w14:paraId="407B7D00">
                  <w:pP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生产</w:t>
                  </w:r>
                  <w:r>
                    <w:rPr>
                      <w:rFonts w:hint="eastAsia" w:cs="Times New Roman"/>
                      <w:color w:val="auto"/>
                      <w:sz w:val="21"/>
                      <w:szCs w:val="21"/>
                      <w:highlight w:val="none"/>
                      <w:lang w:val="en-US" w:eastAsia="zh-CN"/>
                    </w:rPr>
                    <w:t>区</w:t>
                  </w:r>
                </w:p>
              </w:tc>
              <w:tc>
                <w:tcPr>
                  <w:tcW w:w="5121" w:type="dxa"/>
                  <w:vAlign w:val="center"/>
                </w:tcPr>
                <w:p w14:paraId="34BDE45B">
                  <w:pPr>
                    <w:pStyle w:val="17"/>
                    <w:adjustRightInd w:val="0"/>
                    <w:snapToGrid w:val="0"/>
                    <w:spacing w:line="0" w:lineRule="atLeast"/>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位于项目区</w:t>
                  </w:r>
                  <w:r>
                    <w:rPr>
                      <w:rFonts w:hint="eastAsia" w:cs="Times New Roman"/>
                      <w:color w:val="auto"/>
                      <w:sz w:val="21"/>
                      <w:szCs w:val="21"/>
                      <w:highlight w:val="none"/>
                      <w:vertAlign w:val="baseline"/>
                      <w:lang w:val="en-US" w:eastAsia="zh-CN"/>
                    </w:rPr>
                    <w:t>西</w:t>
                  </w:r>
                  <w:r>
                    <w:rPr>
                      <w:rFonts w:hint="default" w:ascii="Times New Roman" w:hAnsi="Times New Roman" w:eastAsia="宋体" w:cs="Times New Roman"/>
                      <w:color w:val="auto"/>
                      <w:sz w:val="21"/>
                      <w:szCs w:val="21"/>
                      <w:highlight w:val="none"/>
                      <w:vertAlign w:val="baseline"/>
                      <w:lang w:val="en-US" w:eastAsia="zh-CN"/>
                    </w:rPr>
                    <w:t>侧</w:t>
                  </w:r>
                  <w:r>
                    <w:rPr>
                      <w:rFonts w:hint="eastAsia" w:cs="Times New Roman"/>
                      <w:color w:val="auto"/>
                      <w:sz w:val="21"/>
                      <w:szCs w:val="21"/>
                      <w:highlight w:val="none"/>
                      <w:vertAlign w:val="baseline"/>
                      <w:lang w:val="en-US" w:eastAsia="zh-CN"/>
                    </w:rPr>
                    <w:t>靠近北侧中部</w:t>
                  </w:r>
                  <w:r>
                    <w:rPr>
                      <w:rFonts w:hint="default" w:ascii="Times New Roman" w:hAnsi="Times New Roman" w:eastAsia="宋体"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占地</w:t>
                  </w:r>
                  <w:r>
                    <w:rPr>
                      <w:rFonts w:hint="default" w:ascii="Times New Roman" w:hAnsi="Times New Roman" w:eastAsia="宋体" w:cs="Times New Roman"/>
                      <w:color w:val="auto"/>
                      <w:sz w:val="21"/>
                      <w:szCs w:val="21"/>
                      <w:highlight w:val="none"/>
                      <w:vertAlign w:val="baseline"/>
                      <w:lang w:val="en-US" w:eastAsia="zh-CN"/>
                    </w:rPr>
                    <w:t>面积</w:t>
                  </w:r>
                  <w:r>
                    <w:rPr>
                      <w:rFonts w:hint="eastAsia" w:cs="Times New Roman"/>
                      <w:color w:val="auto"/>
                      <w:sz w:val="21"/>
                      <w:szCs w:val="21"/>
                      <w:highlight w:val="none"/>
                      <w:vertAlign w:val="baseline"/>
                      <w:lang w:val="en-US" w:eastAsia="zh-CN"/>
                    </w:rPr>
                    <w:t>3732</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，内部</w:t>
                  </w:r>
                  <w:r>
                    <w:rPr>
                      <w:rFonts w:hint="eastAsia" w:cs="Times New Roman"/>
                      <w:color w:val="auto"/>
                      <w:sz w:val="21"/>
                      <w:szCs w:val="21"/>
                      <w:highlight w:val="none"/>
                      <w:vertAlign w:val="baseline"/>
                      <w:lang w:val="en-US" w:eastAsia="zh-CN"/>
                    </w:rPr>
                    <w:t>设破碎工段及烘干工段</w:t>
                  </w:r>
                  <w:r>
                    <w:rPr>
                      <w:rFonts w:hint="default" w:ascii="Times New Roman" w:hAnsi="Times New Roman" w:eastAsia="宋体"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主要设破碎机、烘干机等，</w:t>
                  </w:r>
                  <w:r>
                    <w:rPr>
                      <w:rFonts w:hint="default" w:ascii="Times New Roman" w:hAnsi="Times New Roman" w:eastAsia="宋体" w:cs="Times New Roman"/>
                      <w:color w:val="auto"/>
                      <w:sz w:val="21"/>
                      <w:szCs w:val="21"/>
                      <w:highlight w:val="none"/>
                      <w:vertAlign w:val="baseline"/>
                      <w:lang w:val="en-US" w:eastAsia="zh-CN"/>
                    </w:rPr>
                    <w:t>用于</w:t>
                  </w:r>
                  <w:r>
                    <w:rPr>
                      <w:rFonts w:hint="eastAsia" w:cs="Times New Roman"/>
                      <w:color w:val="auto"/>
                      <w:sz w:val="21"/>
                      <w:szCs w:val="21"/>
                      <w:highlight w:val="none"/>
                      <w:vertAlign w:val="baseline"/>
                      <w:lang w:val="en-US" w:eastAsia="zh-CN"/>
                    </w:rPr>
                    <w:t>褐煤提质</w:t>
                  </w:r>
                  <w:r>
                    <w:rPr>
                      <w:rFonts w:hint="default" w:ascii="Times New Roman" w:hAnsi="Times New Roman" w:eastAsia="宋体" w:cs="Times New Roman"/>
                      <w:color w:val="auto"/>
                      <w:sz w:val="21"/>
                      <w:szCs w:val="21"/>
                      <w:highlight w:val="none"/>
                      <w:vertAlign w:val="baseline"/>
                      <w:lang w:val="en-US" w:eastAsia="zh-CN"/>
                    </w:rPr>
                    <w:t>的</w:t>
                  </w:r>
                  <w:r>
                    <w:rPr>
                      <w:rFonts w:hint="default" w:ascii="Times New Roman" w:hAnsi="Times New Roman" w:eastAsia="宋体" w:cs="Times New Roman"/>
                      <w:color w:val="auto"/>
                      <w:sz w:val="21"/>
                      <w:szCs w:val="21"/>
                      <w:highlight w:val="none"/>
                      <w:lang w:val="en-US" w:eastAsia="zh-CN"/>
                    </w:rPr>
                    <w:t>生产</w:t>
                  </w:r>
                  <w:r>
                    <w:rPr>
                      <w:rFonts w:hint="eastAsia" w:cs="Times New Roman"/>
                      <w:color w:val="auto"/>
                      <w:sz w:val="21"/>
                      <w:szCs w:val="21"/>
                      <w:highlight w:val="none"/>
                      <w:lang w:val="en-US" w:eastAsia="zh-CN"/>
                    </w:rPr>
                    <w:t>。煤破碎为3层构建筑物，高度为17m，占地面积为360.962</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；煤烘干为1层构建筑物，高度为8.5m，占</w:t>
                  </w:r>
                </w:p>
                <w:p w14:paraId="70C29168">
                  <w:pPr>
                    <w:pStyle w:val="17"/>
                    <w:adjustRightInd w:val="0"/>
                    <w:snapToGrid w:val="0"/>
                    <w:spacing w:line="0" w:lineRule="atLeast"/>
                    <w:jc w:val="both"/>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地面积为731.63</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p>
              </w:tc>
              <w:tc>
                <w:tcPr>
                  <w:tcW w:w="1138" w:type="dxa"/>
                  <w:vAlign w:val="center"/>
                </w:tcPr>
                <w:p w14:paraId="555C2F7B">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新建</w:t>
                  </w:r>
                </w:p>
              </w:tc>
            </w:tr>
            <w:tr w14:paraId="6058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85" w:type="dxa"/>
                  <w:vMerge w:val="continue"/>
                  <w:vAlign w:val="center"/>
                </w:tcPr>
                <w:p w14:paraId="16855E03">
                  <w:pPr>
                    <w:adjustRightInd w:val="0"/>
                    <w:snapToGrid w:val="0"/>
                    <w:spacing w:line="0" w:lineRule="atLeast"/>
                    <w:jc w:val="center"/>
                    <w:rPr>
                      <w:color w:val="auto"/>
                      <w:highlight w:val="none"/>
                    </w:rPr>
                  </w:pPr>
                </w:p>
              </w:tc>
              <w:tc>
                <w:tcPr>
                  <w:tcW w:w="1525" w:type="dxa"/>
                  <w:gridSpan w:val="3"/>
                  <w:vAlign w:val="center"/>
                </w:tcPr>
                <w:p w14:paraId="1E72BAE0">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原料储存区</w:t>
                  </w:r>
                </w:p>
              </w:tc>
              <w:tc>
                <w:tcPr>
                  <w:tcW w:w="5121" w:type="dxa"/>
                  <w:vAlign w:val="center"/>
                </w:tcPr>
                <w:p w14:paraId="5E59B833">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位于项目区西侧及北侧，占地面积为15435</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，主要</w:t>
                  </w:r>
                  <w:r>
                    <w:rPr>
                      <w:rFonts w:hint="eastAsia"/>
                      <w:color w:val="auto"/>
                      <w:szCs w:val="21"/>
                      <w:highlight w:val="none"/>
                    </w:rPr>
                    <w:t>由</w:t>
                  </w:r>
                  <w:r>
                    <w:rPr>
                      <w:rFonts w:hint="eastAsia"/>
                      <w:color w:val="auto"/>
                      <w:szCs w:val="21"/>
                      <w:highlight w:val="none"/>
                      <w:lang w:eastAsia="zh-CN"/>
                    </w:rPr>
                    <w:t>受煤系统（</w:t>
                  </w:r>
                  <w:r>
                    <w:rPr>
                      <w:rFonts w:hint="eastAsia"/>
                      <w:color w:val="auto"/>
                      <w:szCs w:val="21"/>
                      <w:highlight w:val="none"/>
                    </w:rPr>
                    <w:t>卸车坑、给</w:t>
                  </w:r>
                  <w:r>
                    <w:rPr>
                      <w:rFonts w:hint="eastAsia"/>
                      <w:color w:val="auto"/>
                      <w:szCs w:val="21"/>
                      <w:highlight w:val="none"/>
                      <w:lang w:eastAsia="zh-CN"/>
                    </w:rPr>
                    <w:t>板式喂</w:t>
                  </w:r>
                  <w:r>
                    <w:rPr>
                      <w:rFonts w:hint="eastAsia"/>
                      <w:color w:val="auto"/>
                      <w:szCs w:val="21"/>
                      <w:highlight w:val="none"/>
                    </w:rPr>
                    <w:t>料机、</w:t>
                  </w:r>
                  <w:r>
                    <w:rPr>
                      <w:rFonts w:hint="eastAsia"/>
                      <w:color w:val="auto"/>
                      <w:szCs w:val="21"/>
                      <w:highlight w:val="none"/>
                      <w:lang w:eastAsia="zh-CN"/>
                    </w:rPr>
                    <w:t>胶带</w:t>
                  </w:r>
                  <w:r>
                    <w:rPr>
                      <w:rFonts w:hint="eastAsia"/>
                      <w:color w:val="auto"/>
                      <w:szCs w:val="21"/>
                      <w:highlight w:val="none"/>
                    </w:rPr>
                    <w:t>输送机</w:t>
                  </w:r>
                  <w:r>
                    <w:rPr>
                      <w:rFonts w:hint="eastAsia"/>
                      <w:color w:val="auto"/>
                      <w:szCs w:val="21"/>
                      <w:highlight w:val="none"/>
                      <w:lang w:eastAsia="zh-CN"/>
                    </w:rPr>
                    <w:t>）、原料堆棚、均化堆场</w:t>
                  </w:r>
                  <w:r>
                    <w:rPr>
                      <w:rFonts w:hint="eastAsia"/>
                      <w:color w:val="auto"/>
                      <w:szCs w:val="21"/>
                      <w:highlight w:val="none"/>
                    </w:rPr>
                    <w:t>等组成</w:t>
                  </w:r>
                  <w:r>
                    <w:rPr>
                      <w:rFonts w:hint="eastAsia"/>
                      <w:color w:val="auto"/>
                      <w:szCs w:val="21"/>
                      <w:highlight w:val="none"/>
                      <w:lang w:eastAsia="zh-CN"/>
                    </w:rPr>
                    <w:t>，卸车坑占地面积为</w:t>
                  </w:r>
                  <w:r>
                    <w:rPr>
                      <w:rFonts w:hint="eastAsia"/>
                      <w:color w:val="auto"/>
                      <w:szCs w:val="21"/>
                      <w:highlight w:val="none"/>
                      <w:lang w:val="en-US" w:eastAsia="zh-CN"/>
                    </w:rPr>
                    <w:t>161.98</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，为1层构建筑物，高度为8.7m；原料堆棚占地面积为</w:t>
                  </w:r>
                  <w:r>
                    <w:rPr>
                      <w:rFonts w:hint="eastAsia"/>
                      <w:color w:val="auto"/>
                      <w:szCs w:val="21"/>
                      <w:highlight w:val="none"/>
                      <w:lang w:val="en-US" w:eastAsia="zh-CN"/>
                    </w:rPr>
                    <w:t>2255.21</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，为1</w:t>
                  </w:r>
                </w:p>
                <w:p w14:paraId="6B778DDF">
                  <w:pPr>
                    <w:adjustRightInd w:val="0"/>
                    <w:snapToGrid w:val="0"/>
                    <w:spacing w:line="0" w:lineRule="atLeast"/>
                    <w:jc w:val="both"/>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层构建筑物，高度为9.95m；均化堆场占地面积为</w:t>
                  </w:r>
                  <w:r>
                    <w:rPr>
                      <w:rFonts w:hint="eastAsia"/>
                      <w:color w:val="auto"/>
                      <w:szCs w:val="21"/>
                      <w:highlight w:val="none"/>
                      <w:lang w:val="en-US" w:eastAsia="zh-CN"/>
                    </w:rPr>
                    <w:t>7688.66</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r>
                    <w:rPr>
                      <w:rFonts w:hint="eastAsia" w:cs="Times New Roman"/>
                      <w:color w:val="auto"/>
                      <w:sz w:val="21"/>
                      <w:szCs w:val="21"/>
                      <w:highlight w:val="none"/>
                      <w:lang w:val="en-US" w:eastAsia="zh-CN"/>
                    </w:rPr>
                    <w:t>为1层构建筑物，高度为12.6m</w:t>
                  </w:r>
                  <w:r>
                    <w:rPr>
                      <w:rFonts w:hint="eastAsia"/>
                      <w:color w:val="auto"/>
                      <w:szCs w:val="21"/>
                      <w:highlight w:val="none"/>
                    </w:rPr>
                    <w:t>。</w:t>
                  </w:r>
                  <w:r>
                    <w:rPr>
                      <w:rFonts w:hint="eastAsia"/>
                      <w:color w:val="auto"/>
                      <w:szCs w:val="21"/>
                      <w:highlight w:val="none"/>
                      <w:lang w:eastAsia="zh-CN"/>
                    </w:rPr>
                    <w:t>主要用于原煤进场堆放及均化。</w:t>
                  </w:r>
                </w:p>
              </w:tc>
              <w:tc>
                <w:tcPr>
                  <w:tcW w:w="1138" w:type="dxa"/>
                  <w:vAlign w:val="center"/>
                </w:tcPr>
                <w:p w14:paraId="0120556F">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190B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385" w:type="dxa"/>
                  <w:vMerge w:val="continue"/>
                  <w:vAlign w:val="center"/>
                </w:tcPr>
                <w:p w14:paraId="789ECC4A">
                  <w:pPr>
                    <w:adjustRightInd w:val="0"/>
                    <w:snapToGrid w:val="0"/>
                    <w:spacing w:line="0" w:lineRule="atLeast"/>
                    <w:jc w:val="center"/>
                    <w:rPr>
                      <w:color w:val="auto"/>
                      <w:highlight w:val="none"/>
                    </w:rPr>
                  </w:pPr>
                </w:p>
              </w:tc>
              <w:tc>
                <w:tcPr>
                  <w:tcW w:w="1525" w:type="dxa"/>
                  <w:gridSpan w:val="3"/>
                  <w:vAlign w:val="center"/>
                </w:tcPr>
                <w:p w14:paraId="61C89256">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成品储存及发运区</w:t>
                  </w:r>
                </w:p>
              </w:tc>
              <w:tc>
                <w:tcPr>
                  <w:tcW w:w="5121" w:type="dxa"/>
                  <w:vAlign w:val="center"/>
                </w:tcPr>
                <w:p w14:paraId="77FB827B">
                  <w:pPr>
                    <w:adjustRightInd w:val="0"/>
                    <w:snapToGrid w:val="0"/>
                    <w:spacing w:line="0" w:lineRule="atLeast"/>
                    <w:jc w:val="both"/>
                    <w:rPr>
                      <w:rFonts w:hint="eastAsia"/>
                      <w:color w:val="auto"/>
                      <w:highlight w:val="none"/>
                      <w:lang w:val="en-US" w:eastAsia="zh-CN"/>
                    </w:rPr>
                  </w:pPr>
                  <w:r>
                    <w:rPr>
                      <w:rFonts w:hint="eastAsia"/>
                      <w:color w:val="auto"/>
                      <w:highlight w:val="none"/>
                      <w:lang w:val="en-US" w:eastAsia="zh-CN"/>
                    </w:rPr>
                    <w:t>位于项目区南侧，占地面积为5585</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，主要由成品堆棚、成品装车发运区、烘干煤粉储存及发运区组成，成品堆棚占地面积为2537.51</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，为1层构建筑物，高度为9.875m；成品装车发运占地面积为364.77</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，为2层构建筑物，高度为21.45m；烘干煤粉储存及发运区占地面积为67.24</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，为4层构建筑物，高度为21.45m。</w:t>
                  </w:r>
                </w:p>
              </w:tc>
              <w:tc>
                <w:tcPr>
                  <w:tcW w:w="1138" w:type="dxa"/>
                  <w:vAlign w:val="center"/>
                </w:tcPr>
                <w:p w14:paraId="32D6BC65">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7312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385" w:type="dxa"/>
                  <w:vMerge w:val="continue"/>
                  <w:vAlign w:val="center"/>
                </w:tcPr>
                <w:p w14:paraId="7C219399">
                  <w:pPr>
                    <w:adjustRightInd w:val="0"/>
                    <w:snapToGrid w:val="0"/>
                    <w:spacing w:line="0" w:lineRule="atLeast"/>
                    <w:jc w:val="center"/>
                    <w:rPr>
                      <w:color w:val="auto"/>
                      <w:highlight w:val="none"/>
                    </w:rPr>
                  </w:pPr>
                </w:p>
              </w:tc>
              <w:tc>
                <w:tcPr>
                  <w:tcW w:w="1525" w:type="dxa"/>
                  <w:gridSpan w:val="3"/>
                  <w:vAlign w:val="center"/>
                </w:tcPr>
                <w:p w14:paraId="57B43DBA">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预留场地</w:t>
                  </w:r>
                </w:p>
              </w:tc>
              <w:tc>
                <w:tcPr>
                  <w:tcW w:w="5121" w:type="dxa"/>
                  <w:vAlign w:val="center"/>
                </w:tcPr>
                <w:p w14:paraId="6CA69B01">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位于项目区西侧靠近南侧中部，占地面积为3951</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p>
              </w:tc>
              <w:tc>
                <w:tcPr>
                  <w:tcW w:w="1138" w:type="dxa"/>
                  <w:vAlign w:val="center"/>
                </w:tcPr>
                <w:p w14:paraId="0D1D3E3A">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4E30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385" w:type="dxa"/>
                  <w:vMerge w:val="restart"/>
                  <w:vAlign w:val="center"/>
                </w:tcPr>
                <w:p w14:paraId="6A5BB1E2">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辅助工程</w:t>
                  </w:r>
                </w:p>
              </w:tc>
              <w:tc>
                <w:tcPr>
                  <w:tcW w:w="389" w:type="dxa"/>
                  <w:vMerge w:val="restart"/>
                  <w:vAlign w:val="center"/>
                </w:tcPr>
                <w:p w14:paraId="5701533F">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辅助设施区</w:t>
                  </w:r>
                </w:p>
              </w:tc>
              <w:tc>
                <w:tcPr>
                  <w:tcW w:w="1136" w:type="dxa"/>
                  <w:gridSpan w:val="2"/>
                  <w:vAlign w:val="center"/>
                </w:tcPr>
                <w:p w14:paraId="5E6B3ECD">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中控楼</w:t>
                  </w:r>
                </w:p>
              </w:tc>
              <w:tc>
                <w:tcPr>
                  <w:tcW w:w="5121" w:type="dxa"/>
                  <w:vAlign w:val="center"/>
                </w:tcPr>
                <w:p w14:paraId="135A8B0E">
                  <w:pPr>
                    <w:adjustRightInd w:val="0"/>
                    <w:snapToGrid w:val="0"/>
                    <w:spacing w:line="0" w:lineRule="atLeast"/>
                    <w:jc w:val="both"/>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位于项目区东侧，</w:t>
                  </w:r>
                  <w:r>
                    <w:rPr>
                      <w:rFonts w:hint="eastAsia"/>
                      <w:color w:val="auto"/>
                      <w:highlight w:val="none"/>
                      <w:lang w:val="en-US" w:eastAsia="zh-CN"/>
                    </w:rPr>
                    <w:t>占地面积为474.92</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，为2层构建筑物，高度为10.05m。一层为化验室，二层为办公区。化验室主要用于生产所用的原煤及产出的成品煤进行煤质化验。办公区</w:t>
                  </w:r>
                  <w:r>
                    <w:rPr>
                      <w:rFonts w:hint="default" w:ascii="Times New Roman" w:hAnsi="Times New Roman" w:eastAsia="宋体" w:cs="Times New Roman"/>
                      <w:color w:val="auto"/>
                      <w:kern w:val="0"/>
                      <w:sz w:val="21"/>
                      <w:szCs w:val="21"/>
                      <w:highlight w:val="none"/>
                    </w:rPr>
                    <w:t>主要包含办公室、展厅、接待室</w:t>
                  </w:r>
                  <w:r>
                    <w:rPr>
                      <w:rFonts w:hint="default" w:ascii="Times New Roman" w:hAnsi="Times New Roman" w:eastAsia="宋体" w:cs="Times New Roman"/>
                      <w:color w:val="auto"/>
                      <w:kern w:val="0"/>
                      <w:sz w:val="21"/>
                      <w:szCs w:val="21"/>
                      <w:highlight w:val="none"/>
                      <w:lang w:val="en-US" w:eastAsia="zh-CN"/>
                    </w:rPr>
                    <w:t>等</w:t>
                  </w:r>
                  <w:r>
                    <w:rPr>
                      <w:rFonts w:hint="eastAsia" w:cs="Times New Roman"/>
                      <w:color w:val="auto"/>
                      <w:kern w:val="0"/>
                      <w:sz w:val="21"/>
                      <w:szCs w:val="21"/>
                      <w:highlight w:val="none"/>
                      <w:lang w:val="en-US" w:eastAsia="zh-CN"/>
                    </w:rPr>
                    <w:t>，项目不设宿舍及食堂</w:t>
                  </w:r>
                  <w:r>
                    <w:rPr>
                      <w:rFonts w:hint="default" w:ascii="Times New Roman" w:hAnsi="Times New Roman" w:eastAsia="宋体" w:cs="Times New Roman"/>
                      <w:color w:val="auto"/>
                      <w:kern w:val="0"/>
                      <w:sz w:val="21"/>
                      <w:szCs w:val="21"/>
                      <w:highlight w:val="none"/>
                    </w:rPr>
                    <w:t>。</w:t>
                  </w:r>
                </w:p>
              </w:tc>
              <w:tc>
                <w:tcPr>
                  <w:tcW w:w="1138" w:type="dxa"/>
                  <w:vMerge w:val="restart"/>
                  <w:vAlign w:val="center"/>
                </w:tcPr>
                <w:p w14:paraId="55C77AA7">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新建</w:t>
                  </w:r>
                </w:p>
              </w:tc>
            </w:tr>
            <w:tr w14:paraId="4836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51F57CA7">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p>
              </w:tc>
              <w:tc>
                <w:tcPr>
                  <w:tcW w:w="389" w:type="dxa"/>
                  <w:vMerge w:val="continue"/>
                  <w:vAlign w:val="center"/>
                </w:tcPr>
                <w:p w14:paraId="6CFB4956">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1136" w:type="dxa"/>
                  <w:gridSpan w:val="2"/>
                  <w:vAlign w:val="center"/>
                </w:tcPr>
                <w:p w14:paraId="42A60DFE">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机修车间</w:t>
                  </w:r>
                </w:p>
              </w:tc>
              <w:tc>
                <w:tcPr>
                  <w:tcW w:w="5121" w:type="dxa"/>
                  <w:vAlign w:val="center"/>
                </w:tcPr>
                <w:p w14:paraId="6FCE4162">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位于中控楼西侧，占地面积为583.54</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，为1层构建筑物，高度为9.6m，主要用于厂区机械维修</w:t>
                  </w:r>
                  <w:r>
                    <w:rPr>
                      <w:rFonts w:hint="default" w:ascii="Times New Roman" w:hAnsi="Times New Roman" w:eastAsia="宋体" w:cs="Times New Roman"/>
                      <w:color w:val="auto"/>
                      <w:kern w:val="0"/>
                      <w:sz w:val="21"/>
                      <w:szCs w:val="21"/>
                      <w:highlight w:val="none"/>
                      <w:lang w:val="en-US" w:eastAsia="zh-CN"/>
                    </w:rPr>
                    <w:t>。</w:t>
                  </w:r>
                </w:p>
              </w:tc>
              <w:tc>
                <w:tcPr>
                  <w:tcW w:w="1138" w:type="dxa"/>
                  <w:vMerge w:val="continue"/>
                  <w:vAlign w:val="center"/>
                </w:tcPr>
                <w:p w14:paraId="158C9B20">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14:paraId="310F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dxa"/>
                  <w:vMerge w:val="continue"/>
                  <w:vAlign w:val="center"/>
                </w:tcPr>
                <w:p w14:paraId="12524D0C">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p>
              </w:tc>
              <w:tc>
                <w:tcPr>
                  <w:tcW w:w="389" w:type="dxa"/>
                  <w:vMerge w:val="continue"/>
                  <w:vAlign w:val="center"/>
                </w:tcPr>
                <w:p w14:paraId="066657B9">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1136" w:type="dxa"/>
                  <w:gridSpan w:val="2"/>
                  <w:vAlign w:val="center"/>
                </w:tcPr>
                <w:p w14:paraId="511CAC0F">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中压配电站</w:t>
                  </w:r>
                </w:p>
              </w:tc>
              <w:tc>
                <w:tcPr>
                  <w:tcW w:w="5121" w:type="dxa"/>
                  <w:vAlign w:val="center"/>
                </w:tcPr>
                <w:p w14:paraId="55C1D517">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位于机修车间北侧</w:t>
                  </w:r>
                  <w:r>
                    <w:rPr>
                      <w:rFonts w:hint="default" w:ascii="Times New Roman" w:hAnsi="Times New Roman" w:eastAsia="宋体"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占地面积为221.16</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，为1层构建筑物，高度为5.7m，主要用于全厂电力、电压调配控制</w:t>
                  </w:r>
                  <w:r>
                    <w:rPr>
                      <w:rFonts w:hint="default" w:ascii="Times New Roman" w:hAnsi="Times New Roman" w:eastAsia="宋体" w:cs="Times New Roman"/>
                      <w:color w:val="auto"/>
                      <w:kern w:val="0"/>
                      <w:sz w:val="21"/>
                      <w:szCs w:val="21"/>
                      <w:highlight w:val="none"/>
                      <w:lang w:val="en-US" w:eastAsia="zh-CN"/>
                    </w:rPr>
                    <w:t>。</w:t>
                  </w:r>
                </w:p>
              </w:tc>
              <w:tc>
                <w:tcPr>
                  <w:tcW w:w="1138" w:type="dxa"/>
                  <w:vMerge w:val="continue"/>
                  <w:vAlign w:val="center"/>
                </w:tcPr>
                <w:p w14:paraId="003D5923">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14:paraId="439C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481A5B94">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p>
              </w:tc>
              <w:tc>
                <w:tcPr>
                  <w:tcW w:w="389" w:type="dxa"/>
                  <w:vMerge w:val="continue"/>
                  <w:vAlign w:val="center"/>
                </w:tcPr>
                <w:p w14:paraId="4454C050">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1136" w:type="dxa"/>
                  <w:gridSpan w:val="2"/>
                  <w:vAlign w:val="center"/>
                </w:tcPr>
                <w:p w14:paraId="29D7C429">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rPr>
                  </w:pPr>
                  <w:r>
                    <w:rPr>
                      <w:rFonts w:hint="eastAsia" w:cs="Times New Roman"/>
                      <w:color w:val="auto"/>
                      <w:kern w:val="0"/>
                      <w:sz w:val="21"/>
                      <w:szCs w:val="21"/>
                      <w:highlight w:val="none"/>
                      <w:lang w:val="en-US" w:eastAsia="zh-CN"/>
                    </w:rPr>
                    <w:t>联合水泵站及水池</w:t>
                  </w:r>
                </w:p>
              </w:tc>
              <w:tc>
                <w:tcPr>
                  <w:tcW w:w="5121" w:type="dxa"/>
                  <w:vAlign w:val="center"/>
                </w:tcPr>
                <w:p w14:paraId="7E54E67E">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rPr>
                  </w:pPr>
                  <w:r>
                    <w:rPr>
                      <w:rFonts w:hint="eastAsia" w:cs="Times New Roman"/>
                      <w:color w:val="auto"/>
                      <w:kern w:val="0"/>
                      <w:sz w:val="21"/>
                      <w:szCs w:val="21"/>
                      <w:highlight w:val="none"/>
                      <w:lang w:val="en-US" w:eastAsia="zh-CN"/>
                    </w:rPr>
                    <w:t>位于项目区东南侧</w:t>
                  </w:r>
                  <w:r>
                    <w:rPr>
                      <w:rFonts w:hint="default" w:ascii="Times New Roman" w:hAnsi="Times New Roman" w:eastAsia="宋体"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占地面积为216.15</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，为1层构建筑物，高度为6.2m，主要用于全厂水泵调配控制</w:t>
                  </w:r>
                  <w:r>
                    <w:rPr>
                      <w:rFonts w:hint="default" w:ascii="Times New Roman" w:hAnsi="Times New Roman" w:eastAsia="宋体" w:cs="Times New Roman"/>
                      <w:color w:val="auto"/>
                      <w:kern w:val="0"/>
                      <w:sz w:val="21"/>
                      <w:szCs w:val="21"/>
                      <w:highlight w:val="none"/>
                      <w:lang w:val="en-US" w:eastAsia="zh-CN"/>
                    </w:rPr>
                    <w:t>。</w:t>
                  </w:r>
                </w:p>
              </w:tc>
              <w:tc>
                <w:tcPr>
                  <w:tcW w:w="1138" w:type="dxa"/>
                  <w:vMerge w:val="continue"/>
                  <w:vAlign w:val="center"/>
                </w:tcPr>
                <w:p w14:paraId="6FA4ECDA">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14:paraId="361C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415F5205">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p>
              </w:tc>
              <w:tc>
                <w:tcPr>
                  <w:tcW w:w="389" w:type="dxa"/>
                  <w:vMerge w:val="continue"/>
                  <w:vAlign w:val="center"/>
                </w:tcPr>
                <w:p w14:paraId="20E3764F">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1136" w:type="dxa"/>
                  <w:gridSpan w:val="2"/>
                  <w:vAlign w:val="center"/>
                </w:tcPr>
                <w:p w14:paraId="6E28EC76">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门卫及泵房</w:t>
                  </w:r>
                </w:p>
              </w:tc>
              <w:tc>
                <w:tcPr>
                  <w:tcW w:w="5121" w:type="dxa"/>
                  <w:vAlign w:val="center"/>
                </w:tcPr>
                <w:p w14:paraId="5D2EC7B2">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设置两个门卫及泵房，分别位于东西两侧</w:t>
                  </w:r>
                </w:p>
              </w:tc>
              <w:tc>
                <w:tcPr>
                  <w:tcW w:w="1138" w:type="dxa"/>
                  <w:vMerge w:val="continue"/>
                  <w:vAlign w:val="center"/>
                </w:tcPr>
                <w:p w14:paraId="6851F903">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14:paraId="3830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384E974F">
                  <w:pPr>
                    <w:widowControl/>
                    <w:adjustRightInd w:val="0"/>
                    <w:snapToGrid w:val="0"/>
                    <w:spacing w:line="240" w:lineRule="auto"/>
                    <w:ind w:firstLine="0" w:firstLineChars="0"/>
                    <w:jc w:val="center"/>
                    <w:rPr>
                      <w:color w:val="auto"/>
                      <w:highlight w:val="none"/>
                    </w:rPr>
                  </w:pPr>
                </w:p>
              </w:tc>
              <w:tc>
                <w:tcPr>
                  <w:tcW w:w="389" w:type="dxa"/>
                  <w:vMerge w:val="continue"/>
                  <w:vAlign w:val="center"/>
                </w:tcPr>
                <w:p w14:paraId="265416D4">
                  <w:pPr>
                    <w:widowControl/>
                    <w:adjustRightInd w:val="0"/>
                    <w:snapToGrid w:val="0"/>
                    <w:spacing w:line="240" w:lineRule="auto"/>
                    <w:ind w:firstLine="0" w:firstLineChars="0"/>
                    <w:jc w:val="center"/>
                    <w:rPr>
                      <w:color w:val="auto"/>
                      <w:highlight w:val="none"/>
                    </w:rPr>
                  </w:pPr>
                </w:p>
              </w:tc>
              <w:tc>
                <w:tcPr>
                  <w:tcW w:w="1136" w:type="dxa"/>
                  <w:gridSpan w:val="2"/>
                  <w:vAlign w:val="center"/>
                </w:tcPr>
                <w:p w14:paraId="52492C1F">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洗车机</w:t>
                  </w:r>
                </w:p>
              </w:tc>
              <w:tc>
                <w:tcPr>
                  <w:tcW w:w="5121" w:type="dxa"/>
                  <w:vAlign w:val="center"/>
                </w:tcPr>
                <w:p w14:paraId="6FF62C99">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设置两个洗车机，分别位于东西两侧，总占地面积为</w:t>
                  </w:r>
                  <w:r>
                    <w:rPr>
                      <w:rFonts w:hint="eastAsia"/>
                      <w:color w:val="auto"/>
                      <w:highlight w:val="none"/>
                      <w:lang w:val="en-US" w:eastAsia="zh-CN"/>
                    </w:rPr>
                    <w:t>111</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，主要用于车辆进出场轮胎冲洗。</w:t>
                  </w:r>
                </w:p>
              </w:tc>
              <w:tc>
                <w:tcPr>
                  <w:tcW w:w="1138" w:type="dxa"/>
                  <w:vMerge w:val="continue"/>
                  <w:vAlign w:val="center"/>
                </w:tcPr>
                <w:p w14:paraId="3ED83CE9">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p>
              </w:tc>
            </w:tr>
            <w:tr w14:paraId="0B79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85" w:type="dxa"/>
                  <w:vMerge w:val="continue"/>
                  <w:vAlign w:val="center"/>
                </w:tcPr>
                <w:p w14:paraId="0294BD7E">
                  <w:pPr>
                    <w:widowControl/>
                    <w:adjustRightInd w:val="0"/>
                    <w:snapToGrid w:val="0"/>
                    <w:spacing w:line="240" w:lineRule="auto"/>
                    <w:ind w:firstLine="0" w:firstLineChars="0"/>
                    <w:jc w:val="center"/>
                    <w:rPr>
                      <w:color w:val="auto"/>
                      <w:highlight w:val="none"/>
                    </w:rPr>
                  </w:pPr>
                </w:p>
              </w:tc>
              <w:tc>
                <w:tcPr>
                  <w:tcW w:w="1525" w:type="dxa"/>
                  <w:gridSpan w:val="3"/>
                  <w:vAlign w:val="center"/>
                </w:tcPr>
                <w:p w14:paraId="53CE04D5">
                  <w:pPr>
                    <w:widowControl/>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氨水储罐</w:t>
                  </w:r>
                </w:p>
              </w:tc>
              <w:tc>
                <w:tcPr>
                  <w:tcW w:w="5121" w:type="dxa"/>
                  <w:vAlign w:val="center"/>
                </w:tcPr>
                <w:p w14:paraId="0F92BC65">
                  <w:pPr>
                    <w:widowControl/>
                    <w:adjustRightInd w:val="0"/>
                    <w:snapToGrid w:val="0"/>
                    <w:spacing w:line="240" w:lineRule="auto"/>
                    <w:ind w:firstLine="0" w:firstLineChars="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lang w:val="en-US" w:eastAsia="zh-CN"/>
                    </w:rPr>
                    <w:t>建设一个容积为30m</w:t>
                  </w:r>
                  <w:r>
                    <w:rPr>
                      <w:rFonts w:hint="eastAsia" w:cs="Times New Roman"/>
                      <w:color w:val="auto"/>
                      <w:kern w:val="0"/>
                      <w:sz w:val="21"/>
                      <w:szCs w:val="21"/>
                      <w:highlight w:val="none"/>
                      <w:vertAlign w:val="superscript"/>
                      <w:lang w:val="en-US" w:eastAsia="zh-CN"/>
                    </w:rPr>
                    <w:t>3</w:t>
                  </w:r>
                  <w:r>
                    <w:rPr>
                      <w:rFonts w:hint="eastAsia" w:cs="Times New Roman"/>
                      <w:color w:val="auto"/>
                      <w:kern w:val="0"/>
                      <w:sz w:val="21"/>
                      <w:szCs w:val="21"/>
                      <w:highlight w:val="none"/>
                      <w:vertAlign w:val="baseline"/>
                      <w:lang w:val="en-US" w:eastAsia="zh-CN"/>
                    </w:rPr>
                    <w:t>的氨水储罐用于烘干烟气脱硝</w:t>
                  </w:r>
                </w:p>
              </w:tc>
              <w:tc>
                <w:tcPr>
                  <w:tcW w:w="1138" w:type="dxa"/>
                  <w:vAlign w:val="center"/>
                </w:tcPr>
                <w:p w14:paraId="2758782F">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新建</w:t>
                  </w:r>
                </w:p>
              </w:tc>
            </w:tr>
            <w:tr w14:paraId="3ED2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385" w:type="dxa"/>
                  <w:vMerge w:val="continue"/>
                  <w:vAlign w:val="center"/>
                </w:tcPr>
                <w:p w14:paraId="7F650E8B">
                  <w:pPr>
                    <w:widowControl/>
                    <w:adjustRightInd w:val="0"/>
                    <w:snapToGrid w:val="0"/>
                    <w:spacing w:line="240" w:lineRule="auto"/>
                    <w:ind w:firstLine="0" w:firstLineChars="0"/>
                    <w:jc w:val="center"/>
                    <w:rPr>
                      <w:color w:val="auto"/>
                      <w:highlight w:val="none"/>
                    </w:rPr>
                  </w:pPr>
                </w:p>
              </w:tc>
              <w:tc>
                <w:tcPr>
                  <w:tcW w:w="1525" w:type="dxa"/>
                  <w:gridSpan w:val="3"/>
                  <w:vAlign w:val="center"/>
                </w:tcPr>
                <w:p w14:paraId="5CED5AED">
                  <w:pPr>
                    <w:widowControl/>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石灰石粉储罐</w:t>
                  </w:r>
                </w:p>
              </w:tc>
              <w:tc>
                <w:tcPr>
                  <w:tcW w:w="5121" w:type="dxa"/>
                  <w:vAlign w:val="center"/>
                </w:tcPr>
                <w:p w14:paraId="71C6D0DD">
                  <w:pPr>
                    <w:widowControl/>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建设一个容积为30m</w:t>
                  </w:r>
                  <w:r>
                    <w:rPr>
                      <w:rFonts w:hint="eastAsia" w:cs="Times New Roman"/>
                      <w:color w:val="auto"/>
                      <w:kern w:val="0"/>
                      <w:sz w:val="21"/>
                      <w:szCs w:val="21"/>
                      <w:highlight w:val="none"/>
                      <w:vertAlign w:val="superscript"/>
                      <w:lang w:val="en-US" w:eastAsia="zh-CN"/>
                    </w:rPr>
                    <w:t>3</w:t>
                  </w:r>
                  <w:r>
                    <w:rPr>
                      <w:rFonts w:hint="eastAsia" w:cs="Times New Roman"/>
                      <w:color w:val="auto"/>
                      <w:kern w:val="0"/>
                      <w:sz w:val="21"/>
                      <w:szCs w:val="21"/>
                      <w:highlight w:val="none"/>
                      <w:vertAlign w:val="baseline"/>
                      <w:lang w:val="en-US" w:eastAsia="zh-CN"/>
                    </w:rPr>
                    <w:t>的石灰石储罐用于烘干烟气脱硫</w:t>
                  </w:r>
                </w:p>
              </w:tc>
              <w:tc>
                <w:tcPr>
                  <w:tcW w:w="1138" w:type="dxa"/>
                  <w:vAlign w:val="center"/>
                </w:tcPr>
                <w:p w14:paraId="4FCA8C38">
                  <w:pPr>
                    <w:widowControl/>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2"/>
                      <w:sz w:val="21"/>
                      <w:szCs w:val="21"/>
                      <w:highlight w:val="none"/>
                      <w:vertAlign w:val="baseline"/>
                      <w:lang w:val="en-US" w:eastAsia="zh-CN" w:bidi="ar-SA"/>
                    </w:rPr>
                    <w:t>新建</w:t>
                  </w:r>
                </w:p>
              </w:tc>
            </w:tr>
            <w:tr w14:paraId="6FB6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restart"/>
                  <w:vAlign w:val="center"/>
                </w:tcPr>
                <w:p w14:paraId="23D6FD1D">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公用工程</w:t>
                  </w:r>
                </w:p>
              </w:tc>
              <w:tc>
                <w:tcPr>
                  <w:tcW w:w="1525" w:type="dxa"/>
                  <w:gridSpan w:val="3"/>
                  <w:vAlign w:val="center"/>
                </w:tcPr>
                <w:p w14:paraId="095F3E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供水</w:t>
                  </w:r>
                </w:p>
              </w:tc>
              <w:tc>
                <w:tcPr>
                  <w:tcW w:w="5121" w:type="dxa"/>
                  <w:vAlign w:val="center"/>
                </w:tcPr>
                <w:p w14:paraId="604DFC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由园区供水管网供给。</w:t>
                  </w:r>
                </w:p>
              </w:tc>
              <w:tc>
                <w:tcPr>
                  <w:tcW w:w="1138" w:type="dxa"/>
                  <w:vMerge w:val="restart"/>
                  <w:vAlign w:val="center"/>
                </w:tcPr>
                <w:p w14:paraId="766F0253">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vertAlign w:val="baseline"/>
                      <w:lang w:val="en-US" w:eastAsia="zh-CN" w:bidi="ar-SA"/>
                    </w:rPr>
                    <w:t>新建</w:t>
                  </w:r>
                </w:p>
              </w:tc>
            </w:tr>
            <w:tr w14:paraId="3050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4AD1E3BE">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525" w:type="dxa"/>
                  <w:gridSpan w:val="3"/>
                  <w:vAlign w:val="center"/>
                </w:tcPr>
                <w:p w14:paraId="0EA6BD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排水</w:t>
                  </w:r>
                </w:p>
              </w:tc>
              <w:tc>
                <w:tcPr>
                  <w:tcW w:w="5121" w:type="dxa"/>
                  <w:vAlign w:val="center"/>
                </w:tcPr>
                <w:p w14:paraId="0EA76927">
                  <w:pPr>
                    <w:widowControl/>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项目排水采用雨污分流的排水方式，</w:t>
                  </w:r>
                  <w:r>
                    <w:rPr>
                      <w:rFonts w:hint="eastAsia" w:cs="Times New Roman"/>
                      <w:color w:val="auto"/>
                      <w:kern w:val="0"/>
                      <w:sz w:val="21"/>
                      <w:szCs w:val="21"/>
                      <w:highlight w:val="none"/>
                      <w:lang w:val="en-US" w:eastAsia="zh-CN"/>
                    </w:rPr>
                    <w:t>设备冷却废水</w:t>
                  </w:r>
                  <w:r>
                    <w:rPr>
                      <w:rFonts w:hint="default" w:cs="Times New Roman"/>
                      <w:color w:val="auto"/>
                      <w:kern w:val="0"/>
                      <w:sz w:val="21"/>
                      <w:szCs w:val="21"/>
                      <w:highlight w:val="none"/>
                      <w:lang w:val="en-US" w:eastAsia="zh-CN"/>
                    </w:rPr>
                    <w:t>经循环冷却池冷却后循环使用不外排；</w:t>
                  </w:r>
                  <w:r>
                    <w:rPr>
                      <w:rFonts w:hint="eastAsia" w:cs="Times New Roman"/>
                      <w:color w:val="auto"/>
                      <w:kern w:val="0"/>
                      <w:sz w:val="21"/>
                      <w:szCs w:val="21"/>
                      <w:highlight w:val="none"/>
                      <w:lang w:val="en-US" w:eastAsia="zh-CN"/>
                    </w:rPr>
                    <w:t>化验后的容器清洗废水通过投加絮凝剂、加入酸碱中和剂等方式对废水进行沉淀、中和等简易处理，处理后的废水排入厂内拟建的污水处理站统一处置；吸收氨气的清水浓度大于10%时直接作为脱硝使用喷入</w:t>
                  </w:r>
                </w:p>
                <w:p w14:paraId="6FF47BE1">
                  <w:pPr>
                    <w:widowControl/>
                    <w:adjustRightInd w:val="0"/>
                    <w:snapToGrid w:val="0"/>
                    <w:spacing w:line="240" w:lineRule="auto"/>
                    <w:ind w:firstLine="0" w:firstLineChars="0"/>
                    <w:jc w:val="both"/>
                    <w:rPr>
                      <w:rFonts w:hint="default" w:ascii="Times New Roman" w:hAnsi="Times New Roman" w:eastAsia="宋体" w:cs="Times New Roman"/>
                      <w:color w:val="auto"/>
                      <w:highlight w:val="none"/>
                      <w:lang w:val="en-US" w:eastAsia="zh-CN"/>
                    </w:rPr>
                  </w:pPr>
                  <w:r>
                    <w:rPr>
                      <w:rFonts w:hint="eastAsia" w:cs="Times New Roman"/>
                      <w:color w:val="auto"/>
                      <w:kern w:val="0"/>
                      <w:sz w:val="21"/>
                      <w:szCs w:val="21"/>
                      <w:highlight w:val="none"/>
                      <w:lang w:val="en-US" w:eastAsia="zh-CN"/>
                    </w:rPr>
                    <w:t>炉膛内，不外排；</w:t>
                  </w:r>
                  <w:r>
                    <w:rPr>
                      <w:rFonts w:hint="default" w:cs="Times New Roman"/>
                      <w:color w:val="auto"/>
                      <w:kern w:val="0"/>
                      <w:sz w:val="21"/>
                      <w:szCs w:val="21"/>
                      <w:highlight w:val="none"/>
                      <w:lang w:val="en-US" w:eastAsia="zh-CN"/>
                    </w:rPr>
                    <w:t>初期雨水</w:t>
                  </w:r>
                  <w:r>
                    <w:rPr>
                      <w:rFonts w:hint="eastAsia" w:cs="Times New Roman"/>
                      <w:color w:val="auto"/>
                      <w:kern w:val="0"/>
                      <w:sz w:val="21"/>
                      <w:szCs w:val="21"/>
                      <w:highlight w:val="none"/>
                      <w:lang w:val="en-US" w:eastAsia="zh-CN"/>
                    </w:rPr>
                    <w:t>经沉淀</w:t>
                  </w:r>
                  <w:r>
                    <w:rPr>
                      <w:rFonts w:hint="default" w:cs="Times New Roman"/>
                      <w:color w:val="auto"/>
                      <w:kern w:val="0"/>
                      <w:sz w:val="21"/>
                      <w:szCs w:val="21"/>
                      <w:highlight w:val="none"/>
                      <w:lang w:val="en-US" w:eastAsia="zh-CN"/>
                    </w:rPr>
                    <w:t>处理后回用于</w:t>
                  </w:r>
                  <w:r>
                    <w:rPr>
                      <w:rFonts w:hint="eastAsia" w:cs="Times New Roman"/>
                      <w:color w:val="auto"/>
                      <w:kern w:val="0"/>
                      <w:sz w:val="21"/>
                      <w:szCs w:val="21"/>
                      <w:highlight w:val="none"/>
                      <w:lang w:val="en-US" w:eastAsia="zh-CN"/>
                    </w:rPr>
                    <w:t>厂区洒水抑尘</w:t>
                  </w:r>
                  <w:r>
                    <w:rPr>
                      <w:rFonts w:hint="default" w:cs="Times New Roman"/>
                      <w:color w:val="auto"/>
                      <w:kern w:val="0"/>
                      <w:sz w:val="21"/>
                      <w:szCs w:val="21"/>
                      <w:highlight w:val="none"/>
                      <w:lang w:val="en-US" w:eastAsia="zh-CN"/>
                    </w:rPr>
                    <w:t>，不外排</w:t>
                  </w:r>
                  <w:r>
                    <w:rPr>
                      <w:rFonts w:hint="eastAsia" w:cs="Times New Roman"/>
                      <w:color w:val="auto"/>
                      <w:kern w:val="0"/>
                      <w:sz w:val="21"/>
                      <w:szCs w:val="21"/>
                      <w:highlight w:val="none"/>
                      <w:lang w:val="en-US" w:eastAsia="zh-CN"/>
                    </w:rPr>
                    <w:t>；</w:t>
                  </w:r>
                  <w:r>
                    <w:rPr>
                      <w:rFonts w:hint="default" w:cs="Times New Roman"/>
                      <w:color w:val="auto"/>
                      <w:kern w:val="0"/>
                      <w:sz w:val="21"/>
                      <w:szCs w:val="21"/>
                      <w:highlight w:val="none"/>
                      <w:lang w:val="en-US" w:eastAsia="zh-CN"/>
                    </w:rPr>
                    <w:t>办公生活污水</w:t>
                  </w:r>
                  <w:r>
                    <w:rPr>
                      <w:rFonts w:hint="eastAsia" w:cs="Times New Roman"/>
                      <w:color w:val="auto"/>
                      <w:kern w:val="0"/>
                      <w:sz w:val="21"/>
                      <w:szCs w:val="21"/>
                      <w:highlight w:val="none"/>
                      <w:lang w:val="en-US" w:eastAsia="zh-CN"/>
                    </w:rPr>
                    <w:t>排</w:t>
                  </w:r>
                  <w:r>
                    <w:rPr>
                      <w:rFonts w:hint="default" w:cs="Times New Roman"/>
                      <w:color w:val="auto"/>
                      <w:kern w:val="0"/>
                      <w:sz w:val="21"/>
                      <w:szCs w:val="21"/>
                      <w:highlight w:val="none"/>
                      <w:lang w:val="en-US" w:eastAsia="zh-CN"/>
                    </w:rPr>
                    <w:t>入化粪</w:t>
                  </w:r>
                  <w:r>
                    <w:rPr>
                      <w:rFonts w:hint="eastAsia" w:cs="Times New Roman"/>
                      <w:color w:val="auto"/>
                      <w:kern w:val="0"/>
                      <w:sz w:val="21"/>
                      <w:szCs w:val="21"/>
                      <w:highlight w:val="none"/>
                      <w:lang w:val="en-US" w:eastAsia="zh-CN"/>
                    </w:rPr>
                    <w:t>池处理后同化验废水一并进入</w:t>
                  </w:r>
                  <w:r>
                    <w:rPr>
                      <w:rFonts w:hint="default" w:cs="Times New Roman"/>
                      <w:color w:val="auto"/>
                      <w:kern w:val="0"/>
                      <w:sz w:val="21"/>
                      <w:szCs w:val="21"/>
                      <w:highlight w:val="none"/>
                      <w:lang w:val="en-US" w:eastAsia="zh-CN"/>
                    </w:rPr>
                    <w:t>地埋式一体化污水处理站处理达《城市污水再生利用 城市杂用水水质》（GB/T18920-2020）中的城市绿化、道路清扫、消防、建筑施工标准后，用于项目区内绿化及道路场地洒水降尘，不外排。</w:t>
                  </w:r>
                </w:p>
              </w:tc>
              <w:tc>
                <w:tcPr>
                  <w:tcW w:w="1138" w:type="dxa"/>
                  <w:vMerge w:val="continue"/>
                  <w:vAlign w:val="center"/>
                </w:tcPr>
                <w:p w14:paraId="01CE0989">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14:paraId="5258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4CAEB624">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525" w:type="dxa"/>
                  <w:gridSpan w:val="3"/>
                  <w:vAlign w:val="center"/>
                </w:tcPr>
                <w:p w14:paraId="5F2C094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供电</w:t>
                  </w:r>
                </w:p>
              </w:tc>
              <w:tc>
                <w:tcPr>
                  <w:tcW w:w="5121" w:type="dxa"/>
                  <w:vAlign w:val="center"/>
                </w:tcPr>
                <w:p w14:paraId="7D37C1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从园区已有供电系统接入。</w:t>
                  </w:r>
                </w:p>
              </w:tc>
              <w:tc>
                <w:tcPr>
                  <w:tcW w:w="1138" w:type="dxa"/>
                  <w:vMerge w:val="continue"/>
                  <w:vAlign w:val="center"/>
                </w:tcPr>
                <w:p w14:paraId="3AFB211A">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14:paraId="67F3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709E402B">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525" w:type="dxa"/>
                  <w:gridSpan w:val="3"/>
                  <w:vAlign w:val="center"/>
                </w:tcPr>
                <w:p w14:paraId="250155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供热</w:t>
                  </w:r>
                </w:p>
              </w:tc>
              <w:tc>
                <w:tcPr>
                  <w:tcW w:w="5121" w:type="dxa"/>
                  <w:vAlign w:val="center"/>
                </w:tcPr>
                <w:p w14:paraId="5CFF5C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办公生活区使用电能</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生产区烘干段使用生物质颗粒作为燃料。</w:t>
                  </w:r>
                </w:p>
              </w:tc>
              <w:tc>
                <w:tcPr>
                  <w:tcW w:w="1138" w:type="dxa"/>
                  <w:vMerge w:val="continue"/>
                  <w:vAlign w:val="center"/>
                </w:tcPr>
                <w:p w14:paraId="4632EB99">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14:paraId="2A4D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21E9EED3">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525" w:type="dxa"/>
                  <w:gridSpan w:val="3"/>
                  <w:vAlign w:val="center"/>
                </w:tcPr>
                <w:p w14:paraId="5DA6435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消防</w:t>
                  </w:r>
                </w:p>
              </w:tc>
              <w:tc>
                <w:tcPr>
                  <w:tcW w:w="5121" w:type="dxa"/>
                  <w:vAlign w:val="center"/>
                </w:tcPr>
                <w:p w14:paraId="6D95CB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项目建筑均</w:t>
                  </w:r>
                  <w:r>
                    <w:rPr>
                      <w:rFonts w:hint="default" w:ascii="Times New Roman" w:hAnsi="Times New Roman" w:eastAsia="宋体" w:cs="Times New Roman"/>
                      <w:color w:val="auto"/>
                      <w:kern w:val="0"/>
                      <w:sz w:val="21"/>
                      <w:szCs w:val="21"/>
                      <w:highlight w:val="none"/>
                      <w:lang w:eastAsia="zh-CN"/>
                    </w:rPr>
                    <w:t>配置</w:t>
                  </w:r>
                  <w:r>
                    <w:rPr>
                      <w:rFonts w:hint="default" w:ascii="Times New Roman" w:hAnsi="Times New Roman" w:eastAsia="宋体" w:cs="Times New Roman"/>
                      <w:color w:val="auto"/>
                      <w:kern w:val="0"/>
                      <w:sz w:val="21"/>
                      <w:szCs w:val="21"/>
                      <w:highlight w:val="none"/>
                    </w:rPr>
                    <w:t>灭火</w:t>
                  </w:r>
                  <w:r>
                    <w:rPr>
                      <w:rFonts w:hint="default" w:ascii="Times New Roman" w:hAnsi="Times New Roman" w:eastAsia="宋体" w:cs="Times New Roman"/>
                      <w:color w:val="auto"/>
                      <w:kern w:val="0"/>
                      <w:sz w:val="21"/>
                      <w:szCs w:val="21"/>
                      <w:highlight w:val="none"/>
                      <w:lang w:eastAsia="zh-CN"/>
                    </w:rPr>
                    <w:t>器材</w:t>
                  </w:r>
                  <w:r>
                    <w:rPr>
                      <w:rFonts w:hint="default" w:ascii="Times New Roman" w:hAnsi="Times New Roman" w:eastAsia="宋体" w:cs="Times New Roman"/>
                      <w:color w:val="auto"/>
                      <w:kern w:val="0"/>
                      <w:sz w:val="21"/>
                      <w:szCs w:val="21"/>
                      <w:highlight w:val="none"/>
                    </w:rPr>
                    <w:t>，消防水源为市政管网水，水量水压能满足消防要求。</w:t>
                  </w:r>
                </w:p>
              </w:tc>
              <w:tc>
                <w:tcPr>
                  <w:tcW w:w="1138" w:type="dxa"/>
                  <w:vMerge w:val="continue"/>
                  <w:vAlign w:val="center"/>
                </w:tcPr>
                <w:p w14:paraId="775B2969">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14:paraId="51E1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85" w:type="dxa"/>
                  <w:vMerge w:val="restart"/>
                  <w:vAlign w:val="center"/>
                </w:tcPr>
                <w:p w14:paraId="5B7BB7F1">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环保工程</w:t>
                  </w:r>
                </w:p>
              </w:tc>
              <w:tc>
                <w:tcPr>
                  <w:tcW w:w="389" w:type="dxa"/>
                  <w:vMerge w:val="restart"/>
                  <w:vAlign w:val="center"/>
                </w:tcPr>
                <w:p w14:paraId="071CE06F">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w:t>
                  </w:r>
                </w:p>
              </w:tc>
              <w:tc>
                <w:tcPr>
                  <w:tcW w:w="1136" w:type="dxa"/>
                  <w:gridSpan w:val="2"/>
                  <w:tcBorders>
                    <w:bottom w:val="single" w:color="auto" w:sz="4" w:space="0"/>
                  </w:tcBorders>
                  <w:vAlign w:val="center"/>
                </w:tcPr>
                <w:p w14:paraId="1E5438D5">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eastAsia="zh-CN"/>
                    </w:rPr>
                    <w:t>卸料扬</w:t>
                  </w:r>
                  <w:r>
                    <w:rPr>
                      <w:rFonts w:hint="default" w:ascii="Times New Roman" w:hAnsi="Times New Roman" w:eastAsia="宋体" w:cs="Times New Roman"/>
                      <w:color w:val="auto"/>
                      <w:szCs w:val="21"/>
                      <w:highlight w:val="none"/>
                    </w:rPr>
                    <w:t>尘</w:t>
                  </w:r>
                </w:p>
              </w:tc>
              <w:tc>
                <w:tcPr>
                  <w:tcW w:w="5121" w:type="dxa"/>
                  <w:tcBorders>
                    <w:bottom w:val="single" w:color="auto" w:sz="4" w:space="0"/>
                  </w:tcBorders>
                  <w:vAlign w:val="center"/>
                </w:tcPr>
                <w:p w14:paraId="58A42F6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1套集气罩+收尘风管+布袋除尘器+15.5m高排气筒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卸料</w:t>
                  </w:r>
                  <w:r>
                    <w:rPr>
                      <w:rFonts w:hint="default" w:ascii="Times New Roman" w:hAnsi="Times New Roman" w:eastAsia="宋体" w:cs="Times New Roman"/>
                      <w:color w:val="auto"/>
                      <w:sz w:val="21"/>
                      <w:szCs w:val="21"/>
                      <w:highlight w:val="none"/>
                    </w:rPr>
                    <w:t>过程产生的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Merge w:val="restart"/>
                  <w:vAlign w:val="center"/>
                </w:tcPr>
                <w:p w14:paraId="39273C68">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69B5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dxa"/>
                  <w:vMerge w:val="continue"/>
                  <w:vAlign w:val="center"/>
                </w:tcPr>
                <w:p w14:paraId="2AEFC5E7">
                  <w:pPr>
                    <w:adjustRightInd w:val="0"/>
                    <w:snapToGrid w:val="0"/>
                    <w:spacing w:line="0" w:lineRule="atLeast"/>
                    <w:jc w:val="center"/>
                    <w:rPr>
                      <w:color w:val="auto"/>
                      <w:highlight w:val="none"/>
                    </w:rPr>
                  </w:pPr>
                </w:p>
              </w:tc>
              <w:tc>
                <w:tcPr>
                  <w:tcW w:w="389" w:type="dxa"/>
                  <w:vMerge w:val="continue"/>
                  <w:vAlign w:val="center"/>
                </w:tcPr>
                <w:p w14:paraId="76313C7A">
                  <w:pPr>
                    <w:adjustRightInd w:val="0"/>
                    <w:snapToGrid w:val="0"/>
                    <w:spacing w:line="0" w:lineRule="atLeast"/>
                    <w:jc w:val="center"/>
                    <w:rPr>
                      <w:color w:val="auto"/>
                      <w:highlight w:val="none"/>
                    </w:rPr>
                  </w:pPr>
                </w:p>
              </w:tc>
              <w:tc>
                <w:tcPr>
                  <w:tcW w:w="1136" w:type="dxa"/>
                  <w:gridSpan w:val="2"/>
                  <w:tcBorders>
                    <w:bottom w:val="single" w:color="auto" w:sz="4" w:space="0"/>
                  </w:tcBorders>
                  <w:vAlign w:val="center"/>
                </w:tcPr>
                <w:p w14:paraId="66A0D38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eastAsia="zh-CN"/>
                    </w:rPr>
                    <w:t>原料堆场扬尘</w:t>
                  </w:r>
                  <w:r>
                    <w:rPr>
                      <w:rFonts w:hint="default" w:ascii="Times New Roman" w:hAnsi="Times New Roman" w:eastAsia="宋体" w:cs="Times New Roman"/>
                      <w:color w:val="auto"/>
                      <w:szCs w:val="21"/>
                      <w:highlight w:val="none"/>
                      <w:lang w:eastAsia="zh-CN"/>
                    </w:rPr>
                    <w:t>（</w:t>
                  </w:r>
                  <w:r>
                    <w:rPr>
                      <w:rFonts w:hint="eastAsia" w:cs="Times New Roman"/>
                      <w:color w:val="auto"/>
                      <w:szCs w:val="21"/>
                      <w:highlight w:val="none"/>
                      <w:lang w:val="en-US" w:eastAsia="zh-CN"/>
                    </w:rPr>
                    <w:t>原料堆棚、均化堆场</w:t>
                  </w:r>
                  <w:r>
                    <w:rPr>
                      <w:rFonts w:hint="default" w:ascii="Times New Roman" w:hAnsi="Times New Roman" w:eastAsia="宋体" w:cs="Times New Roman"/>
                      <w:color w:val="auto"/>
                      <w:szCs w:val="21"/>
                      <w:highlight w:val="none"/>
                      <w:lang w:eastAsia="zh-CN"/>
                    </w:rPr>
                    <w:t>）</w:t>
                  </w:r>
                </w:p>
              </w:tc>
              <w:tc>
                <w:tcPr>
                  <w:tcW w:w="5121" w:type="dxa"/>
                  <w:tcBorders>
                    <w:bottom w:val="single" w:color="auto" w:sz="4" w:space="0"/>
                  </w:tcBorders>
                  <w:vAlign w:val="center"/>
                </w:tcPr>
                <w:p w14:paraId="7B5D277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8"/>
                      <w:sz w:val="21"/>
                      <w:szCs w:val="21"/>
                      <w:highlight w:val="none"/>
                      <w:lang w:eastAsia="zh-CN"/>
                    </w:rPr>
                    <w:t>原料</w:t>
                  </w:r>
                  <w:r>
                    <w:rPr>
                      <w:rFonts w:hint="eastAsia" w:cs="Times New Roman"/>
                      <w:color w:val="auto"/>
                      <w:spacing w:val="-8"/>
                      <w:sz w:val="21"/>
                      <w:szCs w:val="21"/>
                      <w:highlight w:val="none"/>
                      <w:lang w:eastAsia="zh-CN"/>
                    </w:rPr>
                    <w:t>煤</w:t>
                  </w:r>
                  <w:r>
                    <w:rPr>
                      <w:rFonts w:hint="eastAsia" w:ascii="Times New Roman" w:hAnsi="Times New Roman" w:eastAsia="宋体" w:cs="Times New Roman"/>
                      <w:color w:val="auto"/>
                      <w:spacing w:val="-8"/>
                      <w:sz w:val="21"/>
                      <w:szCs w:val="21"/>
                      <w:highlight w:val="none"/>
                      <w:lang w:eastAsia="zh-CN"/>
                    </w:rPr>
                    <w:t>储存区为全封闭厂房，</w:t>
                  </w:r>
                  <w:r>
                    <w:rPr>
                      <w:rFonts w:hint="default" w:ascii="Times New Roman" w:hAnsi="Times New Roman" w:eastAsia="宋体" w:cs="Times New Roman"/>
                      <w:color w:val="auto"/>
                      <w:spacing w:val="-3"/>
                      <w:sz w:val="21"/>
                      <w:szCs w:val="21"/>
                      <w:highlight w:val="none"/>
                    </w:rPr>
                    <w:t>其产生</w:t>
                  </w:r>
                  <w:r>
                    <w:rPr>
                      <w:rFonts w:hint="default" w:ascii="Times New Roman" w:hAnsi="Times New Roman" w:eastAsia="宋体" w:cs="Times New Roman"/>
                      <w:color w:val="auto"/>
                      <w:spacing w:val="-5"/>
                      <w:sz w:val="21"/>
                      <w:szCs w:val="21"/>
                      <w:highlight w:val="none"/>
                    </w:rPr>
                    <w:t>的无组织扬尘</w:t>
                  </w:r>
                  <w:r>
                    <w:rPr>
                      <w:rFonts w:hint="eastAsia" w:cs="Times New Roman"/>
                      <w:color w:val="auto"/>
                      <w:spacing w:val="-5"/>
                      <w:sz w:val="21"/>
                      <w:szCs w:val="21"/>
                      <w:highlight w:val="none"/>
                      <w:lang w:eastAsia="zh-CN"/>
                    </w:rPr>
                    <w:t>均在堆棚内</w:t>
                  </w:r>
                  <w:r>
                    <w:rPr>
                      <w:rFonts w:hint="default" w:ascii="Times New Roman" w:hAnsi="Times New Roman" w:eastAsia="宋体" w:cs="Times New Roman"/>
                      <w:color w:val="auto"/>
                      <w:spacing w:val="-11"/>
                      <w:sz w:val="21"/>
                      <w:szCs w:val="21"/>
                      <w:highlight w:val="none"/>
                    </w:rPr>
                    <w:t>，</w:t>
                  </w:r>
                  <w:r>
                    <w:rPr>
                      <w:rFonts w:hint="eastAsia" w:cs="Times New Roman"/>
                      <w:color w:val="auto"/>
                      <w:spacing w:val="-11"/>
                      <w:sz w:val="21"/>
                      <w:szCs w:val="21"/>
                      <w:highlight w:val="none"/>
                      <w:lang w:eastAsia="zh-CN"/>
                    </w:rPr>
                    <w:t>仅有少量扬尘在开门时溢出。</w:t>
                  </w:r>
                </w:p>
              </w:tc>
              <w:tc>
                <w:tcPr>
                  <w:tcW w:w="1138" w:type="dxa"/>
                  <w:vMerge w:val="continue"/>
                  <w:vAlign w:val="center"/>
                </w:tcPr>
                <w:p w14:paraId="3D574B04">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14:paraId="2CBD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85" w:type="dxa"/>
                  <w:vMerge w:val="continue"/>
                  <w:vAlign w:val="center"/>
                </w:tcPr>
                <w:p w14:paraId="3F05AEC7">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389" w:type="dxa"/>
                  <w:vMerge w:val="continue"/>
                  <w:vAlign w:val="center"/>
                </w:tcPr>
                <w:p w14:paraId="4A4EBA25">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36" w:type="dxa"/>
                  <w:gridSpan w:val="2"/>
                  <w:tcBorders>
                    <w:bottom w:val="single" w:color="auto" w:sz="4" w:space="0"/>
                  </w:tcBorders>
                  <w:vAlign w:val="center"/>
                </w:tcPr>
                <w:p w14:paraId="4648A92A">
                  <w:pPr>
                    <w:pStyle w:val="25"/>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破碎</w:t>
                  </w:r>
                  <w:r>
                    <w:rPr>
                      <w:rFonts w:hint="eastAsia" w:ascii="Times New Roman" w:hAnsi="Times New Roman" w:eastAsia="宋体" w:cs="Times New Roman"/>
                      <w:color w:val="auto"/>
                      <w:kern w:val="2"/>
                      <w:sz w:val="21"/>
                      <w:szCs w:val="21"/>
                      <w:highlight w:val="none"/>
                      <w:lang w:val="en-US" w:eastAsia="zh-CN" w:bidi="ar-SA"/>
                    </w:rPr>
                    <w:t>粉尘</w:t>
                  </w:r>
                </w:p>
              </w:tc>
              <w:tc>
                <w:tcPr>
                  <w:tcW w:w="5121" w:type="dxa"/>
                  <w:tcBorders>
                    <w:bottom w:val="single" w:color="auto" w:sz="4" w:space="0"/>
                  </w:tcBorders>
                  <w:vAlign w:val="center"/>
                </w:tcPr>
                <w:p w14:paraId="5DE2EF8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1套集气罩+收尘风管+布袋除尘器+15.5m高排气筒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破碎</w:t>
                  </w:r>
                  <w:r>
                    <w:rPr>
                      <w:rFonts w:hint="default" w:ascii="Times New Roman" w:hAnsi="Times New Roman" w:eastAsia="宋体" w:cs="Times New Roman"/>
                      <w:color w:val="auto"/>
                      <w:sz w:val="21"/>
                      <w:szCs w:val="21"/>
                      <w:highlight w:val="none"/>
                    </w:rPr>
                    <w:t>过程产生的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Merge w:val="continue"/>
                  <w:vAlign w:val="center"/>
                </w:tcPr>
                <w:p w14:paraId="1B78615C">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14:paraId="45B9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85" w:type="dxa"/>
                  <w:vMerge w:val="continue"/>
                  <w:vAlign w:val="center"/>
                </w:tcPr>
                <w:p w14:paraId="47A9C140">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389" w:type="dxa"/>
                  <w:vMerge w:val="continue"/>
                  <w:vAlign w:val="center"/>
                </w:tcPr>
                <w:p w14:paraId="611ACBB5">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36" w:type="dxa"/>
                  <w:gridSpan w:val="2"/>
                  <w:tcBorders>
                    <w:bottom w:val="single" w:color="auto" w:sz="4" w:space="0"/>
                  </w:tcBorders>
                  <w:vAlign w:val="center"/>
                </w:tcPr>
                <w:p w14:paraId="77B7E3C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原料</w:t>
                  </w:r>
                  <w:r>
                    <w:rPr>
                      <w:rFonts w:hint="eastAsia" w:ascii="Times New Roman" w:hAnsi="Times New Roman" w:eastAsia="宋体" w:cs="Times New Roman"/>
                      <w:color w:val="auto"/>
                      <w:kern w:val="2"/>
                      <w:sz w:val="21"/>
                      <w:szCs w:val="21"/>
                      <w:highlight w:val="none"/>
                      <w:lang w:val="en-US" w:eastAsia="zh-CN" w:bidi="ar-SA"/>
                    </w:rPr>
                    <w:t>转载</w:t>
                  </w:r>
                  <w:r>
                    <w:rPr>
                      <w:rFonts w:hint="eastAsia" w:cs="Times New Roman"/>
                      <w:color w:val="auto"/>
                      <w:kern w:val="2"/>
                      <w:sz w:val="21"/>
                      <w:szCs w:val="21"/>
                      <w:highlight w:val="none"/>
                      <w:lang w:val="en-US" w:eastAsia="zh-CN" w:bidi="ar-SA"/>
                    </w:rPr>
                    <w:t>点</w:t>
                  </w:r>
                  <w:r>
                    <w:rPr>
                      <w:rFonts w:hint="eastAsia" w:ascii="Times New Roman" w:hAnsi="Times New Roman" w:eastAsia="宋体" w:cs="Times New Roman"/>
                      <w:color w:val="auto"/>
                      <w:kern w:val="2"/>
                      <w:sz w:val="21"/>
                      <w:szCs w:val="21"/>
                      <w:highlight w:val="none"/>
                      <w:lang w:val="en-US" w:eastAsia="zh-CN" w:bidi="ar-SA"/>
                    </w:rPr>
                    <w:t>落料粉尘</w:t>
                  </w:r>
                </w:p>
              </w:tc>
              <w:tc>
                <w:tcPr>
                  <w:tcW w:w="5121" w:type="dxa"/>
                  <w:tcBorders>
                    <w:bottom w:val="single" w:color="auto" w:sz="4" w:space="0"/>
                  </w:tcBorders>
                  <w:vAlign w:val="center"/>
                </w:tcPr>
                <w:p w14:paraId="7645748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1套集气罩+收尘风管+布袋除尘器+15.5m高排气筒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原料转载</w:t>
                  </w:r>
                  <w:r>
                    <w:rPr>
                      <w:rFonts w:hint="default" w:ascii="Times New Roman" w:hAnsi="Times New Roman" w:eastAsia="宋体" w:cs="Times New Roman"/>
                      <w:color w:val="auto"/>
                      <w:sz w:val="21"/>
                      <w:szCs w:val="21"/>
                      <w:highlight w:val="none"/>
                    </w:rPr>
                    <w:t>过程产生的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Merge w:val="continue"/>
                  <w:vAlign w:val="center"/>
                </w:tcPr>
                <w:p w14:paraId="62B7427B">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14:paraId="5665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85" w:type="dxa"/>
                  <w:vMerge w:val="continue"/>
                  <w:vAlign w:val="center"/>
                </w:tcPr>
                <w:p w14:paraId="4B15D33A">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389" w:type="dxa"/>
                  <w:vMerge w:val="continue"/>
                  <w:vAlign w:val="center"/>
                </w:tcPr>
                <w:p w14:paraId="0BEBA157">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36" w:type="dxa"/>
                  <w:gridSpan w:val="2"/>
                  <w:tcBorders>
                    <w:bottom w:val="single" w:color="auto" w:sz="4" w:space="0"/>
                  </w:tcBorders>
                  <w:vAlign w:val="center"/>
                </w:tcPr>
                <w:p w14:paraId="7EE049F3">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kern w:val="2"/>
                      <w:sz w:val="21"/>
                      <w:szCs w:val="21"/>
                      <w:highlight w:val="none"/>
                      <w:lang w:val="en-US" w:eastAsia="zh-CN" w:bidi="ar-SA"/>
                    </w:rPr>
                    <w:t>喂煤仓</w:t>
                  </w:r>
                  <w:r>
                    <w:rPr>
                      <w:rFonts w:hint="eastAsia" w:ascii="Times New Roman" w:hAnsi="Times New Roman" w:eastAsia="宋体" w:cs="Times New Roman"/>
                      <w:color w:val="auto"/>
                      <w:kern w:val="2"/>
                      <w:sz w:val="21"/>
                      <w:szCs w:val="21"/>
                      <w:highlight w:val="none"/>
                      <w:lang w:val="en-US" w:eastAsia="zh-CN" w:bidi="ar-SA"/>
                    </w:rPr>
                    <w:t>粉尘</w:t>
                  </w:r>
                </w:p>
              </w:tc>
              <w:tc>
                <w:tcPr>
                  <w:tcW w:w="5121" w:type="dxa"/>
                  <w:tcBorders>
                    <w:bottom w:val="single" w:color="auto" w:sz="4" w:space="0"/>
                  </w:tcBorders>
                  <w:vAlign w:val="center"/>
                </w:tcPr>
                <w:p w14:paraId="46BC9C6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1套集气罩+收尘风管+布袋除尘器+36m高排气筒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喂煤仓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9639</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Align w:val="center"/>
                </w:tcPr>
                <w:p w14:paraId="7F59868E">
                  <w:pPr>
                    <w:adjustRightInd w:val="0"/>
                    <w:snapToGrid w:val="0"/>
                    <w:spacing w:line="0" w:lineRule="atLeast"/>
                    <w:jc w:val="center"/>
                    <w:rPr>
                      <w:rFonts w:hint="eastAsia" w:cs="Times New Roman"/>
                      <w:color w:val="auto"/>
                      <w:sz w:val="21"/>
                      <w:szCs w:val="21"/>
                      <w:highlight w:val="none"/>
                      <w:lang w:val="en-US" w:eastAsia="zh-CN"/>
                    </w:rPr>
                  </w:pPr>
                </w:p>
              </w:tc>
            </w:tr>
            <w:tr w14:paraId="1789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85" w:type="dxa"/>
                  <w:vMerge w:val="continue"/>
                  <w:vAlign w:val="center"/>
                </w:tcPr>
                <w:p w14:paraId="1AE91098">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389" w:type="dxa"/>
                  <w:vMerge w:val="continue"/>
                  <w:vAlign w:val="center"/>
                </w:tcPr>
                <w:p w14:paraId="17802E58">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36" w:type="dxa"/>
                  <w:gridSpan w:val="2"/>
                  <w:tcBorders>
                    <w:bottom w:val="single" w:color="auto" w:sz="4" w:space="0"/>
                  </w:tcBorders>
                  <w:vAlign w:val="center"/>
                </w:tcPr>
                <w:p w14:paraId="6008466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烘干废气（颗粒物、二氧化硫、氮氧化物、</w:t>
                  </w:r>
                  <w:r>
                    <w:rPr>
                      <w:rFonts w:hint="eastAsia"/>
                      <w:color w:val="auto"/>
                      <w:szCs w:val="21"/>
                      <w:highlight w:val="none"/>
                    </w:rPr>
                    <w:t>N</w:t>
                  </w:r>
                  <w:r>
                    <w:rPr>
                      <w:color w:val="auto"/>
                      <w:szCs w:val="21"/>
                      <w:highlight w:val="none"/>
                    </w:rPr>
                    <w:t>H</w:t>
                  </w:r>
                  <w:r>
                    <w:rPr>
                      <w:color w:val="auto"/>
                      <w:szCs w:val="21"/>
                      <w:highlight w:val="none"/>
                      <w:vertAlign w:val="subscript"/>
                    </w:rPr>
                    <w:t>3</w:t>
                  </w:r>
                  <w:r>
                    <w:rPr>
                      <w:rFonts w:hint="eastAsia" w:cs="Times New Roman"/>
                      <w:color w:val="auto"/>
                      <w:sz w:val="21"/>
                      <w:szCs w:val="21"/>
                      <w:highlight w:val="none"/>
                      <w:lang w:eastAsia="zh-CN"/>
                    </w:rPr>
                    <w:t>）</w:t>
                  </w:r>
                </w:p>
              </w:tc>
              <w:tc>
                <w:tcPr>
                  <w:tcW w:w="5121" w:type="dxa"/>
                  <w:tcBorders>
                    <w:bottom w:val="single" w:color="auto" w:sz="4" w:space="0"/>
                  </w:tcBorders>
                  <w:vAlign w:val="center"/>
                </w:tcPr>
                <w:p w14:paraId="0954D91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olor w:val="auto"/>
                      <w:sz w:val="21"/>
                      <w:szCs w:val="21"/>
                      <w:highlight w:val="none"/>
                    </w:rPr>
                    <w:t>炉内喷钙脱硫</w:t>
                  </w:r>
                  <w:r>
                    <w:rPr>
                      <w:rFonts w:hint="eastAsia"/>
                      <w:color w:val="auto"/>
                      <w:sz w:val="21"/>
                      <w:szCs w:val="21"/>
                      <w:highlight w:val="none"/>
                      <w:lang w:eastAsia="zh-CN"/>
                    </w:rPr>
                    <w:t>（</w:t>
                  </w:r>
                  <w:r>
                    <w:rPr>
                      <w:rFonts w:hint="eastAsia"/>
                      <w:color w:val="auto"/>
                      <w:sz w:val="21"/>
                      <w:szCs w:val="21"/>
                      <w:highlight w:val="none"/>
                    </w:rPr>
                    <w:t>结合尾部烟气的增湿活化脱硫效应</w:t>
                  </w:r>
                  <w:r>
                    <w:rPr>
                      <w:rFonts w:hint="eastAsia"/>
                      <w:color w:val="auto"/>
                      <w:sz w:val="21"/>
                      <w:szCs w:val="21"/>
                      <w:highlight w:val="none"/>
                      <w:lang w:eastAsia="zh-CN"/>
                    </w:rPr>
                    <w:t>）</w:t>
                  </w:r>
                  <w:r>
                    <w:rPr>
                      <w:rFonts w:hint="eastAsia"/>
                      <w:color w:val="auto"/>
                      <w:sz w:val="21"/>
                      <w:szCs w:val="21"/>
                      <w:highlight w:val="none"/>
                      <w:lang w:val="en-US" w:eastAsia="zh-CN"/>
                    </w:rPr>
                    <w:t>+分级燃烧+</w:t>
                  </w:r>
                  <w:r>
                    <w:rPr>
                      <w:rFonts w:hint="eastAsia"/>
                      <w:color w:val="auto"/>
                      <w:sz w:val="21"/>
                      <w:szCs w:val="21"/>
                      <w:highlight w:val="none"/>
                    </w:rPr>
                    <w:t>SNCR</w:t>
                  </w:r>
                  <w:r>
                    <w:rPr>
                      <w:rFonts w:hint="eastAsia"/>
                      <w:color w:val="auto"/>
                      <w:sz w:val="21"/>
                      <w:szCs w:val="21"/>
                      <w:highlight w:val="none"/>
                      <w:lang w:val="en-US" w:eastAsia="zh-CN"/>
                    </w:rPr>
                    <w:t>喷氨</w:t>
                  </w:r>
                  <w:r>
                    <w:rPr>
                      <w:rFonts w:hint="eastAsia"/>
                      <w:color w:val="auto"/>
                      <w:sz w:val="21"/>
                      <w:szCs w:val="21"/>
                      <w:highlight w:val="none"/>
                    </w:rPr>
                    <w:t>脱硝</w:t>
                  </w:r>
                  <w:r>
                    <w:rPr>
                      <w:rFonts w:hint="eastAsia" w:cs="Times New Roman"/>
                      <w:color w:val="auto"/>
                      <w:sz w:val="21"/>
                      <w:szCs w:val="21"/>
                      <w:highlight w:val="none"/>
                      <w:lang w:val="en-US" w:eastAsia="zh-CN"/>
                    </w:rPr>
                    <w:t>+1套</w:t>
                  </w:r>
                  <w:r>
                    <w:rPr>
                      <w:rFonts w:hint="eastAsia"/>
                      <w:color w:val="auto"/>
                      <w:sz w:val="21"/>
                      <w:szCs w:val="21"/>
                      <w:highlight w:val="none"/>
                    </w:rPr>
                    <w:t>脉冲袋式除尘器</w:t>
                  </w:r>
                  <w:r>
                    <w:rPr>
                      <w:rFonts w:hint="eastAsia" w:cs="Times New Roman"/>
                      <w:color w:val="auto"/>
                      <w:sz w:val="21"/>
                      <w:szCs w:val="21"/>
                      <w:highlight w:val="none"/>
                      <w:lang w:val="en-US" w:eastAsia="zh-CN"/>
                    </w:rPr>
                    <w:t>+25m高排气筒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烘干</w:t>
                  </w:r>
                  <w:r>
                    <w:rPr>
                      <w:rFonts w:hint="default" w:ascii="Times New Roman" w:hAnsi="Times New Roman" w:eastAsia="宋体" w:cs="Times New Roman"/>
                      <w:color w:val="auto"/>
                      <w:sz w:val="21"/>
                      <w:szCs w:val="21"/>
                      <w:highlight w:val="none"/>
                    </w:rPr>
                    <w:t>过程产生的</w:t>
                  </w:r>
                  <w:r>
                    <w:rPr>
                      <w:rFonts w:hint="eastAsia" w:cs="Times New Roman"/>
                      <w:color w:val="auto"/>
                      <w:sz w:val="21"/>
                      <w:szCs w:val="21"/>
                      <w:highlight w:val="none"/>
                      <w:lang w:val="en-US" w:eastAsia="zh-CN"/>
                    </w:rPr>
                    <w:t>污染物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 w:val="0"/>
                      <w:bCs w:val="0"/>
                      <w:color w:val="auto"/>
                      <w:sz w:val="21"/>
                      <w:szCs w:val="21"/>
                      <w:highlight w:val="none"/>
                      <w:vertAlign w:val="baseline"/>
                      <w:lang w:val="en-US" w:eastAsia="zh-CN"/>
                    </w:rPr>
                    <w:t>35467.44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脱硫效率85%，脱硝效率75%，</w:t>
                  </w:r>
                  <w:r>
                    <w:rPr>
                      <w:rFonts w:hint="default" w:ascii="Times New Roman" w:hAnsi="Times New Roman" w:eastAsia="宋体" w:cs="Times New Roman"/>
                      <w:bCs/>
                      <w:color w:val="auto"/>
                      <w:sz w:val="21"/>
                      <w:szCs w:val="21"/>
                      <w:highlight w:val="none"/>
                      <w:lang w:val="en-US" w:eastAsia="zh-CN"/>
                    </w:rPr>
                    <w:t>排气筒内径</w:t>
                  </w:r>
                  <w:r>
                    <w:rPr>
                      <w:rFonts w:hint="eastAsia" w:cs="Times New Roman"/>
                      <w:bCs/>
                      <w:color w:val="auto"/>
                      <w:sz w:val="21"/>
                      <w:szCs w:val="21"/>
                      <w:highlight w:val="none"/>
                      <w:lang w:val="en-US" w:eastAsia="zh-CN"/>
                    </w:rPr>
                    <w:t>1.0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Align w:val="center"/>
                </w:tcPr>
                <w:p w14:paraId="052267DC">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251A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85" w:type="dxa"/>
                  <w:vMerge w:val="continue"/>
                  <w:vAlign w:val="center"/>
                </w:tcPr>
                <w:p w14:paraId="7355F0BD">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389" w:type="dxa"/>
                  <w:vMerge w:val="continue"/>
                  <w:vAlign w:val="center"/>
                </w:tcPr>
                <w:p w14:paraId="51618B92">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36" w:type="dxa"/>
                  <w:gridSpan w:val="2"/>
                  <w:tcBorders>
                    <w:bottom w:val="single" w:color="auto" w:sz="4" w:space="0"/>
                  </w:tcBorders>
                  <w:vAlign w:val="center"/>
                </w:tcPr>
                <w:p w14:paraId="4A229FB0">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1#燃料仓粉尘</w:t>
                  </w:r>
                </w:p>
              </w:tc>
              <w:tc>
                <w:tcPr>
                  <w:tcW w:w="5121" w:type="dxa"/>
                  <w:tcBorders>
                    <w:bottom w:val="single" w:color="auto" w:sz="4" w:space="0"/>
                  </w:tcBorders>
                  <w:vAlign w:val="center"/>
                </w:tcPr>
                <w:p w14:paraId="3093F05D">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8"/>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1套布袋除尘器+20.5m高排气筒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喂煤仓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Align w:val="center"/>
                </w:tcPr>
                <w:p w14:paraId="1771F224">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78DD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85" w:type="dxa"/>
                  <w:vMerge w:val="continue"/>
                  <w:vAlign w:val="center"/>
                </w:tcPr>
                <w:p w14:paraId="23C8B220">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389" w:type="dxa"/>
                  <w:vMerge w:val="continue"/>
                  <w:vAlign w:val="center"/>
                </w:tcPr>
                <w:p w14:paraId="5621F5C6">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36" w:type="dxa"/>
                  <w:gridSpan w:val="2"/>
                  <w:tcBorders>
                    <w:bottom w:val="single" w:color="auto" w:sz="4" w:space="0"/>
                  </w:tcBorders>
                  <w:vAlign w:val="center"/>
                </w:tcPr>
                <w:p w14:paraId="7307AF2E">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2#燃料仓粉尘</w:t>
                  </w:r>
                </w:p>
              </w:tc>
              <w:tc>
                <w:tcPr>
                  <w:tcW w:w="5121" w:type="dxa"/>
                  <w:tcBorders>
                    <w:bottom w:val="single" w:color="auto" w:sz="4" w:space="0"/>
                  </w:tcBorders>
                  <w:vAlign w:val="center"/>
                </w:tcPr>
                <w:p w14:paraId="1C46EC43">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8"/>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1套布袋除尘器+20.5m高排气筒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喂煤仓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Align w:val="center"/>
                </w:tcPr>
                <w:p w14:paraId="6B8929DE">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2A6E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85" w:type="dxa"/>
                  <w:vMerge w:val="continue"/>
                  <w:vAlign w:val="center"/>
                </w:tcPr>
                <w:p w14:paraId="0540D900">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389" w:type="dxa"/>
                  <w:vMerge w:val="continue"/>
                  <w:vAlign w:val="center"/>
                </w:tcPr>
                <w:p w14:paraId="732E0473">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36" w:type="dxa"/>
                  <w:gridSpan w:val="2"/>
                  <w:tcBorders>
                    <w:bottom w:val="single" w:color="auto" w:sz="4" w:space="0"/>
                  </w:tcBorders>
                  <w:vAlign w:val="center"/>
                </w:tcPr>
                <w:p w14:paraId="25F7DF2B">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kern w:val="2"/>
                      <w:sz w:val="21"/>
                      <w:szCs w:val="21"/>
                      <w:highlight w:val="none"/>
                      <w:lang w:val="en-US" w:eastAsia="zh-CN" w:bidi="ar-SA"/>
                    </w:rPr>
                    <w:t>1#煤粉仓粉尘</w:t>
                  </w:r>
                </w:p>
              </w:tc>
              <w:tc>
                <w:tcPr>
                  <w:tcW w:w="5121" w:type="dxa"/>
                  <w:tcBorders>
                    <w:bottom w:val="single" w:color="auto" w:sz="4" w:space="0"/>
                  </w:tcBorders>
                  <w:vAlign w:val="center"/>
                </w:tcPr>
                <w:p w14:paraId="176E5A57">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8"/>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1套布袋除尘器+15.5m高排气筒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粉煤仓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Align w:val="center"/>
                </w:tcPr>
                <w:p w14:paraId="60C4C466">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3DCE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85" w:type="dxa"/>
                  <w:vMerge w:val="continue"/>
                  <w:vAlign w:val="center"/>
                </w:tcPr>
                <w:p w14:paraId="142E3864">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389" w:type="dxa"/>
                  <w:vMerge w:val="continue"/>
                  <w:vAlign w:val="center"/>
                </w:tcPr>
                <w:p w14:paraId="4A1D5332">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36" w:type="dxa"/>
                  <w:gridSpan w:val="2"/>
                  <w:tcBorders>
                    <w:bottom w:val="single" w:color="auto" w:sz="4" w:space="0"/>
                  </w:tcBorders>
                  <w:vAlign w:val="center"/>
                </w:tcPr>
                <w:p w14:paraId="6ED06EF5">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kern w:val="2"/>
                      <w:sz w:val="21"/>
                      <w:szCs w:val="21"/>
                      <w:highlight w:val="none"/>
                      <w:lang w:val="en-US" w:eastAsia="zh-CN" w:bidi="ar-SA"/>
                    </w:rPr>
                    <w:t>2#煤粉仓粉尘</w:t>
                  </w:r>
                </w:p>
              </w:tc>
              <w:tc>
                <w:tcPr>
                  <w:tcW w:w="5121" w:type="dxa"/>
                  <w:tcBorders>
                    <w:bottom w:val="single" w:color="auto" w:sz="4" w:space="0"/>
                  </w:tcBorders>
                  <w:vAlign w:val="center"/>
                </w:tcPr>
                <w:p w14:paraId="0FC32ADE">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8"/>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1套布袋除尘器+26.5m高排气筒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粉煤仓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4012</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35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Align w:val="center"/>
                </w:tcPr>
                <w:p w14:paraId="2CF4CD29">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01D7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385" w:type="dxa"/>
                  <w:vMerge w:val="continue"/>
                  <w:vAlign w:val="center"/>
                </w:tcPr>
                <w:p w14:paraId="3C93320E">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389" w:type="dxa"/>
                  <w:vMerge w:val="continue"/>
                  <w:vAlign w:val="center"/>
                </w:tcPr>
                <w:p w14:paraId="74986347">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36" w:type="dxa"/>
                  <w:gridSpan w:val="2"/>
                  <w:vAlign w:val="center"/>
                </w:tcPr>
                <w:p w14:paraId="3D54D506">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kern w:val="2"/>
                      <w:sz w:val="21"/>
                      <w:szCs w:val="21"/>
                      <w:highlight w:val="none"/>
                      <w:lang w:val="en-US" w:eastAsia="zh-CN" w:bidi="ar-SA"/>
                    </w:rPr>
                    <w:t>3#煤粉仓粉尘</w:t>
                  </w:r>
                </w:p>
              </w:tc>
              <w:tc>
                <w:tcPr>
                  <w:tcW w:w="5121" w:type="dxa"/>
                  <w:vAlign w:val="center"/>
                </w:tcPr>
                <w:p w14:paraId="25C4951D">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8"/>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1套布袋除尘器+26.5m高排气筒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粉煤仓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4012</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35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Align w:val="center"/>
                </w:tcPr>
                <w:p w14:paraId="0308A3B1">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415E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85" w:type="dxa"/>
                  <w:vMerge w:val="continue"/>
                  <w:vAlign w:val="center"/>
                </w:tcPr>
                <w:p w14:paraId="3C149D4D">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389" w:type="dxa"/>
                  <w:vMerge w:val="continue"/>
                  <w:vAlign w:val="center"/>
                </w:tcPr>
                <w:p w14:paraId="0CE158FA">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476" w:type="dxa"/>
                  <w:vMerge w:val="restart"/>
                  <w:vAlign w:val="center"/>
                </w:tcPr>
                <w:p w14:paraId="748AAA1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成品</w:t>
                  </w:r>
                  <w:r>
                    <w:rPr>
                      <w:rFonts w:hint="eastAsia" w:ascii="Times New Roman" w:hAnsi="Times New Roman" w:eastAsia="宋体" w:cs="Times New Roman"/>
                      <w:color w:val="auto"/>
                      <w:kern w:val="2"/>
                      <w:sz w:val="21"/>
                      <w:szCs w:val="21"/>
                      <w:highlight w:val="none"/>
                      <w:lang w:val="en-US" w:eastAsia="zh-CN" w:bidi="ar-SA"/>
                    </w:rPr>
                    <w:t>转载</w:t>
                  </w:r>
                  <w:r>
                    <w:rPr>
                      <w:rFonts w:hint="eastAsia" w:cs="Times New Roman"/>
                      <w:color w:val="auto"/>
                      <w:kern w:val="2"/>
                      <w:sz w:val="21"/>
                      <w:szCs w:val="21"/>
                      <w:highlight w:val="none"/>
                      <w:lang w:val="en-US" w:eastAsia="zh-CN" w:bidi="ar-SA"/>
                    </w:rPr>
                    <w:t>点</w:t>
                  </w:r>
                  <w:r>
                    <w:rPr>
                      <w:rFonts w:hint="eastAsia" w:ascii="Times New Roman" w:hAnsi="Times New Roman" w:eastAsia="宋体" w:cs="Times New Roman"/>
                      <w:color w:val="auto"/>
                      <w:kern w:val="2"/>
                      <w:sz w:val="21"/>
                      <w:szCs w:val="21"/>
                      <w:highlight w:val="none"/>
                      <w:lang w:val="en-US" w:eastAsia="zh-CN" w:bidi="ar-SA"/>
                    </w:rPr>
                    <w:t>落料粉尘</w:t>
                  </w:r>
                </w:p>
              </w:tc>
              <w:tc>
                <w:tcPr>
                  <w:tcW w:w="660" w:type="dxa"/>
                  <w:tcBorders>
                    <w:bottom w:val="single" w:color="auto" w:sz="4" w:space="0"/>
                  </w:tcBorders>
                  <w:vAlign w:val="center"/>
                </w:tcPr>
                <w:p w14:paraId="17F463DC">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olor w:val="auto"/>
                      <w:sz w:val="21"/>
                      <w:szCs w:val="21"/>
                      <w:highlight w:val="none"/>
                    </w:rPr>
                    <w:t>出烘干机皮带转运</w:t>
                  </w:r>
                </w:p>
              </w:tc>
              <w:tc>
                <w:tcPr>
                  <w:tcW w:w="5121" w:type="dxa"/>
                  <w:tcBorders>
                    <w:bottom w:val="single" w:color="auto" w:sz="4" w:space="0"/>
                  </w:tcBorders>
                  <w:vAlign w:val="center"/>
                </w:tcPr>
                <w:p w14:paraId="702EB9C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1套集气罩+收尘风管+20m高排气筒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），用于</w:t>
                  </w:r>
                  <w:r>
                    <w:rPr>
                      <w:rFonts w:hint="eastAsia" w:cs="Times New Roman"/>
                      <w:color w:val="auto"/>
                      <w:sz w:val="21"/>
                      <w:szCs w:val="21"/>
                      <w:highlight w:val="none"/>
                      <w:lang w:eastAsia="zh-CN"/>
                    </w:rPr>
                    <w:t>处理</w:t>
                  </w:r>
                  <w:r>
                    <w:rPr>
                      <w:rFonts w:hint="eastAsia"/>
                      <w:color w:val="auto"/>
                      <w:sz w:val="21"/>
                      <w:szCs w:val="21"/>
                      <w:highlight w:val="none"/>
                    </w:rPr>
                    <w:t>烘干机皮带转运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Align w:val="center"/>
                </w:tcPr>
                <w:p w14:paraId="7856B4EF">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55F2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85" w:type="dxa"/>
                  <w:vMerge w:val="continue"/>
                  <w:vAlign w:val="center"/>
                </w:tcPr>
                <w:p w14:paraId="2A5170DC">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389" w:type="dxa"/>
                  <w:vMerge w:val="continue"/>
                  <w:vAlign w:val="center"/>
                </w:tcPr>
                <w:p w14:paraId="24434844">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476" w:type="dxa"/>
                  <w:vMerge w:val="continue"/>
                  <w:vAlign w:val="center"/>
                </w:tcPr>
                <w:p w14:paraId="4D96B2A4">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p>
              </w:tc>
              <w:tc>
                <w:tcPr>
                  <w:tcW w:w="660" w:type="dxa"/>
                  <w:tcBorders>
                    <w:bottom w:val="single" w:color="auto" w:sz="4" w:space="0"/>
                  </w:tcBorders>
                  <w:vAlign w:val="center"/>
                </w:tcPr>
                <w:p w14:paraId="4B60FBE1">
                  <w:pPr>
                    <w:keepNext w:val="0"/>
                    <w:keepLines w:val="0"/>
                    <w:widowControl w:val="0"/>
                    <w:suppressLineNumbers w:val="0"/>
                    <w:spacing w:before="0" w:beforeAutospacing="0" w:after="0" w:afterAutospacing="0"/>
                    <w:ind w:left="0" w:leftChars="0" w:right="0" w:rightChars="0"/>
                    <w:jc w:val="center"/>
                    <w:rPr>
                      <w:rFonts w:hint="eastAsia"/>
                      <w:color w:val="auto"/>
                      <w:sz w:val="21"/>
                      <w:szCs w:val="21"/>
                      <w:highlight w:val="none"/>
                    </w:rPr>
                  </w:pPr>
                  <w:r>
                    <w:rPr>
                      <w:rFonts w:hint="eastAsia" w:cs="Times New Roman"/>
                      <w:color w:val="auto"/>
                      <w:sz w:val="21"/>
                      <w:szCs w:val="21"/>
                      <w:highlight w:val="none"/>
                      <w:lang w:eastAsia="zh-CN"/>
                    </w:rPr>
                    <w:t>进成品堆棚转运</w:t>
                  </w:r>
                </w:p>
              </w:tc>
              <w:tc>
                <w:tcPr>
                  <w:tcW w:w="5121" w:type="dxa"/>
                  <w:tcBorders>
                    <w:bottom w:val="single" w:color="auto" w:sz="4" w:space="0"/>
                  </w:tcBorders>
                  <w:vAlign w:val="center"/>
                </w:tcPr>
                <w:p w14:paraId="24B1C18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1套集气罩+收尘风管+26.5m高排气筒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Align w:val="center"/>
                </w:tcPr>
                <w:p w14:paraId="75984535">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00E0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85" w:type="dxa"/>
                  <w:vMerge w:val="continue"/>
                  <w:vAlign w:val="center"/>
                </w:tcPr>
                <w:p w14:paraId="3DDB2A4E">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389" w:type="dxa"/>
                  <w:vMerge w:val="continue"/>
                  <w:vAlign w:val="center"/>
                </w:tcPr>
                <w:p w14:paraId="60E75C71">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476" w:type="dxa"/>
                  <w:vMerge w:val="continue"/>
                  <w:vAlign w:val="center"/>
                </w:tcPr>
                <w:p w14:paraId="41AF733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660" w:type="dxa"/>
                  <w:tcBorders>
                    <w:bottom w:val="single" w:color="auto" w:sz="4" w:space="0"/>
                  </w:tcBorders>
                  <w:vAlign w:val="center"/>
                </w:tcPr>
                <w:p w14:paraId="1CC5AC41">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eastAsia="zh-CN"/>
                    </w:rPr>
                    <w:t>出成品堆棚皮带转运</w:t>
                  </w:r>
                </w:p>
              </w:tc>
              <w:tc>
                <w:tcPr>
                  <w:tcW w:w="5121" w:type="dxa"/>
                  <w:tcBorders>
                    <w:bottom w:val="single" w:color="auto" w:sz="4" w:space="0"/>
                  </w:tcBorders>
                  <w:vAlign w:val="center"/>
                </w:tcPr>
                <w:p w14:paraId="060ECD6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共设置“</w:t>
                  </w:r>
                  <w:r>
                    <w:rPr>
                      <w:rFonts w:hint="eastAsia" w:cs="Times New Roman"/>
                      <w:color w:val="auto"/>
                      <w:sz w:val="21"/>
                      <w:szCs w:val="21"/>
                      <w:highlight w:val="none"/>
                      <w:lang w:val="en-US" w:eastAsia="zh-CN"/>
                    </w:rPr>
                    <w:t>1套集气罩+收尘风管+布袋除尘器+32.5m高排气筒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，用于处理</w:t>
                  </w:r>
                  <w:r>
                    <w:rPr>
                      <w:rFonts w:hint="eastAsia" w:ascii="Times New Roman" w:hAnsi="Times New Roman" w:eastAsia="宋体" w:cs="Times New Roman"/>
                      <w:bCs/>
                      <w:color w:val="auto"/>
                      <w:sz w:val="21"/>
                      <w:szCs w:val="21"/>
                      <w:highlight w:val="none"/>
                      <w:lang w:eastAsia="zh-CN"/>
                    </w:rPr>
                    <w:t>出成品堆棚皮带转运</w:t>
                  </w:r>
                  <w:r>
                    <w:rPr>
                      <w:rFonts w:hint="default" w:ascii="Times New Roman" w:hAnsi="Times New Roman" w:eastAsia="宋体" w:cs="Times New Roman"/>
                      <w:bCs/>
                      <w:color w:val="auto"/>
                      <w:sz w:val="21"/>
                      <w:szCs w:val="21"/>
                      <w:highlight w:val="none"/>
                    </w:rPr>
                    <w:t>过程产生的</w:t>
                  </w:r>
                  <w:r>
                    <w:rPr>
                      <w:rFonts w:hint="default" w:ascii="Times New Roman" w:hAnsi="Times New Roman" w:eastAsia="宋体" w:cs="Times New Roman"/>
                      <w:bCs/>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Align w:val="center"/>
                </w:tcPr>
                <w:p w14:paraId="0AB015DE">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707D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dxa"/>
                  <w:vMerge w:val="continue"/>
                  <w:vAlign w:val="center"/>
                </w:tcPr>
                <w:p w14:paraId="4217DB9D">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389" w:type="dxa"/>
                  <w:vMerge w:val="continue"/>
                  <w:vAlign w:val="center"/>
                </w:tcPr>
                <w:p w14:paraId="25BAF6B7">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476" w:type="dxa"/>
                  <w:vMerge w:val="continue"/>
                  <w:tcBorders>
                    <w:bottom w:val="single" w:color="auto" w:sz="4" w:space="0"/>
                  </w:tcBorders>
                  <w:vAlign w:val="center"/>
                </w:tcPr>
                <w:p w14:paraId="13326D9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660" w:type="dxa"/>
                  <w:tcBorders>
                    <w:bottom w:val="single" w:color="auto" w:sz="4" w:space="0"/>
                  </w:tcBorders>
                  <w:vAlign w:val="center"/>
                </w:tcPr>
                <w:p w14:paraId="447987DC">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出成品装车车间皮带转运</w:t>
                  </w:r>
                </w:p>
              </w:tc>
              <w:tc>
                <w:tcPr>
                  <w:tcW w:w="5121" w:type="dxa"/>
                  <w:tcBorders>
                    <w:bottom w:val="single" w:color="auto" w:sz="4" w:space="0"/>
                  </w:tcBorders>
                  <w:vAlign w:val="center"/>
                </w:tcPr>
                <w:p w14:paraId="68B0FF2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共设置“</w:t>
                  </w:r>
                  <w:r>
                    <w:rPr>
                      <w:rFonts w:hint="eastAsia" w:cs="Times New Roman"/>
                      <w:color w:val="auto"/>
                      <w:sz w:val="21"/>
                      <w:szCs w:val="21"/>
                      <w:highlight w:val="none"/>
                      <w:lang w:val="en-US" w:eastAsia="zh-CN"/>
                    </w:rPr>
                    <w:t>2套集气罩+收尘风管+布袋除尘器（设两个转运点）+35m高排气筒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，用于处理</w:t>
                  </w:r>
                  <w:r>
                    <w:rPr>
                      <w:rFonts w:hint="eastAsia" w:ascii="Times New Roman" w:hAnsi="Times New Roman" w:eastAsia="宋体" w:cs="Times New Roman"/>
                      <w:color w:val="auto"/>
                      <w:sz w:val="21"/>
                      <w:szCs w:val="21"/>
                      <w:highlight w:val="none"/>
                      <w:lang w:val="en-US" w:eastAsia="zh-CN"/>
                    </w:rPr>
                    <w:t>出成品装车车间皮带转运</w:t>
                  </w:r>
                  <w:r>
                    <w:rPr>
                      <w:rFonts w:hint="default" w:ascii="Times New Roman" w:hAnsi="Times New Roman" w:eastAsia="宋体" w:cs="Times New Roman"/>
                      <w:color w:val="auto"/>
                      <w:sz w:val="21"/>
                      <w:szCs w:val="21"/>
                      <w:highlight w:val="none"/>
                    </w:rPr>
                    <w:t>过程产生的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单个</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Align w:val="center"/>
                </w:tcPr>
                <w:p w14:paraId="24A7CB06">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4793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5" w:type="dxa"/>
                  <w:vMerge w:val="continue"/>
                  <w:vAlign w:val="center"/>
                </w:tcPr>
                <w:p w14:paraId="204F2520">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389" w:type="dxa"/>
                  <w:vMerge w:val="continue"/>
                  <w:vAlign w:val="center"/>
                </w:tcPr>
                <w:p w14:paraId="112CD058">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476" w:type="dxa"/>
                  <w:vMerge w:val="restart"/>
                  <w:vAlign w:val="center"/>
                </w:tcPr>
                <w:p w14:paraId="15951AB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成品散装粉尘</w:t>
                  </w:r>
                </w:p>
              </w:tc>
              <w:tc>
                <w:tcPr>
                  <w:tcW w:w="660" w:type="dxa"/>
                  <w:tcBorders>
                    <w:bottom w:val="single" w:color="auto" w:sz="4" w:space="0"/>
                  </w:tcBorders>
                  <w:vAlign w:val="center"/>
                </w:tcPr>
                <w:p w14:paraId="1A6E6076">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r>
                    <w:rPr>
                      <w:rFonts w:hint="eastAsia" w:cs="Times New Roman"/>
                      <w:color w:val="auto"/>
                      <w:sz w:val="21"/>
                      <w:szCs w:val="21"/>
                      <w:highlight w:val="none"/>
                      <w:lang w:val="en-US" w:eastAsia="zh-CN"/>
                    </w:rPr>
                    <w:t>1#块煤散装</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DA015</w:t>
                  </w:r>
                  <w:r>
                    <w:rPr>
                      <w:rFonts w:hint="eastAsia" w:cs="Times New Roman"/>
                      <w:color w:val="auto"/>
                      <w:sz w:val="21"/>
                      <w:szCs w:val="21"/>
                      <w:highlight w:val="none"/>
                      <w:lang w:eastAsia="zh-CN"/>
                    </w:rPr>
                    <w:t>）</w:t>
                  </w:r>
                </w:p>
              </w:tc>
              <w:tc>
                <w:tcPr>
                  <w:tcW w:w="5121" w:type="dxa"/>
                  <w:tcBorders>
                    <w:bottom w:val="single" w:color="auto" w:sz="4" w:space="0"/>
                  </w:tcBorders>
                  <w:vAlign w:val="center"/>
                </w:tcPr>
                <w:p w14:paraId="298DA95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6171</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Align w:val="center"/>
                </w:tcPr>
                <w:p w14:paraId="1219E728">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143D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5" w:type="dxa"/>
                  <w:vMerge w:val="continue"/>
                  <w:vAlign w:val="center"/>
                </w:tcPr>
                <w:p w14:paraId="389CCF68">
                  <w:pPr>
                    <w:adjustRightInd w:val="0"/>
                    <w:snapToGrid w:val="0"/>
                    <w:spacing w:line="0" w:lineRule="atLeast"/>
                    <w:jc w:val="center"/>
                    <w:rPr>
                      <w:color w:val="auto"/>
                      <w:highlight w:val="none"/>
                    </w:rPr>
                  </w:pPr>
                </w:p>
              </w:tc>
              <w:tc>
                <w:tcPr>
                  <w:tcW w:w="389" w:type="dxa"/>
                  <w:vMerge w:val="continue"/>
                  <w:vAlign w:val="center"/>
                </w:tcPr>
                <w:p w14:paraId="6573ED60">
                  <w:pPr>
                    <w:adjustRightInd w:val="0"/>
                    <w:snapToGrid w:val="0"/>
                    <w:spacing w:line="0" w:lineRule="atLeast"/>
                    <w:jc w:val="center"/>
                    <w:rPr>
                      <w:color w:val="auto"/>
                      <w:highlight w:val="none"/>
                    </w:rPr>
                  </w:pPr>
                </w:p>
              </w:tc>
              <w:tc>
                <w:tcPr>
                  <w:tcW w:w="476" w:type="dxa"/>
                  <w:vMerge w:val="continue"/>
                  <w:vAlign w:val="center"/>
                </w:tcPr>
                <w:p w14:paraId="2F522EC7">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660" w:type="dxa"/>
                  <w:tcBorders>
                    <w:bottom w:val="single" w:color="auto" w:sz="4" w:space="0"/>
                  </w:tcBorders>
                  <w:vAlign w:val="center"/>
                </w:tcPr>
                <w:p w14:paraId="1DAD4F0A">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r>
                    <w:rPr>
                      <w:rFonts w:hint="eastAsia" w:cs="Times New Roman"/>
                      <w:color w:val="auto"/>
                      <w:sz w:val="21"/>
                      <w:szCs w:val="21"/>
                      <w:highlight w:val="none"/>
                      <w:lang w:val="en-US" w:eastAsia="zh-CN"/>
                    </w:rPr>
                    <w:t>2#块煤散装</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DA016</w:t>
                  </w:r>
                  <w:r>
                    <w:rPr>
                      <w:rFonts w:hint="eastAsia" w:cs="Times New Roman"/>
                      <w:color w:val="auto"/>
                      <w:sz w:val="21"/>
                      <w:szCs w:val="21"/>
                      <w:highlight w:val="none"/>
                      <w:lang w:eastAsia="zh-CN"/>
                    </w:rPr>
                    <w:t>）</w:t>
                  </w:r>
                </w:p>
              </w:tc>
              <w:tc>
                <w:tcPr>
                  <w:tcW w:w="5121" w:type="dxa"/>
                  <w:tcBorders>
                    <w:bottom w:val="single" w:color="auto" w:sz="4" w:space="0"/>
                  </w:tcBorders>
                  <w:vAlign w:val="center"/>
                </w:tcPr>
                <w:p w14:paraId="40A1B509">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16</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6171</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Align w:val="center"/>
                </w:tcPr>
                <w:p w14:paraId="1CED6C75">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1159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5" w:type="dxa"/>
                  <w:vMerge w:val="continue"/>
                  <w:vAlign w:val="center"/>
                </w:tcPr>
                <w:p w14:paraId="639C9398">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p>
              </w:tc>
              <w:tc>
                <w:tcPr>
                  <w:tcW w:w="389" w:type="dxa"/>
                  <w:vMerge w:val="continue"/>
                  <w:vAlign w:val="center"/>
                </w:tcPr>
                <w:p w14:paraId="0A0D4446">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p>
              </w:tc>
              <w:tc>
                <w:tcPr>
                  <w:tcW w:w="476" w:type="dxa"/>
                  <w:vMerge w:val="continue"/>
                  <w:vAlign w:val="center"/>
                </w:tcPr>
                <w:p w14:paraId="4CF7558E">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p>
              </w:tc>
              <w:tc>
                <w:tcPr>
                  <w:tcW w:w="660" w:type="dxa"/>
                  <w:tcBorders>
                    <w:bottom w:val="single" w:color="auto" w:sz="4" w:space="0"/>
                  </w:tcBorders>
                  <w:vAlign w:val="center"/>
                </w:tcPr>
                <w:p w14:paraId="226619A9">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r>
                    <w:rPr>
                      <w:rFonts w:hint="eastAsia" w:cs="Times New Roman"/>
                      <w:color w:val="auto"/>
                      <w:sz w:val="21"/>
                      <w:szCs w:val="21"/>
                      <w:highlight w:val="none"/>
                      <w:lang w:val="en-US" w:eastAsia="zh-CN"/>
                    </w:rPr>
                    <w:t>1#煤粉散装</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DA017</w:t>
                  </w:r>
                  <w:r>
                    <w:rPr>
                      <w:rFonts w:hint="eastAsia" w:cs="Times New Roman"/>
                      <w:color w:val="auto"/>
                      <w:sz w:val="21"/>
                      <w:szCs w:val="21"/>
                      <w:highlight w:val="none"/>
                      <w:lang w:eastAsia="zh-CN"/>
                    </w:rPr>
                    <w:t>）</w:t>
                  </w:r>
                </w:p>
              </w:tc>
              <w:tc>
                <w:tcPr>
                  <w:tcW w:w="5121" w:type="dxa"/>
                  <w:tcBorders>
                    <w:bottom w:val="single" w:color="auto" w:sz="4" w:space="0"/>
                  </w:tcBorders>
                  <w:vAlign w:val="center"/>
                </w:tcPr>
                <w:p w14:paraId="69B35874">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3284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30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Align w:val="center"/>
                </w:tcPr>
                <w:p w14:paraId="601360DB">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25D0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5" w:type="dxa"/>
                  <w:vMerge w:val="continue"/>
                  <w:vAlign w:val="center"/>
                </w:tcPr>
                <w:p w14:paraId="0977841B">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p>
              </w:tc>
              <w:tc>
                <w:tcPr>
                  <w:tcW w:w="389" w:type="dxa"/>
                  <w:vMerge w:val="continue"/>
                  <w:vAlign w:val="center"/>
                </w:tcPr>
                <w:p w14:paraId="336FBD94">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p>
              </w:tc>
              <w:tc>
                <w:tcPr>
                  <w:tcW w:w="476" w:type="dxa"/>
                  <w:vMerge w:val="continue"/>
                  <w:tcBorders>
                    <w:bottom w:val="single" w:color="auto" w:sz="4" w:space="0"/>
                  </w:tcBorders>
                  <w:vAlign w:val="center"/>
                </w:tcPr>
                <w:p w14:paraId="1860877B">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p>
              </w:tc>
              <w:tc>
                <w:tcPr>
                  <w:tcW w:w="660" w:type="dxa"/>
                  <w:tcBorders>
                    <w:bottom w:val="single" w:color="auto" w:sz="4" w:space="0"/>
                  </w:tcBorders>
                  <w:vAlign w:val="center"/>
                </w:tcPr>
                <w:p w14:paraId="750B3A5A">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r>
                    <w:rPr>
                      <w:rFonts w:hint="eastAsia" w:cs="Times New Roman"/>
                      <w:color w:val="auto"/>
                      <w:sz w:val="21"/>
                      <w:szCs w:val="21"/>
                      <w:highlight w:val="none"/>
                      <w:lang w:val="en-US" w:eastAsia="zh-CN"/>
                    </w:rPr>
                    <w:t>2#煤粉散装</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DA018</w:t>
                  </w:r>
                  <w:r>
                    <w:rPr>
                      <w:rFonts w:hint="eastAsia" w:cs="Times New Roman"/>
                      <w:color w:val="auto"/>
                      <w:sz w:val="21"/>
                      <w:szCs w:val="21"/>
                      <w:highlight w:val="none"/>
                      <w:lang w:eastAsia="zh-CN"/>
                    </w:rPr>
                    <w:t>）</w:t>
                  </w:r>
                </w:p>
              </w:tc>
              <w:tc>
                <w:tcPr>
                  <w:tcW w:w="5121" w:type="dxa"/>
                  <w:tcBorders>
                    <w:bottom w:val="single" w:color="auto" w:sz="4" w:space="0"/>
                  </w:tcBorders>
                  <w:vAlign w:val="center"/>
                </w:tcPr>
                <w:p w14:paraId="49E1100A">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3284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30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Align w:val="center"/>
                </w:tcPr>
                <w:p w14:paraId="0905D5C0">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1A18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85" w:type="dxa"/>
                  <w:vMerge w:val="continue"/>
                  <w:vAlign w:val="center"/>
                </w:tcPr>
                <w:p w14:paraId="0F002156">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89" w:type="dxa"/>
                  <w:vMerge w:val="continue"/>
                  <w:vAlign w:val="center"/>
                </w:tcPr>
                <w:p w14:paraId="5C90FFA5">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36" w:type="dxa"/>
                  <w:gridSpan w:val="2"/>
                  <w:vAlign w:val="center"/>
                </w:tcPr>
                <w:p w14:paraId="4426C9AF">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eastAsia="zh-CN"/>
                    </w:rPr>
                    <w:t>成品堆场扬尘</w:t>
                  </w:r>
                </w:p>
              </w:tc>
              <w:tc>
                <w:tcPr>
                  <w:tcW w:w="5121" w:type="dxa"/>
                  <w:vAlign w:val="center"/>
                </w:tcPr>
                <w:p w14:paraId="78006184">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spacing w:val="-8"/>
                      <w:sz w:val="21"/>
                      <w:szCs w:val="21"/>
                      <w:highlight w:val="none"/>
                      <w:lang w:eastAsia="zh-CN"/>
                    </w:rPr>
                    <w:t>成品煤储存区为全封闭厂房，</w:t>
                  </w:r>
                  <w:r>
                    <w:rPr>
                      <w:rFonts w:hint="default" w:ascii="Times New Roman" w:hAnsi="Times New Roman" w:eastAsia="宋体" w:cs="Times New Roman"/>
                      <w:color w:val="auto"/>
                      <w:spacing w:val="-3"/>
                      <w:sz w:val="21"/>
                      <w:szCs w:val="21"/>
                      <w:highlight w:val="none"/>
                    </w:rPr>
                    <w:t>其产生</w:t>
                  </w:r>
                  <w:r>
                    <w:rPr>
                      <w:rFonts w:hint="default" w:ascii="Times New Roman" w:hAnsi="Times New Roman" w:eastAsia="宋体" w:cs="Times New Roman"/>
                      <w:color w:val="auto"/>
                      <w:spacing w:val="-5"/>
                      <w:sz w:val="21"/>
                      <w:szCs w:val="21"/>
                      <w:highlight w:val="none"/>
                    </w:rPr>
                    <w:t>的无组织扬尘</w:t>
                  </w:r>
                  <w:r>
                    <w:rPr>
                      <w:rFonts w:hint="eastAsia" w:cs="Times New Roman"/>
                      <w:color w:val="auto"/>
                      <w:spacing w:val="-5"/>
                      <w:sz w:val="21"/>
                      <w:szCs w:val="21"/>
                      <w:highlight w:val="none"/>
                      <w:lang w:eastAsia="zh-CN"/>
                    </w:rPr>
                    <w:t>均在堆棚内</w:t>
                  </w:r>
                  <w:r>
                    <w:rPr>
                      <w:rFonts w:hint="default" w:ascii="Times New Roman" w:hAnsi="Times New Roman" w:eastAsia="宋体" w:cs="Times New Roman"/>
                      <w:color w:val="auto"/>
                      <w:spacing w:val="-11"/>
                      <w:sz w:val="21"/>
                      <w:szCs w:val="21"/>
                      <w:highlight w:val="none"/>
                    </w:rPr>
                    <w:t>，</w:t>
                  </w:r>
                  <w:r>
                    <w:rPr>
                      <w:rFonts w:hint="eastAsia" w:cs="Times New Roman"/>
                      <w:color w:val="auto"/>
                      <w:spacing w:val="-11"/>
                      <w:sz w:val="21"/>
                      <w:szCs w:val="21"/>
                      <w:highlight w:val="none"/>
                      <w:lang w:eastAsia="zh-CN"/>
                    </w:rPr>
                    <w:t>仅有少量扬尘在开门时溢出。</w:t>
                  </w:r>
                </w:p>
              </w:tc>
              <w:tc>
                <w:tcPr>
                  <w:tcW w:w="1138" w:type="dxa"/>
                  <w:vAlign w:val="center"/>
                </w:tcPr>
                <w:p w14:paraId="30E02AE2">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0D38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85" w:type="dxa"/>
                  <w:vMerge w:val="continue"/>
                  <w:vAlign w:val="center"/>
                </w:tcPr>
                <w:p w14:paraId="01452645">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89" w:type="dxa"/>
                  <w:vMerge w:val="continue"/>
                  <w:vAlign w:val="center"/>
                </w:tcPr>
                <w:p w14:paraId="1739A0F8">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36" w:type="dxa"/>
                  <w:gridSpan w:val="2"/>
                  <w:vAlign w:val="center"/>
                </w:tcPr>
                <w:p w14:paraId="1CA7DF3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氨水储罐（氨气）</w:t>
                  </w:r>
                </w:p>
              </w:tc>
              <w:tc>
                <w:tcPr>
                  <w:tcW w:w="5121" w:type="dxa"/>
                  <w:vAlign w:val="center"/>
                </w:tcPr>
                <w:p w14:paraId="70B49B8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cs="Times New Roman"/>
                      <w:color w:val="auto"/>
                      <w:kern w:val="2"/>
                      <w:sz w:val="21"/>
                      <w:szCs w:val="21"/>
                      <w:highlight w:val="none"/>
                      <w:lang w:val="en-US" w:eastAsia="zh-CN" w:bidi="ar-SA"/>
                    </w:rPr>
                    <w:t>设置1个容积为20m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vertAlign w:val="baseline"/>
                      <w:lang w:val="en-US" w:eastAsia="zh-CN" w:bidi="ar-SA"/>
                    </w:rPr>
                    <w:t>的清水罐进行吸收。</w:t>
                  </w:r>
                </w:p>
              </w:tc>
              <w:tc>
                <w:tcPr>
                  <w:tcW w:w="1138" w:type="dxa"/>
                  <w:vAlign w:val="center"/>
                </w:tcPr>
                <w:p w14:paraId="1C4A813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1667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85" w:type="dxa"/>
                  <w:vMerge w:val="continue"/>
                  <w:vAlign w:val="center"/>
                </w:tcPr>
                <w:p w14:paraId="35EFC25B">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89" w:type="dxa"/>
                  <w:vMerge w:val="continue"/>
                  <w:vAlign w:val="center"/>
                </w:tcPr>
                <w:p w14:paraId="1AC65E43">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36" w:type="dxa"/>
                  <w:gridSpan w:val="2"/>
                  <w:vAlign w:val="center"/>
                </w:tcPr>
                <w:p w14:paraId="410365AE">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石灰石粉储罐粉尘</w:t>
                  </w:r>
                </w:p>
              </w:tc>
              <w:tc>
                <w:tcPr>
                  <w:tcW w:w="5121" w:type="dxa"/>
                  <w:vAlign w:val="center"/>
                </w:tcPr>
                <w:p w14:paraId="279A730E">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1套布袋除尘器+15m高排气筒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，用于处理</w:t>
                  </w:r>
                  <w:r>
                    <w:rPr>
                      <w:rFonts w:hint="eastAsia" w:ascii="Times New Roman" w:hAnsi="Times New Roman" w:eastAsia="宋体" w:cs="Times New Roman"/>
                      <w:bCs/>
                      <w:color w:val="auto"/>
                      <w:sz w:val="21"/>
                      <w:szCs w:val="21"/>
                      <w:highlight w:val="none"/>
                      <w:lang w:eastAsia="zh-CN"/>
                    </w:rPr>
                    <w:t>石灰石粉储罐</w:t>
                  </w:r>
                  <w:r>
                    <w:rPr>
                      <w:rFonts w:hint="default" w:ascii="Times New Roman" w:hAnsi="Times New Roman" w:eastAsia="宋体" w:cs="Times New Roman"/>
                      <w:bCs/>
                      <w:color w:val="auto"/>
                      <w:sz w:val="21"/>
                      <w:szCs w:val="21"/>
                      <w:highlight w:val="none"/>
                    </w:rPr>
                    <w:t>产生的</w:t>
                  </w:r>
                  <w:r>
                    <w:rPr>
                      <w:rFonts w:hint="default" w:ascii="Times New Roman" w:hAnsi="Times New Roman" w:eastAsia="宋体" w:cs="Times New Roman"/>
                      <w:bCs/>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138" w:type="dxa"/>
                  <w:vAlign w:val="center"/>
                </w:tcPr>
                <w:p w14:paraId="33B77215">
                  <w:pPr>
                    <w:keepNext w:val="0"/>
                    <w:keepLines w:val="0"/>
                    <w:pageBreakBefore w:val="0"/>
                    <w:kinsoku/>
                    <w:wordWrap/>
                    <w:overflowPunct/>
                    <w:topLinePunct w:val="0"/>
                    <w:autoSpaceDE/>
                    <w:autoSpaceDN/>
                    <w:bidi w:val="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0957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atLeast"/>
                <w:jc w:val="center"/>
              </w:trPr>
              <w:tc>
                <w:tcPr>
                  <w:tcW w:w="385" w:type="dxa"/>
                  <w:vMerge w:val="continue"/>
                  <w:vAlign w:val="center"/>
                </w:tcPr>
                <w:p w14:paraId="7838FBBE">
                  <w:pPr>
                    <w:keepNext w:val="0"/>
                    <w:keepLines w:val="0"/>
                    <w:pageBreakBefore w:val="0"/>
                    <w:kinsoku/>
                    <w:wordWrap/>
                    <w:overflowPunct/>
                    <w:topLinePunct w:val="0"/>
                    <w:autoSpaceDE/>
                    <w:autoSpaceDN/>
                    <w:bidi w:val="0"/>
                    <w:jc w:val="center"/>
                    <w:textAlignment w:val="auto"/>
                    <w:rPr>
                      <w:color w:val="auto"/>
                      <w:highlight w:val="none"/>
                    </w:rPr>
                  </w:pPr>
                </w:p>
              </w:tc>
              <w:tc>
                <w:tcPr>
                  <w:tcW w:w="389" w:type="dxa"/>
                  <w:vMerge w:val="continue"/>
                  <w:vAlign w:val="center"/>
                </w:tcPr>
                <w:p w14:paraId="28102C41">
                  <w:pPr>
                    <w:keepNext w:val="0"/>
                    <w:keepLines w:val="0"/>
                    <w:pageBreakBefore w:val="0"/>
                    <w:kinsoku/>
                    <w:wordWrap/>
                    <w:overflowPunct/>
                    <w:topLinePunct w:val="0"/>
                    <w:autoSpaceDE/>
                    <w:autoSpaceDN/>
                    <w:bidi w:val="0"/>
                    <w:jc w:val="center"/>
                    <w:textAlignment w:val="auto"/>
                    <w:rPr>
                      <w:color w:val="auto"/>
                      <w:highlight w:val="none"/>
                    </w:rPr>
                  </w:pPr>
                </w:p>
              </w:tc>
              <w:tc>
                <w:tcPr>
                  <w:tcW w:w="1136" w:type="dxa"/>
                  <w:gridSpan w:val="2"/>
                  <w:vAlign w:val="center"/>
                </w:tcPr>
                <w:p w14:paraId="409BB79C">
                  <w:pPr>
                    <w:pStyle w:val="25"/>
                    <w:spacing w:after="0"/>
                    <w:ind w:firstLine="0" w:firstLine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化粪池、污水处理站</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臭气浓度</w:t>
                  </w:r>
                  <w:r>
                    <w:rPr>
                      <w:rFonts w:hint="eastAsia" w:ascii="Times New Roman" w:hAnsi="Times New Roman" w:eastAsia="宋体" w:cs="Times New Roman"/>
                      <w:color w:val="auto"/>
                      <w:sz w:val="21"/>
                      <w:szCs w:val="21"/>
                      <w:highlight w:val="none"/>
                      <w:lang w:val="en-US" w:eastAsia="zh-CN"/>
                    </w:rPr>
                    <w:t>）</w:t>
                  </w:r>
                </w:p>
              </w:tc>
              <w:tc>
                <w:tcPr>
                  <w:tcW w:w="5121" w:type="dxa"/>
                  <w:vAlign w:val="center"/>
                </w:tcPr>
                <w:p w14:paraId="0B0B8887">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加强通风及管理。</w:t>
                  </w:r>
                </w:p>
              </w:tc>
              <w:tc>
                <w:tcPr>
                  <w:tcW w:w="1138" w:type="dxa"/>
                  <w:vAlign w:val="center"/>
                </w:tcPr>
                <w:p w14:paraId="63C30AFC">
                  <w:pPr>
                    <w:keepNext w:val="0"/>
                    <w:keepLines w:val="0"/>
                    <w:pageBreakBefore w:val="0"/>
                    <w:kinsoku/>
                    <w:wordWrap/>
                    <w:overflowPunct/>
                    <w:topLinePunct w:val="0"/>
                    <w:autoSpaceDE/>
                    <w:autoSpaceDN/>
                    <w:bidi w:val="0"/>
                    <w:jc w:val="center"/>
                    <w:textAlignment w:val="auto"/>
                    <w:rPr>
                      <w:rFonts w:hint="default"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新建</w:t>
                  </w:r>
                </w:p>
              </w:tc>
            </w:tr>
            <w:tr w14:paraId="4809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475EE0A7">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89" w:type="dxa"/>
                  <w:vMerge w:val="restart"/>
                  <w:vAlign w:val="center"/>
                </w:tcPr>
                <w:p w14:paraId="1378AF2B">
                  <w:pPr>
                    <w:pStyle w:val="17"/>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136" w:type="dxa"/>
                  <w:gridSpan w:val="2"/>
                  <w:vAlign w:val="center"/>
                </w:tcPr>
                <w:p w14:paraId="6B9E8396">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雨污分流</w:t>
                  </w:r>
                </w:p>
              </w:tc>
              <w:tc>
                <w:tcPr>
                  <w:tcW w:w="5121" w:type="dxa"/>
                  <w:vAlign w:val="center"/>
                </w:tcPr>
                <w:p w14:paraId="430ABCE9">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项目实行雨污分流制，雨水经雨水管道外排至园区雨水管网。</w:t>
                  </w:r>
                </w:p>
              </w:tc>
              <w:tc>
                <w:tcPr>
                  <w:tcW w:w="1138" w:type="dxa"/>
                  <w:vMerge w:val="restart"/>
                  <w:vAlign w:val="center"/>
                </w:tcPr>
                <w:p w14:paraId="27CE73B0">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001D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85" w:type="dxa"/>
                  <w:vMerge w:val="continue"/>
                  <w:vAlign w:val="center"/>
                </w:tcPr>
                <w:p w14:paraId="18EEEC07">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89" w:type="dxa"/>
                  <w:vMerge w:val="continue"/>
                  <w:vAlign w:val="center"/>
                </w:tcPr>
                <w:p w14:paraId="52FF913A">
                  <w:pPr>
                    <w:pStyle w:val="17"/>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136" w:type="dxa"/>
                  <w:gridSpan w:val="2"/>
                  <w:vAlign w:val="center"/>
                </w:tcPr>
                <w:p w14:paraId="1D3BEFD9">
                  <w:pPr>
                    <w:pStyle w:val="24"/>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初期雨水收集池</w:t>
                  </w:r>
                </w:p>
              </w:tc>
              <w:tc>
                <w:tcPr>
                  <w:tcW w:w="5121" w:type="dxa"/>
                  <w:vAlign w:val="center"/>
                </w:tcPr>
                <w:p w14:paraId="6E7CB2E9">
                  <w:pPr>
                    <w:pStyle w:val="24"/>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建设</w:t>
                  </w:r>
                  <w:r>
                    <w:rPr>
                      <w:rFonts w:hint="default" w:ascii="Times New Roman" w:hAnsi="Times New Roman" w:eastAsia="宋体" w:cs="Times New Roman"/>
                      <w:color w:val="auto"/>
                      <w:spacing w:val="-11"/>
                      <w:sz w:val="21"/>
                      <w:szCs w:val="21"/>
                      <w:highlight w:val="none"/>
                    </w:rPr>
                    <w:t>一座容</w:t>
                  </w:r>
                  <w:r>
                    <w:rPr>
                      <w:rFonts w:hint="default" w:ascii="Times New Roman" w:hAnsi="Times New Roman" w:eastAsia="宋体" w:cs="Times New Roman"/>
                      <w:color w:val="auto"/>
                      <w:spacing w:val="-20"/>
                      <w:sz w:val="21"/>
                      <w:szCs w:val="21"/>
                      <w:highlight w:val="none"/>
                    </w:rPr>
                    <w:t>积为</w:t>
                  </w:r>
                  <w:r>
                    <w:rPr>
                      <w:rFonts w:hint="eastAsia" w:ascii="Times New Roman" w:hAnsi="Times New Roman" w:cs="Times New Roman"/>
                      <w:color w:val="auto"/>
                      <w:spacing w:val="-20"/>
                      <w:sz w:val="21"/>
                      <w:szCs w:val="21"/>
                      <w:highlight w:val="none"/>
                      <w:lang w:val="en-US" w:eastAsia="zh-CN"/>
                    </w:rPr>
                    <w:t>92</w:t>
                  </w:r>
                  <w:r>
                    <w:rPr>
                      <w:rFonts w:hint="default" w:ascii="Times New Roman" w:hAnsi="Times New Roman" w:eastAsia="宋体" w:cs="Times New Roman"/>
                      <w:color w:val="auto"/>
                      <w:sz w:val="21"/>
                      <w:szCs w:val="21"/>
                      <w:highlight w:val="none"/>
                    </w:rPr>
                    <w:t>m</w:t>
                  </w:r>
                  <w:r>
                    <w:rPr>
                      <w:rFonts w:hint="eastAsia"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pacing w:val="-8"/>
                      <w:sz w:val="21"/>
                      <w:szCs w:val="21"/>
                      <w:highlight w:val="none"/>
                    </w:rPr>
                    <w:t>的初期雨水</w:t>
                  </w:r>
                  <w:r>
                    <w:rPr>
                      <w:rFonts w:hint="default" w:ascii="Times New Roman" w:hAnsi="Times New Roman" w:eastAsia="宋体" w:cs="Times New Roman"/>
                      <w:color w:val="auto"/>
                      <w:spacing w:val="-8"/>
                      <w:sz w:val="21"/>
                      <w:szCs w:val="21"/>
                      <w:highlight w:val="none"/>
                      <w:lang w:val="en-US" w:eastAsia="zh-CN"/>
                    </w:rPr>
                    <w:t>收集</w:t>
                  </w:r>
                  <w:r>
                    <w:rPr>
                      <w:rFonts w:hint="default" w:ascii="Times New Roman" w:hAnsi="Times New Roman" w:eastAsia="宋体" w:cs="Times New Roman"/>
                      <w:color w:val="auto"/>
                      <w:spacing w:val="-8"/>
                      <w:sz w:val="21"/>
                      <w:szCs w:val="21"/>
                      <w:highlight w:val="none"/>
                    </w:rPr>
                    <w:t>池</w:t>
                  </w:r>
                  <w:r>
                    <w:rPr>
                      <w:rFonts w:hint="default" w:ascii="Times New Roman" w:hAnsi="Times New Roman" w:eastAsia="宋体" w:cs="Times New Roman"/>
                      <w:color w:val="auto"/>
                      <w:spacing w:val="-8"/>
                      <w:sz w:val="21"/>
                      <w:szCs w:val="21"/>
                      <w:highlight w:val="none"/>
                      <w:lang w:eastAsia="zh-CN"/>
                    </w:rPr>
                    <w:t>，</w:t>
                  </w:r>
                  <w:r>
                    <w:rPr>
                      <w:rFonts w:hint="default" w:ascii="Times New Roman" w:hAnsi="Times New Roman" w:eastAsia="宋体" w:cs="Times New Roman"/>
                      <w:color w:val="auto"/>
                      <w:sz w:val="21"/>
                      <w:szCs w:val="21"/>
                      <w:highlight w:val="none"/>
                    </w:rPr>
                    <w:t>将初期雨水</w:t>
                  </w:r>
                  <w:r>
                    <w:rPr>
                      <w:rFonts w:hint="eastAsia" w:ascii="Times New Roman" w:hAnsi="Times New Roman" w:eastAsia="宋体" w:cs="Times New Roman"/>
                      <w:color w:val="auto"/>
                      <w:sz w:val="21"/>
                      <w:szCs w:val="21"/>
                      <w:highlight w:val="none"/>
                      <w:lang w:eastAsia="zh-CN"/>
                    </w:rPr>
                    <w:t>经沉淀</w:t>
                  </w:r>
                  <w:r>
                    <w:rPr>
                      <w:rFonts w:hint="default" w:ascii="Times New Roman" w:hAnsi="Times New Roman" w:eastAsia="宋体" w:cs="Times New Roman"/>
                      <w:color w:val="auto"/>
                      <w:sz w:val="21"/>
                      <w:szCs w:val="21"/>
                      <w:highlight w:val="none"/>
                    </w:rPr>
                    <w:t>处理后回用</w:t>
                  </w:r>
                  <w:r>
                    <w:rPr>
                      <w:rFonts w:hint="default" w:ascii="Times New Roman" w:hAnsi="Times New Roman" w:eastAsia="宋体" w:cs="Times New Roman"/>
                      <w:color w:val="auto"/>
                      <w:sz w:val="21"/>
                      <w:szCs w:val="21"/>
                      <w:highlight w:val="none"/>
                      <w:lang w:val="en-US" w:eastAsia="zh-CN"/>
                    </w:rPr>
                    <w:t>于</w:t>
                  </w:r>
                  <w:r>
                    <w:rPr>
                      <w:rFonts w:hint="eastAsia" w:ascii="Times New Roman" w:hAnsi="Times New Roman" w:eastAsia="宋体" w:cs="Times New Roman"/>
                      <w:color w:val="auto"/>
                      <w:sz w:val="21"/>
                      <w:szCs w:val="21"/>
                      <w:highlight w:val="none"/>
                      <w:lang w:eastAsia="zh-CN"/>
                    </w:rPr>
                    <w:t>厂区洒水抑尘</w:t>
                  </w:r>
                  <w:r>
                    <w:rPr>
                      <w:rFonts w:hint="default" w:ascii="Times New Roman" w:hAnsi="Times New Roman" w:eastAsia="宋体" w:cs="Times New Roman"/>
                      <w:color w:val="auto"/>
                      <w:sz w:val="21"/>
                      <w:szCs w:val="21"/>
                      <w:highlight w:val="none"/>
                    </w:rPr>
                    <w:t>，不外排。</w:t>
                  </w:r>
                </w:p>
              </w:tc>
              <w:tc>
                <w:tcPr>
                  <w:tcW w:w="1138" w:type="dxa"/>
                  <w:vMerge w:val="continue"/>
                  <w:vAlign w:val="center"/>
                </w:tcPr>
                <w:p w14:paraId="707A2079">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14:paraId="50E6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85" w:type="dxa"/>
                  <w:vMerge w:val="continue"/>
                  <w:vAlign w:val="center"/>
                </w:tcPr>
                <w:p w14:paraId="4FA46C55">
                  <w:pPr>
                    <w:adjustRightInd w:val="0"/>
                    <w:snapToGrid w:val="0"/>
                    <w:spacing w:line="0" w:lineRule="atLeast"/>
                    <w:jc w:val="center"/>
                    <w:rPr>
                      <w:color w:val="auto"/>
                      <w:highlight w:val="none"/>
                    </w:rPr>
                  </w:pPr>
                </w:p>
              </w:tc>
              <w:tc>
                <w:tcPr>
                  <w:tcW w:w="389" w:type="dxa"/>
                  <w:vMerge w:val="continue"/>
                  <w:vAlign w:val="center"/>
                </w:tcPr>
                <w:p w14:paraId="0C7C3743">
                  <w:pPr>
                    <w:adjustRightInd w:val="0"/>
                    <w:snapToGrid w:val="0"/>
                    <w:spacing w:line="0" w:lineRule="atLeast"/>
                    <w:jc w:val="center"/>
                    <w:rPr>
                      <w:color w:val="auto"/>
                      <w:highlight w:val="none"/>
                    </w:rPr>
                  </w:pPr>
                </w:p>
              </w:tc>
              <w:tc>
                <w:tcPr>
                  <w:tcW w:w="1136" w:type="dxa"/>
                  <w:gridSpan w:val="2"/>
                  <w:vAlign w:val="center"/>
                </w:tcPr>
                <w:p w14:paraId="6FA4F6EF">
                  <w:pPr>
                    <w:pStyle w:val="24"/>
                    <w:keepNext w:val="0"/>
                    <w:keepLines w:val="0"/>
                    <w:widowControl w:val="0"/>
                    <w:suppressLineNumbers w:val="0"/>
                    <w:spacing w:before="0" w:beforeAutospacing="0" w:after="0" w:afterAutospacing="0"/>
                    <w:ind w:left="0" w:leftChars="0" w:right="0" w:rightChars="0"/>
                    <w:jc w:val="center"/>
                    <w:rPr>
                      <w:rStyle w:val="106"/>
                      <w:rFonts w:hint="default" w:ascii="Times New Roman" w:hAnsi="Times New Roman" w:eastAsia="宋体" w:cs="Times New Roman"/>
                      <w:color w:val="auto"/>
                      <w:sz w:val="21"/>
                      <w:szCs w:val="21"/>
                      <w:highlight w:val="none"/>
                    </w:rPr>
                  </w:pPr>
                  <w:r>
                    <w:rPr>
                      <w:rStyle w:val="106"/>
                      <w:rFonts w:hint="default" w:ascii="Times New Roman" w:hAnsi="Times New Roman" w:eastAsia="宋体" w:cs="Times New Roman"/>
                      <w:color w:val="auto"/>
                      <w:sz w:val="21"/>
                      <w:szCs w:val="21"/>
                      <w:highlight w:val="none"/>
                    </w:rPr>
                    <w:t>冷却水循环系统</w:t>
                  </w:r>
                </w:p>
              </w:tc>
              <w:tc>
                <w:tcPr>
                  <w:tcW w:w="5121" w:type="dxa"/>
                  <w:vAlign w:val="center"/>
                </w:tcPr>
                <w:p w14:paraId="151E94FF">
                  <w:pPr>
                    <w:pStyle w:val="24"/>
                    <w:keepNext w:val="0"/>
                    <w:keepLines w:val="0"/>
                    <w:widowControl w:val="0"/>
                    <w:suppressLineNumbers w:val="0"/>
                    <w:spacing w:before="0" w:beforeAutospacing="0" w:after="0" w:afterAutospacing="0"/>
                    <w:ind w:left="0" w:leftChars="0" w:right="0" w:rightChars="0" w:firstLine="0" w:firstLineChars="0"/>
                    <w:jc w:val="center"/>
                    <w:rPr>
                      <w:rStyle w:val="106"/>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1"/>
                      <w:szCs w:val="21"/>
                      <w:highlight w:val="none"/>
                      <w:lang w:val="en-US" w:eastAsia="zh-CN" w:bidi="ar-SA"/>
                    </w:rPr>
                    <w:t>设置</w:t>
                  </w:r>
                  <w:r>
                    <w:rPr>
                      <w:rFonts w:hint="eastAsia" w:ascii="Times New Roman" w:hAnsi="Times New Roman" w:cs="Times New Roman"/>
                      <w:bCs/>
                      <w:color w:val="auto"/>
                      <w:kern w:val="2"/>
                      <w:sz w:val="21"/>
                      <w:szCs w:val="21"/>
                      <w:highlight w:val="none"/>
                      <w:lang w:val="en-US" w:eastAsia="zh-CN" w:bidi="ar-SA"/>
                    </w:rPr>
                    <w:t>1</w:t>
                  </w:r>
                  <w:r>
                    <w:rPr>
                      <w:rFonts w:hint="default" w:ascii="Times New Roman" w:hAnsi="Times New Roman" w:eastAsia="宋体" w:cs="Times New Roman"/>
                      <w:bCs/>
                      <w:color w:val="auto"/>
                      <w:kern w:val="2"/>
                      <w:sz w:val="21"/>
                      <w:szCs w:val="21"/>
                      <w:highlight w:val="none"/>
                      <w:lang w:val="en-US" w:eastAsia="zh-CN" w:bidi="ar-SA"/>
                    </w:rPr>
                    <w:t>套循环水处理系统，</w:t>
                  </w:r>
                  <w:r>
                    <w:rPr>
                      <w:rFonts w:hint="eastAsia" w:ascii="Times New Roman" w:hAnsi="Times New Roman" w:eastAsia="宋体" w:cs="Times New Roman"/>
                      <w:bCs/>
                      <w:color w:val="auto"/>
                      <w:kern w:val="2"/>
                      <w:sz w:val="21"/>
                      <w:szCs w:val="21"/>
                      <w:highlight w:val="none"/>
                      <w:lang w:val="en-US" w:eastAsia="zh-CN" w:bidi="ar-SA"/>
                    </w:rPr>
                    <w:t>设备</w:t>
                  </w:r>
                  <w:r>
                    <w:rPr>
                      <w:rFonts w:hint="default" w:ascii="Times New Roman" w:hAnsi="Times New Roman" w:eastAsia="宋体" w:cs="Times New Roman"/>
                      <w:bCs/>
                      <w:color w:val="auto"/>
                      <w:kern w:val="2"/>
                      <w:sz w:val="21"/>
                      <w:szCs w:val="21"/>
                      <w:highlight w:val="none"/>
                      <w:lang w:val="en-US" w:eastAsia="zh-CN" w:bidi="ar-SA"/>
                    </w:rPr>
                    <w:t>冷却废水经循环冷却</w:t>
                  </w:r>
                  <w:r>
                    <w:rPr>
                      <w:rFonts w:hint="default" w:ascii="Times New Roman" w:hAnsi="Times New Roman" w:eastAsia="宋体" w:cs="Times New Roman"/>
                      <w:color w:val="auto"/>
                      <w:sz w:val="21"/>
                      <w:szCs w:val="21"/>
                      <w:highlight w:val="none"/>
                    </w:rPr>
                    <w:t>池冷却后循环使用不外排。</w:t>
                  </w:r>
                </w:p>
              </w:tc>
              <w:tc>
                <w:tcPr>
                  <w:tcW w:w="1138" w:type="dxa"/>
                  <w:vAlign w:val="center"/>
                </w:tcPr>
                <w:p w14:paraId="6EF6EA74">
                  <w:pPr>
                    <w:adjustRightInd w:val="0"/>
                    <w:snapToGrid w:val="0"/>
                    <w:spacing w:line="0" w:lineRule="atLeast"/>
                    <w:jc w:val="center"/>
                    <w:rPr>
                      <w:rStyle w:val="106"/>
                      <w:rFonts w:hint="default" w:ascii="Times New Roman" w:hAnsi="Times New Roman" w:eastAsia="宋体" w:cs="Times New Roman"/>
                      <w:color w:val="auto"/>
                      <w:sz w:val="21"/>
                      <w:szCs w:val="21"/>
                      <w:highlight w:val="none"/>
                    </w:rPr>
                  </w:pPr>
                  <w:r>
                    <w:rPr>
                      <w:rFonts w:hint="eastAsia"/>
                      <w:color w:val="auto"/>
                      <w:sz w:val="21"/>
                      <w:szCs w:val="21"/>
                      <w:highlight w:val="none"/>
                      <w:lang w:val="en-US" w:eastAsia="zh-CN"/>
                    </w:rPr>
                    <w:t>新建</w:t>
                  </w:r>
                </w:p>
              </w:tc>
            </w:tr>
            <w:tr w14:paraId="2DEB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6CC5F1A2">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89" w:type="dxa"/>
                  <w:vMerge w:val="continue"/>
                  <w:vAlign w:val="center"/>
                </w:tcPr>
                <w:p w14:paraId="5FBAE420">
                  <w:pPr>
                    <w:pStyle w:val="17"/>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136" w:type="dxa"/>
                  <w:gridSpan w:val="2"/>
                  <w:vAlign w:val="center"/>
                </w:tcPr>
                <w:p w14:paraId="09F879DF">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化粪池</w:t>
                  </w:r>
                </w:p>
              </w:tc>
              <w:tc>
                <w:tcPr>
                  <w:tcW w:w="5121" w:type="dxa"/>
                  <w:vAlign w:val="center"/>
                </w:tcPr>
                <w:p w14:paraId="0FA6E1E6">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的化粪池，用于预处理项目内所有办公生活废水。</w:t>
                  </w:r>
                </w:p>
              </w:tc>
              <w:tc>
                <w:tcPr>
                  <w:tcW w:w="1138" w:type="dxa"/>
                  <w:vAlign w:val="center"/>
                </w:tcPr>
                <w:p w14:paraId="559997DA">
                  <w:pPr>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新建</w:t>
                  </w:r>
                </w:p>
              </w:tc>
            </w:tr>
            <w:tr w14:paraId="0BBC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3CD3D301">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89" w:type="dxa"/>
                  <w:vMerge w:val="continue"/>
                  <w:vAlign w:val="center"/>
                </w:tcPr>
                <w:p w14:paraId="699C02D0">
                  <w:pPr>
                    <w:pStyle w:val="17"/>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136" w:type="dxa"/>
                  <w:gridSpan w:val="2"/>
                  <w:vAlign w:val="center"/>
                </w:tcPr>
                <w:p w14:paraId="73452BDC">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一体化污水处理设施</w:t>
                  </w:r>
                </w:p>
              </w:tc>
              <w:tc>
                <w:tcPr>
                  <w:tcW w:w="5121" w:type="dxa"/>
                  <w:vAlign w:val="center"/>
                </w:tcPr>
                <w:p w14:paraId="02AE6D21">
                  <w:pPr>
                    <w:pStyle w:val="82"/>
                    <w:keepNext w:val="0"/>
                    <w:keepLines w:val="0"/>
                    <w:pageBreakBefore w:val="0"/>
                    <w:widowControl w:val="0"/>
                    <w:kinsoku/>
                    <w:wordWrap/>
                    <w:overflowPunct/>
                    <w:topLinePunct w:val="0"/>
                    <w:autoSpaceDE/>
                    <w:autoSpaceDN/>
                    <w:bidi w:val="0"/>
                    <w:adjustRightInd w:val="0"/>
                    <w:snapToGrid w:val="0"/>
                    <w:spacing w:beforeLines="0" w:afterLines="0" w:line="240" w:lineRule="auto"/>
                    <w:ind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w:t>
                  </w:r>
                  <w:r>
                    <w:rPr>
                      <w:rFonts w:hint="default"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/d的地埋式一体化污水处理设备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处理工艺为“MBR”</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，用于处理项目区产生的生活废水</w:t>
                  </w:r>
                  <w:r>
                    <w:rPr>
                      <w:rFonts w:hint="eastAsia" w:cs="Times New Roman"/>
                      <w:color w:val="auto"/>
                      <w:sz w:val="21"/>
                      <w:szCs w:val="21"/>
                      <w:highlight w:val="none"/>
                      <w:lang w:val="en-US" w:eastAsia="zh-CN"/>
                    </w:rPr>
                    <w:t>和经过</w:t>
                  </w:r>
                  <w:r>
                    <w:rPr>
                      <w:color w:val="auto"/>
                      <w:sz w:val="21"/>
                      <w:szCs w:val="21"/>
                      <w:highlight w:val="none"/>
                    </w:rPr>
                    <w:t>沉淀</w:t>
                  </w:r>
                  <w:r>
                    <w:rPr>
                      <w:rFonts w:hint="eastAsia"/>
                      <w:color w:val="auto"/>
                      <w:sz w:val="21"/>
                      <w:szCs w:val="21"/>
                      <w:highlight w:val="none"/>
                    </w:rPr>
                    <w:t>、</w:t>
                  </w:r>
                  <w:r>
                    <w:rPr>
                      <w:color w:val="auto"/>
                      <w:sz w:val="21"/>
                      <w:szCs w:val="21"/>
                      <w:highlight w:val="none"/>
                    </w:rPr>
                    <w:t>中和</w:t>
                  </w:r>
                  <w:r>
                    <w:rPr>
                      <w:rFonts w:hint="eastAsia"/>
                      <w:color w:val="auto"/>
                      <w:sz w:val="21"/>
                      <w:szCs w:val="21"/>
                      <w:highlight w:val="none"/>
                    </w:rPr>
                    <w:t>等</w:t>
                  </w:r>
                  <w:r>
                    <w:rPr>
                      <w:color w:val="auto"/>
                      <w:sz w:val="21"/>
                      <w:szCs w:val="21"/>
                      <w:highlight w:val="none"/>
                    </w:rPr>
                    <w:t>简易</w:t>
                  </w:r>
                  <w:r>
                    <w:rPr>
                      <w:rFonts w:hint="eastAsia"/>
                      <w:color w:val="auto"/>
                      <w:sz w:val="21"/>
                      <w:szCs w:val="21"/>
                      <w:highlight w:val="none"/>
                    </w:rPr>
                    <w:t>处理</w:t>
                  </w:r>
                  <w:r>
                    <w:rPr>
                      <w:rFonts w:hint="eastAsia"/>
                      <w:color w:val="auto"/>
                      <w:sz w:val="21"/>
                      <w:szCs w:val="21"/>
                      <w:highlight w:val="none"/>
                      <w:lang w:val="en-US" w:eastAsia="zh-CN"/>
                    </w:rPr>
                    <w:t>的</w:t>
                  </w:r>
                  <w:r>
                    <w:rPr>
                      <w:rFonts w:hint="eastAsia"/>
                      <w:color w:val="auto"/>
                      <w:sz w:val="21"/>
                      <w:szCs w:val="21"/>
                      <w:highlight w:val="none"/>
                    </w:rPr>
                    <w:t>化验后的</w:t>
                  </w:r>
                  <w:r>
                    <w:rPr>
                      <w:color w:val="auto"/>
                      <w:sz w:val="21"/>
                      <w:szCs w:val="21"/>
                      <w:highlight w:val="none"/>
                    </w:rPr>
                    <w:t>容器</w:t>
                  </w:r>
                  <w:r>
                    <w:rPr>
                      <w:rFonts w:hint="eastAsia"/>
                      <w:color w:val="auto"/>
                      <w:sz w:val="21"/>
                      <w:szCs w:val="21"/>
                      <w:highlight w:val="none"/>
                    </w:rPr>
                    <w:t>清洗废水</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aps w:val="0"/>
                      <w:snapToGrid w:val="0"/>
                      <w:color w:val="auto"/>
                      <w:spacing w:val="0"/>
                      <w:w w:val="100"/>
                      <w:kern w:val="2"/>
                      <w:position w:val="0"/>
                      <w:sz w:val="21"/>
                      <w:szCs w:val="21"/>
                      <w:highlight w:val="none"/>
                      <w:lang w:val="en-US" w:eastAsia="zh-CN" w:bidi="ar-SA"/>
                    </w:rPr>
                    <w:t>办公生活污水</w:t>
                  </w:r>
                  <w:r>
                    <w:rPr>
                      <w:rFonts w:hint="eastAsia" w:cs="Times New Roman"/>
                      <w:caps w:val="0"/>
                      <w:snapToGrid w:val="0"/>
                      <w:color w:val="auto"/>
                      <w:spacing w:val="0"/>
                      <w:w w:val="100"/>
                      <w:kern w:val="2"/>
                      <w:position w:val="0"/>
                      <w:sz w:val="21"/>
                      <w:szCs w:val="21"/>
                      <w:highlight w:val="none"/>
                      <w:lang w:val="en-US" w:eastAsia="zh-CN" w:bidi="ar-SA"/>
                    </w:rPr>
                    <w:t>排</w:t>
                  </w:r>
                  <w:r>
                    <w:rPr>
                      <w:rFonts w:hint="default" w:ascii="Times New Roman" w:hAnsi="Times New Roman" w:eastAsia="宋体" w:cs="Times New Roman"/>
                      <w:caps w:val="0"/>
                      <w:snapToGrid w:val="0"/>
                      <w:color w:val="auto"/>
                      <w:spacing w:val="0"/>
                      <w:w w:val="100"/>
                      <w:kern w:val="2"/>
                      <w:position w:val="0"/>
                      <w:sz w:val="21"/>
                      <w:szCs w:val="21"/>
                      <w:highlight w:val="none"/>
                      <w:lang w:val="en-US" w:eastAsia="zh-CN" w:bidi="ar-SA"/>
                    </w:rPr>
                    <w:t>入化粪</w:t>
                  </w:r>
                  <w:r>
                    <w:rPr>
                      <w:rFonts w:hint="eastAsia" w:cs="Times New Roman"/>
                      <w:caps w:val="0"/>
                      <w:snapToGrid w:val="0"/>
                      <w:color w:val="auto"/>
                      <w:spacing w:val="0"/>
                      <w:w w:val="100"/>
                      <w:kern w:val="2"/>
                      <w:position w:val="0"/>
                      <w:sz w:val="21"/>
                      <w:szCs w:val="21"/>
                      <w:highlight w:val="none"/>
                      <w:lang w:val="en-US" w:eastAsia="zh-CN" w:bidi="ar-SA"/>
                    </w:rPr>
                    <w:t>池处理后同化验废水一并进入</w:t>
                  </w:r>
                  <w:r>
                    <w:rPr>
                      <w:rFonts w:hint="default" w:ascii="Times New Roman" w:hAnsi="Times New Roman" w:eastAsia="宋体" w:cs="Times New Roman"/>
                      <w:caps w:val="0"/>
                      <w:snapToGrid w:val="0"/>
                      <w:color w:val="auto"/>
                      <w:spacing w:val="0"/>
                      <w:w w:val="100"/>
                      <w:kern w:val="2"/>
                      <w:position w:val="0"/>
                      <w:sz w:val="21"/>
                      <w:szCs w:val="21"/>
                      <w:highlight w:val="none"/>
                      <w:lang w:val="en-US" w:eastAsia="zh-CN" w:bidi="ar-SA"/>
                    </w:rPr>
                    <w:t>地埋式一体化污水处理站处理达《城市污水再生利用 城市杂用水水质》（GB/T18920-2020）中的城市绿化、道路清扫、消防、建筑施工标准后，用于项目区内绿化及道路场地洒水降尘，不外排。</w:t>
                  </w:r>
                </w:p>
              </w:tc>
              <w:tc>
                <w:tcPr>
                  <w:tcW w:w="1138" w:type="dxa"/>
                  <w:vMerge w:val="restart"/>
                  <w:vAlign w:val="center"/>
                </w:tcPr>
                <w:p w14:paraId="00242944">
                  <w:pPr>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新建</w:t>
                  </w:r>
                </w:p>
              </w:tc>
            </w:tr>
            <w:tr w14:paraId="1BF6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092A54D9">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89" w:type="dxa"/>
                  <w:vMerge w:val="continue"/>
                  <w:vAlign w:val="center"/>
                </w:tcPr>
                <w:p w14:paraId="769B3DF9">
                  <w:pPr>
                    <w:pStyle w:val="17"/>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136" w:type="dxa"/>
                  <w:gridSpan w:val="2"/>
                  <w:vAlign w:val="center"/>
                </w:tcPr>
                <w:p w14:paraId="10328C2C">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蓄水池</w:t>
                  </w:r>
                </w:p>
              </w:tc>
              <w:tc>
                <w:tcPr>
                  <w:tcW w:w="5121" w:type="dxa"/>
                  <w:vAlign w:val="center"/>
                </w:tcPr>
                <w:p w14:paraId="58DA57A3">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办公生活区外设置1个容积为</w:t>
                  </w:r>
                  <w:r>
                    <w:rPr>
                      <w:rFonts w:hint="eastAsia"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的蓄水池，对雨天项目区内处理达标后的污水进行收集暂存。</w:t>
                  </w:r>
                </w:p>
              </w:tc>
              <w:tc>
                <w:tcPr>
                  <w:tcW w:w="1138" w:type="dxa"/>
                  <w:vMerge w:val="continue"/>
                  <w:vAlign w:val="center"/>
                </w:tcPr>
                <w:p w14:paraId="4B8C9C6A">
                  <w:pPr>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p>
              </w:tc>
            </w:tr>
            <w:tr w14:paraId="176F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10D48227">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89" w:type="dxa"/>
                  <w:vMerge w:val="continue"/>
                  <w:vAlign w:val="center"/>
                </w:tcPr>
                <w:p w14:paraId="211E4B6C">
                  <w:pPr>
                    <w:pStyle w:val="17"/>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136" w:type="dxa"/>
                  <w:gridSpan w:val="2"/>
                  <w:vAlign w:val="center"/>
                </w:tcPr>
                <w:p w14:paraId="5017E73C">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氨水储罐</w:t>
                  </w:r>
                </w:p>
              </w:tc>
              <w:tc>
                <w:tcPr>
                  <w:tcW w:w="5121" w:type="dxa"/>
                  <w:vAlign w:val="center"/>
                </w:tcPr>
                <w:p w14:paraId="4AC2B1C0">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vertAlign w:val="baseline"/>
                      <w:lang w:val="en-US" w:eastAsia="zh-CN"/>
                    </w:rPr>
                    <w:t>一个氨水储罐配套设置一个清水罐及一个清水应急罐（容积均为20</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p>
              </w:tc>
              <w:tc>
                <w:tcPr>
                  <w:tcW w:w="1138" w:type="dxa"/>
                  <w:vMerge w:val="continue"/>
                  <w:vAlign w:val="center"/>
                </w:tcPr>
                <w:p w14:paraId="4EEA96CF">
                  <w:pPr>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p>
              </w:tc>
            </w:tr>
            <w:tr w14:paraId="7D5D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49BF5292">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89" w:type="dxa"/>
                  <w:vMerge w:val="continue"/>
                  <w:vAlign w:val="center"/>
                </w:tcPr>
                <w:p w14:paraId="11238809">
                  <w:pPr>
                    <w:pStyle w:val="17"/>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136" w:type="dxa"/>
                  <w:gridSpan w:val="2"/>
                  <w:vAlign w:val="center"/>
                </w:tcPr>
                <w:p w14:paraId="6ECC3E58">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事故应急池</w:t>
                  </w:r>
                </w:p>
              </w:tc>
              <w:tc>
                <w:tcPr>
                  <w:tcW w:w="5121" w:type="dxa"/>
                  <w:vAlign w:val="center"/>
                </w:tcPr>
                <w:p w14:paraId="24B0492C">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sz w:val="21"/>
                      <w:szCs w:val="21"/>
                      <w:highlight w:val="none"/>
                    </w:rPr>
                    <w:t>一体化污水处理设备</w:t>
                  </w:r>
                  <w:r>
                    <w:rPr>
                      <w:rFonts w:hint="default" w:ascii="Times New Roman" w:hAnsi="Times New Roman" w:eastAsia="宋体" w:cs="Times New Roman"/>
                      <w:color w:val="auto"/>
                      <w:sz w:val="21"/>
                      <w:szCs w:val="21"/>
                      <w:highlight w:val="none"/>
                      <w:lang w:val="en-US" w:eastAsia="zh-CN"/>
                    </w:rPr>
                    <w:t>旁设置1个容积约为</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的事故应急池，用于暂存</w:t>
                  </w:r>
                  <w:r>
                    <w:rPr>
                      <w:rFonts w:hint="default" w:ascii="Times New Roman" w:hAnsi="Times New Roman" w:eastAsia="宋体" w:cs="Times New Roman"/>
                      <w:color w:val="auto"/>
                      <w:sz w:val="21"/>
                      <w:szCs w:val="21"/>
                      <w:highlight w:val="none"/>
                    </w:rPr>
                    <w:t>一体化污水处理</w:t>
                  </w:r>
                  <w:r>
                    <w:rPr>
                      <w:rFonts w:hint="eastAsia" w:cs="Times New Roman"/>
                      <w:color w:val="auto"/>
                      <w:sz w:val="21"/>
                      <w:szCs w:val="21"/>
                      <w:highlight w:val="none"/>
                      <w:lang w:val="en-US" w:eastAsia="zh-CN"/>
                    </w:rPr>
                    <w:t>设施</w:t>
                  </w:r>
                  <w:r>
                    <w:rPr>
                      <w:rFonts w:hint="default" w:ascii="Times New Roman" w:hAnsi="Times New Roman" w:eastAsia="宋体" w:cs="Times New Roman"/>
                      <w:color w:val="auto"/>
                      <w:sz w:val="21"/>
                      <w:szCs w:val="21"/>
                      <w:highlight w:val="none"/>
                      <w:lang w:val="en-US" w:eastAsia="zh-CN"/>
                    </w:rPr>
                    <w:t>故障时的废水。</w:t>
                  </w:r>
                  <w:r>
                    <w:rPr>
                      <w:rFonts w:hint="eastAsia" w:cs="Times New Roman"/>
                      <w:color w:val="auto"/>
                      <w:sz w:val="21"/>
                      <w:szCs w:val="21"/>
                      <w:highlight w:val="none"/>
                      <w:lang w:val="en-US" w:eastAsia="zh-CN"/>
                    </w:rPr>
                    <w:t>氨水储罐区域设置一个容积不小于98m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的事故池，用于暂存氨水储罐区域的事故废水。</w:t>
                  </w:r>
                </w:p>
              </w:tc>
              <w:tc>
                <w:tcPr>
                  <w:tcW w:w="1138" w:type="dxa"/>
                  <w:vMerge w:val="continue"/>
                  <w:vAlign w:val="center"/>
                </w:tcPr>
                <w:p w14:paraId="0CB6D37A">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14:paraId="44E7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196A2488">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89" w:type="dxa"/>
                  <w:vAlign w:val="center"/>
                </w:tcPr>
                <w:p w14:paraId="2A2CAC1E">
                  <w:pPr>
                    <w:pStyle w:val="17"/>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6257" w:type="dxa"/>
                  <w:gridSpan w:val="3"/>
                  <w:vAlign w:val="center"/>
                </w:tcPr>
                <w:p w14:paraId="06302ACA">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采取</w:t>
                  </w:r>
                  <w:r>
                    <w:rPr>
                      <w:rFonts w:hint="default" w:ascii="Times New Roman" w:hAnsi="Times New Roman" w:eastAsia="宋体" w:cs="Times New Roman"/>
                      <w:color w:val="auto"/>
                      <w:kern w:val="0"/>
                      <w:sz w:val="21"/>
                      <w:szCs w:val="21"/>
                      <w:highlight w:val="none"/>
                      <w:lang w:eastAsia="zh-CN"/>
                    </w:rPr>
                    <w:t>基础减振、建筑隔声</w:t>
                  </w:r>
                  <w:r>
                    <w:rPr>
                      <w:rFonts w:hint="default" w:ascii="Times New Roman" w:hAnsi="Times New Roman" w:eastAsia="宋体" w:cs="Times New Roman"/>
                      <w:color w:val="auto"/>
                      <w:sz w:val="21"/>
                      <w:szCs w:val="21"/>
                      <w:highlight w:val="none"/>
                    </w:rPr>
                    <w:t>，高噪声设备安装消声、减振装置。</w:t>
                  </w:r>
                </w:p>
              </w:tc>
              <w:tc>
                <w:tcPr>
                  <w:tcW w:w="1138" w:type="dxa"/>
                  <w:vAlign w:val="center"/>
                </w:tcPr>
                <w:p w14:paraId="6814249F">
                  <w:pPr>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vertAlign w:val="baseline"/>
                      <w:lang w:val="en-US" w:eastAsia="zh-CN" w:bidi="ar-SA"/>
                    </w:rPr>
                    <w:t>新建</w:t>
                  </w:r>
                </w:p>
              </w:tc>
            </w:tr>
            <w:tr w14:paraId="47AE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385" w:type="dxa"/>
                  <w:vMerge w:val="continue"/>
                  <w:vAlign w:val="center"/>
                </w:tcPr>
                <w:p w14:paraId="5F7E21AC">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89" w:type="dxa"/>
                  <w:vMerge w:val="restart"/>
                  <w:vAlign w:val="center"/>
                </w:tcPr>
                <w:p w14:paraId="77B41C2F">
                  <w:pPr>
                    <w:pStyle w:val="17"/>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固废处理设施</w:t>
                  </w:r>
                </w:p>
              </w:tc>
              <w:tc>
                <w:tcPr>
                  <w:tcW w:w="1136" w:type="dxa"/>
                  <w:gridSpan w:val="2"/>
                  <w:vAlign w:val="center"/>
                </w:tcPr>
                <w:p w14:paraId="4474810F">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带盖垃圾收集桶</w:t>
                  </w:r>
                </w:p>
              </w:tc>
              <w:tc>
                <w:tcPr>
                  <w:tcW w:w="5121" w:type="dxa"/>
                  <w:vAlign w:val="center"/>
                </w:tcPr>
                <w:p w14:paraId="653B4B99">
                  <w:pPr>
                    <w:widowControl/>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厂区内分散设置若干带盖垃圾收集桶，用于收集生活垃圾。</w:t>
                  </w:r>
                </w:p>
              </w:tc>
              <w:tc>
                <w:tcPr>
                  <w:tcW w:w="1138" w:type="dxa"/>
                  <w:vMerge w:val="restart"/>
                  <w:vAlign w:val="center"/>
                </w:tcPr>
                <w:p w14:paraId="4950EB06">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002D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345A803B">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89" w:type="dxa"/>
                  <w:vMerge w:val="continue"/>
                  <w:vAlign w:val="center"/>
                </w:tcPr>
                <w:p w14:paraId="2B1D42F4">
                  <w:pPr>
                    <w:pStyle w:val="17"/>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136" w:type="dxa"/>
                  <w:gridSpan w:val="2"/>
                  <w:vAlign w:val="center"/>
                </w:tcPr>
                <w:p w14:paraId="64236374">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一般固废暂存区</w:t>
                  </w:r>
                </w:p>
              </w:tc>
              <w:tc>
                <w:tcPr>
                  <w:tcW w:w="5121" w:type="dxa"/>
                  <w:vAlign w:val="center"/>
                </w:tcPr>
                <w:p w14:paraId="5AD7F1AA">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建筑面积</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，用于收集暂存生产过程产生的一般固体废弃物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定期收集后外售</w:t>
                  </w:r>
                  <w:r>
                    <w:rPr>
                      <w:rFonts w:hint="default" w:ascii="Times New Roman" w:hAnsi="Times New Roman" w:eastAsia="宋体" w:cs="Times New Roman"/>
                      <w:color w:val="auto"/>
                      <w:sz w:val="21"/>
                      <w:szCs w:val="21"/>
                      <w:highlight w:val="none"/>
                    </w:rPr>
                    <w:t>。</w:t>
                  </w:r>
                </w:p>
              </w:tc>
              <w:tc>
                <w:tcPr>
                  <w:tcW w:w="1138" w:type="dxa"/>
                  <w:vMerge w:val="continue"/>
                  <w:vAlign w:val="center"/>
                </w:tcPr>
                <w:p w14:paraId="411FDD5C">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14:paraId="2D93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4040DBAB">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89" w:type="dxa"/>
                  <w:vMerge w:val="continue"/>
                  <w:vAlign w:val="center"/>
                </w:tcPr>
                <w:p w14:paraId="1F6CE0AD">
                  <w:pPr>
                    <w:pStyle w:val="17"/>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136" w:type="dxa"/>
                  <w:gridSpan w:val="2"/>
                  <w:vAlign w:val="center"/>
                </w:tcPr>
                <w:p w14:paraId="65E94991">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危废</w:t>
                  </w:r>
                  <w:r>
                    <w:rPr>
                      <w:rFonts w:hint="default" w:ascii="Times New Roman" w:hAnsi="Times New Roman" w:eastAsia="宋体" w:cs="Times New Roman"/>
                      <w:color w:val="auto"/>
                      <w:sz w:val="21"/>
                      <w:szCs w:val="21"/>
                      <w:highlight w:val="none"/>
                      <w:lang w:val="en-US" w:eastAsia="zh-CN"/>
                    </w:rPr>
                    <w:t>暂存</w:t>
                  </w:r>
                  <w:r>
                    <w:rPr>
                      <w:rFonts w:hint="default" w:ascii="Times New Roman" w:hAnsi="Times New Roman" w:eastAsia="宋体" w:cs="Times New Roman"/>
                      <w:color w:val="auto"/>
                      <w:sz w:val="21"/>
                      <w:szCs w:val="21"/>
                      <w:highlight w:val="none"/>
                    </w:rPr>
                    <w:t>间</w:t>
                  </w:r>
                </w:p>
              </w:tc>
              <w:tc>
                <w:tcPr>
                  <w:tcW w:w="5121" w:type="dxa"/>
                  <w:vAlign w:val="center"/>
                </w:tcPr>
                <w:p w14:paraId="6FF3C407">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subscript"/>
                      <w:lang w:val="en-US"/>
                    </w:rPr>
                  </w:pPr>
                  <w:r>
                    <w:rPr>
                      <w:rFonts w:hint="default" w:ascii="Times New Roman" w:hAnsi="Times New Roman" w:eastAsia="宋体" w:cs="Times New Roman"/>
                      <w:color w:val="auto"/>
                      <w:sz w:val="21"/>
                      <w:szCs w:val="21"/>
                      <w:highlight w:val="none"/>
                    </w:rPr>
                    <w:t>设置1间占地面积为</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的危废暂存间，并配套</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个危险废物专用收集容器，用于收集暂存机修过程产生的废机油、</w:t>
                  </w:r>
                  <w:r>
                    <w:rPr>
                      <w:rFonts w:hint="default" w:ascii="Times New Roman" w:hAnsi="Times New Roman" w:eastAsia="宋体" w:cs="Times New Roman"/>
                      <w:color w:val="auto"/>
                      <w:sz w:val="21"/>
                      <w:szCs w:val="21"/>
                      <w:highlight w:val="none"/>
                      <w:lang w:val="en-US" w:eastAsia="zh-CN"/>
                    </w:rPr>
                    <w:t>机修废物、</w:t>
                  </w:r>
                  <w:r>
                    <w:rPr>
                      <w:rFonts w:hint="eastAsia" w:cs="Times New Roman"/>
                      <w:color w:val="auto"/>
                      <w:sz w:val="21"/>
                      <w:szCs w:val="21"/>
                      <w:highlight w:val="none"/>
                      <w:lang w:val="en-US" w:eastAsia="zh-CN"/>
                    </w:rPr>
                    <w:t>废液压油、废试剂瓶、废液</w:t>
                  </w:r>
                  <w:r>
                    <w:rPr>
                      <w:rFonts w:hint="default" w:ascii="Times New Roman" w:hAnsi="Times New Roman" w:eastAsia="宋体" w:cs="Times New Roman"/>
                      <w:color w:val="auto"/>
                      <w:sz w:val="21"/>
                      <w:szCs w:val="21"/>
                      <w:highlight w:val="none"/>
                    </w:rPr>
                    <w:t>。危险废物暂存间地面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rPr>
                    <w:t>抗渗混凝土</w:t>
                  </w:r>
                  <w:r>
                    <w:rPr>
                      <w:rFonts w:hint="default" w:ascii="Times New Roman" w:hAnsi="Times New Roman" w:eastAsia="宋体" w:cs="Times New Roman"/>
                      <w:color w:val="auto"/>
                      <w:sz w:val="21"/>
                      <w:szCs w:val="21"/>
                      <w:highlight w:val="none"/>
                      <w:lang w:val="zh-CN"/>
                    </w:rPr>
                    <w:t>+2mm</w:t>
                  </w:r>
                  <w:r>
                    <w:rPr>
                      <w:rFonts w:hint="default" w:ascii="Times New Roman" w:hAnsi="Times New Roman" w:eastAsia="宋体" w:cs="Times New Roman"/>
                      <w:color w:val="auto"/>
                      <w:highlight w:val="none"/>
                      <w:lang w:val="zh-CN"/>
                    </w:rPr>
                    <w:t>厚HDPE+环氧树脂</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，并按照要求设置规范的标识标牌。</w:t>
                  </w:r>
                </w:p>
              </w:tc>
              <w:tc>
                <w:tcPr>
                  <w:tcW w:w="1138" w:type="dxa"/>
                  <w:vMerge w:val="continue"/>
                  <w:vAlign w:val="center"/>
                </w:tcPr>
                <w:p w14:paraId="43C1EA41">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14:paraId="45D7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5" w:type="dxa"/>
                  <w:vMerge w:val="continue"/>
                  <w:vAlign w:val="center"/>
                </w:tcPr>
                <w:p w14:paraId="175786F5">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89" w:type="dxa"/>
                  <w:vAlign w:val="center"/>
                </w:tcPr>
                <w:p w14:paraId="1816A792">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分区防渗</w:t>
                  </w:r>
                </w:p>
              </w:tc>
              <w:tc>
                <w:tcPr>
                  <w:tcW w:w="6257" w:type="dxa"/>
                  <w:gridSpan w:val="3"/>
                  <w:vAlign w:val="center"/>
                </w:tcPr>
                <w:p w14:paraId="0D7DBB4C">
                  <w:pPr>
                    <w:widowControl/>
                    <w:spacing w:line="240" w:lineRule="auto"/>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重点防渗：</w:t>
                  </w:r>
                  <w:r>
                    <w:rPr>
                      <w:rFonts w:hint="default" w:ascii="Times New Roman" w:hAnsi="Times New Roman" w:eastAsia="宋体" w:cs="Times New Roman"/>
                      <w:b w:val="0"/>
                      <w:bCs w:val="0"/>
                      <w:color w:val="auto"/>
                      <w:highlight w:val="none"/>
                      <w:lang w:val="en-US" w:eastAsia="zh-CN"/>
                    </w:rPr>
                    <w:t>危废暂存间地面及四周墙裙脚采用“混凝土+2mm厚HDPE+环氧树脂”进行重点防渗处理，渗透系数≤10-10cm/s，</w:t>
                  </w:r>
                  <w:r>
                    <w:rPr>
                      <w:rFonts w:hint="eastAsia" w:cs="Times New Roman"/>
                      <w:color w:val="auto"/>
                      <w:sz w:val="21"/>
                      <w:szCs w:val="21"/>
                      <w:highlight w:val="none"/>
                      <w:lang w:val="zh-CN"/>
                    </w:rPr>
                    <w:t>氨水储罐区域</w:t>
                  </w:r>
                  <w:r>
                    <w:rPr>
                      <w:rFonts w:hint="default" w:ascii="Times New Roman" w:hAnsi="Times New Roman" w:eastAsia="宋体" w:cs="Times New Roman"/>
                      <w:color w:val="auto"/>
                      <w:sz w:val="21"/>
                      <w:szCs w:val="21"/>
                      <w:highlight w:val="none"/>
                    </w:rPr>
                    <w:t>应</w:t>
                  </w:r>
                  <w:r>
                    <w:rPr>
                      <w:rFonts w:hint="default" w:ascii="Times New Roman" w:hAnsi="Times New Roman" w:eastAsia="宋体" w:cs="Times New Roman"/>
                      <w:color w:val="auto"/>
                      <w:sz w:val="21"/>
                      <w:szCs w:val="21"/>
                      <w:highlight w:val="none"/>
                      <w:lang w:val="zh-CN"/>
                    </w:rPr>
                    <w:t>按照</w:t>
                  </w:r>
                  <w:r>
                    <w:rPr>
                      <w:rFonts w:hint="eastAsia" w:cs="Times New Roman"/>
                      <w:color w:val="auto"/>
                      <w:sz w:val="21"/>
                      <w:szCs w:val="21"/>
                      <w:highlight w:val="none"/>
                      <w:lang w:val="zh-CN"/>
                    </w:rPr>
                    <w:t>等</w:t>
                  </w:r>
                  <w:r>
                    <w:rPr>
                      <w:rFonts w:hint="default" w:ascii="Times New Roman" w:hAnsi="Times New Roman" w:eastAsia="宋体" w:cs="Times New Roman"/>
                      <w:color w:val="auto"/>
                      <w:kern w:val="2"/>
                      <w:sz w:val="21"/>
                      <w:szCs w:val="21"/>
                      <w:highlight w:val="none"/>
                    </w:rPr>
                    <w:t>效黏土防渗层厚度Mb≥6m，渗透系数K≤1.0×10</w:t>
                  </w:r>
                  <w:r>
                    <w:rPr>
                      <w:rFonts w:hint="default" w:ascii="Times New Roman" w:hAnsi="Times New Roman" w:eastAsia="宋体" w:cs="Times New Roman"/>
                      <w:color w:val="auto"/>
                      <w:kern w:val="2"/>
                      <w:sz w:val="21"/>
                      <w:szCs w:val="21"/>
                      <w:highlight w:val="none"/>
                      <w:vertAlign w:val="superscript"/>
                    </w:rPr>
                    <w:t>-</w:t>
                  </w:r>
                  <w:r>
                    <w:rPr>
                      <w:rFonts w:hint="eastAsia" w:ascii="Times New Roman" w:hAnsi="Times New Roman" w:eastAsia="宋体" w:cs="Times New Roman"/>
                      <w:color w:val="auto"/>
                      <w:kern w:val="2"/>
                      <w:sz w:val="21"/>
                      <w:szCs w:val="21"/>
                      <w:highlight w:val="none"/>
                      <w:vertAlign w:val="superscript"/>
                      <w:lang w:val="en-US" w:eastAsia="zh-CN"/>
                    </w:rPr>
                    <w:t>7</w:t>
                  </w:r>
                  <w:r>
                    <w:rPr>
                      <w:rFonts w:hint="default" w:ascii="Times New Roman" w:hAnsi="Times New Roman" w:eastAsia="宋体" w:cs="Times New Roman"/>
                      <w:color w:val="auto"/>
                      <w:kern w:val="2"/>
                      <w:sz w:val="21"/>
                      <w:szCs w:val="21"/>
                      <w:highlight w:val="none"/>
                    </w:rPr>
                    <w:t>cm/s</w:t>
                  </w:r>
                  <w:r>
                    <w:rPr>
                      <w:rFonts w:hint="default" w:ascii="Times New Roman" w:hAnsi="Times New Roman" w:eastAsia="宋体" w:cs="Times New Roman"/>
                      <w:color w:val="auto"/>
                      <w:sz w:val="21"/>
                      <w:szCs w:val="21"/>
                      <w:highlight w:val="none"/>
                    </w:rPr>
                    <w:t>进行重点防渗</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highlight w:val="none"/>
                      <w:lang w:val="en-US" w:eastAsia="zh-CN"/>
                    </w:rPr>
                    <w:t>并按照要求设置规范的标识、标牌。</w:t>
                  </w:r>
                </w:p>
                <w:p w14:paraId="4D460A4D">
                  <w:pPr>
                    <w:widowControl/>
                    <w:spacing w:line="240" w:lineRule="auto"/>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一般防渗区：</w:t>
                  </w:r>
                  <w:r>
                    <w:rPr>
                      <w:rFonts w:hint="default" w:ascii="Times New Roman" w:hAnsi="Times New Roman" w:eastAsia="宋体" w:cs="Times New Roman"/>
                      <w:b w:val="0"/>
                      <w:bCs w:val="0"/>
                      <w:color w:val="auto"/>
                      <w:highlight w:val="none"/>
                      <w:lang w:val="en-US" w:eastAsia="zh-CN"/>
                    </w:rPr>
                    <w:t>循环冷却水池、化粪池、一体化污水处理站、蓄水池、事故应急池、一般固体废物暂存区防渗技术要求达到等效黏土防渗层Mb≥1.5m，渗透系数≤10</w:t>
                  </w:r>
                  <w:r>
                    <w:rPr>
                      <w:rFonts w:hint="default" w:ascii="Times New Roman" w:hAnsi="Times New Roman" w:eastAsia="宋体" w:cs="Times New Roman"/>
                      <w:b w:val="0"/>
                      <w:bCs w:val="0"/>
                      <w:color w:val="auto"/>
                      <w:highlight w:val="none"/>
                      <w:vertAlign w:val="superscript"/>
                      <w:lang w:val="en-US" w:eastAsia="zh-CN"/>
                    </w:rPr>
                    <w:t>-7</w:t>
                  </w:r>
                  <w:r>
                    <w:rPr>
                      <w:rFonts w:hint="default" w:ascii="Times New Roman" w:hAnsi="Times New Roman" w:eastAsia="宋体" w:cs="Times New Roman"/>
                      <w:b w:val="0"/>
                      <w:bCs w:val="0"/>
                      <w:color w:val="auto"/>
                      <w:highlight w:val="none"/>
                      <w:lang w:val="en-US" w:eastAsia="zh-CN"/>
                    </w:rPr>
                    <w:t>cm/s。</w:t>
                  </w:r>
                </w:p>
                <w:p w14:paraId="5BEF4734">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highlight w:val="none"/>
                      <w:lang w:val="en-US" w:eastAsia="zh-CN"/>
                    </w:rPr>
                    <w:t>简单防渗区：</w:t>
                  </w:r>
                  <w:r>
                    <w:rPr>
                      <w:rFonts w:hint="default" w:ascii="Times New Roman" w:hAnsi="Times New Roman" w:eastAsia="宋体" w:cs="Times New Roman"/>
                      <w:b w:val="0"/>
                      <w:bCs w:val="0"/>
                      <w:color w:val="auto"/>
                      <w:highlight w:val="none"/>
                      <w:lang w:val="en-US" w:eastAsia="zh-CN"/>
                    </w:rPr>
                    <w:t>其余生产区、道路及办公区域（除绿化外）进行一般硬化处理。</w:t>
                  </w:r>
                </w:p>
              </w:tc>
              <w:tc>
                <w:tcPr>
                  <w:tcW w:w="1138" w:type="dxa"/>
                  <w:vMerge w:val="continue"/>
                  <w:vAlign w:val="center"/>
                </w:tcPr>
                <w:p w14:paraId="3E5E0133">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14:paraId="3192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gridSpan w:val="2"/>
                  <w:vAlign w:val="center"/>
                </w:tcPr>
                <w:p w14:paraId="61BF624D">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绿化</w:t>
                  </w:r>
                </w:p>
              </w:tc>
              <w:tc>
                <w:tcPr>
                  <w:tcW w:w="6257" w:type="dxa"/>
                  <w:gridSpan w:val="3"/>
                  <w:vAlign w:val="center"/>
                </w:tcPr>
                <w:p w14:paraId="16AAF887">
                  <w:pPr>
                    <w:widowControl/>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厂区</w:t>
                  </w:r>
                  <w:r>
                    <w:rPr>
                      <w:rFonts w:hint="default" w:ascii="Times New Roman" w:hAnsi="Times New Roman" w:eastAsia="宋体" w:cs="Times New Roman"/>
                      <w:color w:val="auto"/>
                      <w:kern w:val="0"/>
                      <w:sz w:val="21"/>
                      <w:szCs w:val="21"/>
                      <w:highlight w:val="none"/>
                      <w:lang w:val="en-US" w:eastAsia="zh-CN"/>
                    </w:rPr>
                    <w:t>拟设置</w:t>
                  </w:r>
                  <w:r>
                    <w:rPr>
                      <w:rFonts w:hint="default" w:ascii="Times New Roman" w:hAnsi="Times New Roman" w:eastAsia="宋体" w:cs="Times New Roman"/>
                      <w:color w:val="auto"/>
                      <w:kern w:val="0"/>
                      <w:sz w:val="21"/>
                      <w:szCs w:val="21"/>
                      <w:highlight w:val="none"/>
                    </w:rPr>
                    <w:t>面积约</w:t>
                  </w:r>
                  <w:r>
                    <w:rPr>
                      <w:rFonts w:hint="default" w:ascii="Times New Roman" w:hAnsi="Times New Roman" w:eastAsia="宋体" w:cs="Times New Roman"/>
                      <w:color w:val="auto"/>
                      <w:kern w:val="0"/>
                      <w:sz w:val="21"/>
                      <w:szCs w:val="21"/>
                      <w:highlight w:val="none"/>
                      <w:lang w:val="en-US" w:eastAsia="zh-CN"/>
                    </w:rPr>
                    <w:t>为</w:t>
                  </w:r>
                  <w:r>
                    <w:rPr>
                      <w:rFonts w:hint="eastAsia" w:cs="Times New Roman"/>
                      <w:color w:val="auto"/>
                      <w:kern w:val="0"/>
                      <w:sz w:val="21"/>
                      <w:szCs w:val="21"/>
                      <w:highlight w:val="none"/>
                      <w:lang w:val="en-US" w:eastAsia="zh-CN"/>
                    </w:rPr>
                    <w:t>7336.8</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的</w:t>
                  </w:r>
                  <w:r>
                    <w:rPr>
                      <w:rFonts w:hint="default" w:ascii="Times New Roman" w:hAnsi="Times New Roman" w:eastAsia="宋体" w:cs="Times New Roman"/>
                      <w:color w:val="auto"/>
                      <w:kern w:val="0"/>
                      <w:sz w:val="21"/>
                      <w:szCs w:val="21"/>
                      <w:highlight w:val="none"/>
                    </w:rPr>
                    <w:t>绿化。</w:t>
                  </w:r>
                </w:p>
              </w:tc>
              <w:tc>
                <w:tcPr>
                  <w:tcW w:w="1138" w:type="dxa"/>
                  <w:vMerge w:val="continue"/>
                  <w:vAlign w:val="center"/>
                </w:tcPr>
                <w:p w14:paraId="488B987D">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bl>
          <w:p w14:paraId="5047F9E1">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3、产品方案及规模</w:t>
            </w:r>
          </w:p>
          <w:p w14:paraId="3EDB9F5E">
            <w:pPr>
              <w:widowControl/>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建成后</w:t>
            </w:r>
            <w:r>
              <w:rPr>
                <w:rFonts w:hint="default" w:ascii="Times New Roman" w:hAnsi="Times New Roman" w:eastAsia="宋体" w:cs="Times New Roman"/>
                <w:color w:val="auto"/>
                <w:sz w:val="24"/>
                <w:szCs w:val="24"/>
                <w:highlight w:val="none"/>
                <w:lang w:val="en-US" w:eastAsia="zh-CN"/>
              </w:rPr>
              <w:t>年</w:t>
            </w:r>
            <w:r>
              <w:rPr>
                <w:rFonts w:hint="eastAsia"/>
                <w:color w:val="auto"/>
                <w:sz w:val="24"/>
                <w:szCs w:val="24"/>
                <w:highlight w:val="none"/>
                <w:lang w:eastAsia="zh-CN"/>
              </w:rPr>
              <w:t>处理</w:t>
            </w:r>
            <w:r>
              <w:rPr>
                <w:rFonts w:hint="eastAsia"/>
                <w:color w:val="auto"/>
                <w:sz w:val="24"/>
                <w:szCs w:val="24"/>
                <w:highlight w:val="none"/>
                <w:lang w:val="en-US" w:eastAsia="zh-CN"/>
              </w:rPr>
              <w:t>100万吨褐煤，根据业主提供的热平衡相关资料及物料平衡详细计算出，年产提质后的褐煤</w:t>
            </w:r>
            <w:r>
              <w:rPr>
                <w:rFonts w:hint="eastAsia" w:cs="Times New Roman"/>
                <w:i w:val="0"/>
                <w:iCs w:val="0"/>
                <w:color w:val="auto"/>
                <w:kern w:val="2"/>
                <w:sz w:val="24"/>
                <w:szCs w:val="24"/>
                <w:highlight w:val="none"/>
                <w:u w:val="none"/>
                <w:lang w:val="en-US" w:eastAsia="zh-CN" w:bidi="ar-SA"/>
              </w:rPr>
              <w:t>714074.1223</w:t>
            </w:r>
            <w:r>
              <w:rPr>
                <w:rFonts w:hint="eastAsia"/>
                <w:color w:val="auto"/>
                <w:sz w:val="24"/>
                <w:szCs w:val="24"/>
                <w:highlight w:val="none"/>
                <w:lang w:val="en-US" w:eastAsia="zh-CN"/>
              </w:rPr>
              <w:t>吨。</w:t>
            </w:r>
            <w:r>
              <w:rPr>
                <w:rFonts w:hint="default" w:ascii="Times New Roman" w:hAnsi="Times New Roman" w:eastAsia="宋体" w:cs="Times New Roman"/>
                <w:color w:val="auto"/>
                <w:sz w:val="24"/>
                <w:szCs w:val="24"/>
                <w:highlight w:val="none"/>
                <w:lang w:val="en-US" w:eastAsia="zh-CN"/>
              </w:rPr>
              <w:t>项目主要产品见表2-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p>
          <w:p w14:paraId="5F9284A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项目</w:t>
            </w:r>
            <w:r>
              <w:rPr>
                <w:rFonts w:hint="default" w:ascii="Times New Roman" w:hAnsi="Times New Roman" w:eastAsia="宋体" w:cs="Times New Roman"/>
                <w:b/>
                <w:bCs/>
                <w:color w:val="auto"/>
                <w:sz w:val="21"/>
                <w:szCs w:val="21"/>
                <w:highlight w:val="none"/>
                <w:lang w:val="en-US" w:eastAsia="zh-CN"/>
              </w:rPr>
              <w:t>产品方案</w:t>
            </w:r>
            <w:r>
              <w:rPr>
                <w:rFonts w:hint="default" w:ascii="Times New Roman" w:hAnsi="Times New Roman" w:eastAsia="宋体" w:cs="Times New Roman"/>
                <w:b/>
                <w:bCs/>
                <w:color w:val="auto"/>
                <w:sz w:val="21"/>
                <w:szCs w:val="21"/>
                <w:highlight w:val="none"/>
              </w:rPr>
              <w:t>一览表</w:t>
            </w:r>
          </w:p>
          <w:tbl>
            <w:tblPr>
              <w:tblStyle w:val="27"/>
              <w:tblW w:w="8152" w:type="dxa"/>
              <w:jc w:val="center"/>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
            <w:tblGrid>
              <w:gridCol w:w="3625"/>
              <w:gridCol w:w="4527"/>
            </w:tblGrid>
            <w:tr w14:paraId="729FFADF">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3625" w:type="dxa"/>
                  <w:tcBorders>
                    <w:tl2br w:val="nil"/>
                    <w:tr2bl w:val="nil"/>
                  </w:tcBorders>
                  <w:vAlign w:val="center"/>
                </w:tcPr>
                <w:p w14:paraId="482F790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产品</w:t>
                  </w:r>
                  <w:r>
                    <w:rPr>
                      <w:rFonts w:hint="default" w:ascii="Times New Roman" w:hAnsi="Times New Roman" w:eastAsia="宋体" w:cs="Times New Roman"/>
                      <w:b/>
                      <w:bCs/>
                      <w:color w:val="auto"/>
                      <w:sz w:val="21"/>
                      <w:szCs w:val="21"/>
                      <w:highlight w:val="none"/>
                    </w:rPr>
                    <w:t>名称</w:t>
                  </w:r>
                </w:p>
              </w:tc>
              <w:tc>
                <w:tcPr>
                  <w:tcW w:w="4527" w:type="dxa"/>
                  <w:tcBorders>
                    <w:tl2br w:val="nil"/>
                    <w:tr2bl w:val="nil"/>
                  </w:tcBorders>
                  <w:vAlign w:val="center"/>
                </w:tcPr>
                <w:p w14:paraId="658871F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产量（t/a）</w:t>
                  </w:r>
                </w:p>
              </w:tc>
            </w:tr>
            <w:tr w14:paraId="47CE8FED">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3625" w:type="dxa"/>
                  <w:tcBorders>
                    <w:tl2br w:val="nil"/>
                    <w:tr2bl w:val="nil"/>
                  </w:tcBorders>
                  <w:vAlign w:val="center"/>
                </w:tcPr>
                <w:p w14:paraId="041F7214">
                  <w:pPr>
                    <w:keepNext w:val="0"/>
                    <w:keepLines w:val="0"/>
                    <w:widowControl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优质褐煤</w:t>
                  </w:r>
                </w:p>
              </w:tc>
              <w:tc>
                <w:tcPr>
                  <w:tcW w:w="4527" w:type="dxa"/>
                  <w:tcBorders>
                    <w:tl2br w:val="nil"/>
                    <w:tr2bl w:val="nil"/>
                  </w:tcBorders>
                  <w:vAlign w:val="center"/>
                </w:tcPr>
                <w:p w14:paraId="715A20A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2"/>
                      <w:sz w:val="21"/>
                      <w:szCs w:val="21"/>
                      <w:highlight w:val="none"/>
                      <w:u w:val="none"/>
                      <w:lang w:val="en-US" w:eastAsia="zh-CN" w:bidi="ar-SA"/>
                    </w:rPr>
                    <w:t>714074.1223</w:t>
                  </w:r>
                  <w:r>
                    <w:rPr>
                      <w:rFonts w:hint="default" w:cs="Times New Roman"/>
                      <w:color w:val="auto"/>
                      <w:sz w:val="21"/>
                      <w:szCs w:val="21"/>
                      <w:highlight w:val="none"/>
                      <w:lang w:val="en-US" w:eastAsia="zh-CN"/>
                    </w:rPr>
                    <w:t>t/a</w:t>
                  </w:r>
                </w:p>
              </w:tc>
            </w:tr>
            <w:tr w14:paraId="5103C1F1">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8152" w:type="dxa"/>
                  <w:gridSpan w:val="2"/>
                  <w:tcBorders>
                    <w:tl2br w:val="nil"/>
                    <w:tr2bl w:val="nil"/>
                  </w:tcBorders>
                  <w:vAlign w:val="center"/>
                </w:tcPr>
                <w:p w14:paraId="0AAA37BE">
                  <w:pPr>
                    <w:keepNext w:val="0"/>
                    <w:keepLines w:val="0"/>
                    <w:widowControl w:val="0"/>
                    <w:suppressLineNumbers w:val="0"/>
                    <w:spacing w:before="0" w:beforeAutospacing="0" w:after="0" w:afterAutospacing="0"/>
                    <w:ind w:left="0" w:leftChars="0" w:right="0" w:rightChars="0"/>
                    <w:jc w:val="both"/>
                    <w:rPr>
                      <w:rFonts w:hint="default"/>
                      <w:color w:val="auto"/>
                      <w:sz w:val="21"/>
                      <w:szCs w:val="21"/>
                      <w:highlight w:val="none"/>
                      <w:lang w:val="en-US" w:eastAsia="zh-CN"/>
                    </w:rPr>
                  </w:pPr>
                  <w:r>
                    <w:rPr>
                      <w:rFonts w:hint="eastAsia"/>
                      <w:color w:val="auto"/>
                      <w:sz w:val="21"/>
                      <w:szCs w:val="21"/>
                      <w:highlight w:val="none"/>
                      <w:lang w:val="en-US" w:eastAsia="zh-CN"/>
                    </w:rPr>
                    <w:t>产品质量要求：褐煤水分为30%。</w:t>
                  </w:r>
                </w:p>
              </w:tc>
            </w:tr>
          </w:tbl>
          <w:p w14:paraId="13B761A0">
            <w:pPr>
              <w:widowControl/>
              <w:snapToGrid w:val="0"/>
              <w:spacing w:line="360" w:lineRule="auto"/>
              <w:ind w:firstLine="480" w:firstLineChars="200"/>
              <w:rPr>
                <w:bCs/>
                <w:color w:val="auto"/>
                <w:sz w:val="24"/>
                <w:highlight w:val="none"/>
              </w:rPr>
            </w:pPr>
            <w:r>
              <w:rPr>
                <w:rFonts w:hint="eastAsia"/>
                <w:color w:val="auto"/>
                <w:sz w:val="24"/>
                <w:highlight w:val="none"/>
              </w:rPr>
              <w:t>产品质量执行《提质煤煤质特征评价技术指南》</w:t>
            </w:r>
            <w:r>
              <w:rPr>
                <w:rFonts w:hint="eastAsia"/>
                <w:color w:val="auto"/>
                <w:sz w:val="24"/>
                <w:highlight w:val="none"/>
                <w:lang w:eastAsia="zh-CN"/>
              </w:rPr>
              <w:t>（</w:t>
            </w:r>
            <w:r>
              <w:rPr>
                <w:rFonts w:hint="eastAsia"/>
                <w:color w:val="auto"/>
                <w:sz w:val="24"/>
                <w:highlight w:val="none"/>
                <w:lang w:val="en-US" w:eastAsia="zh-CN"/>
              </w:rPr>
              <w:t>GB/T35058-2018</w:t>
            </w:r>
            <w:r>
              <w:rPr>
                <w:rFonts w:hint="eastAsia"/>
                <w:color w:val="auto"/>
                <w:sz w:val="24"/>
                <w:highlight w:val="none"/>
                <w:lang w:eastAsia="zh-CN"/>
              </w:rPr>
              <w:t>）及</w:t>
            </w:r>
            <w:r>
              <w:rPr>
                <w:rFonts w:hint="eastAsia"/>
                <w:color w:val="auto"/>
                <w:sz w:val="24"/>
                <w:highlight w:val="none"/>
              </w:rPr>
              <w:t>《</w:t>
            </w:r>
            <w:r>
              <w:rPr>
                <w:rFonts w:hint="eastAsia"/>
                <w:color w:val="auto"/>
                <w:sz w:val="24"/>
                <w:highlight w:val="none"/>
                <w:lang w:eastAsia="zh-CN"/>
              </w:rPr>
              <w:t>商品</w:t>
            </w:r>
            <w:r>
              <w:rPr>
                <w:rFonts w:hint="eastAsia"/>
                <w:color w:val="auto"/>
                <w:sz w:val="24"/>
                <w:highlight w:val="none"/>
              </w:rPr>
              <w:t>煤</w:t>
            </w:r>
            <w:r>
              <w:rPr>
                <w:rFonts w:hint="eastAsia"/>
                <w:color w:val="auto"/>
                <w:sz w:val="24"/>
                <w:highlight w:val="none"/>
                <w:lang w:eastAsia="zh-CN"/>
              </w:rPr>
              <w:t>质量评价与控制技术指</w:t>
            </w:r>
            <w:r>
              <w:rPr>
                <w:rFonts w:hint="eastAsia"/>
                <w:color w:val="auto"/>
                <w:sz w:val="24"/>
                <w:highlight w:val="none"/>
              </w:rPr>
              <w:t>南》</w:t>
            </w:r>
            <w:r>
              <w:rPr>
                <w:rFonts w:hint="eastAsia"/>
                <w:color w:val="auto"/>
                <w:sz w:val="24"/>
                <w:highlight w:val="none"/>
                <w:lang w:eastAsia="zh-CN"/>
              </w:rPr>
              <w:t>（</w:t>
            </w:r>
            <w:r>
              <w:rPr>
                <w:rFonts w:hint="eastAsia"/>
                <w:color w:val="auto"/>
                <w:sz w:val="24"/>
                <w:highlight w:val="none"/>
                <w:lang w:val="en-US" w:eastAsia="zh-CN"/>
              </w:rPr>
              <w:t>GB/T31356-2014</w:t>
            </w:r>
            <w:r>
              <w:rPr>
                <w:rFonts w:hint="eastAsia"/>
                <w:color w:val="auto"/>
                <w:sz w:val="24"/>
                <w:highlight w:val="none"/>
                <w:lang w:eastAsia="zh-CN"/>
              </w:rPr>
              <w:t>）</w:t>
            </w:r>
            <w:r>
              <w:rPr>
                <w:rFonts w:hint="eastAsia"/>
                <w:color w:val="auto"/>
                <w:sz w:val="24"/>
                <w:highlight w:val="none"/>
              </w:rPr>
              <w:t>中相关要求，具体要求见表2-</w:t>
            </w:r>
            <w:r>
              <w:rPr>
                <w:rFonts w:hint="eastAsia"/>
                <w:color w:val="auto"/>
                <w:sz w:val="24"/>
                <w:highlight w:val="none"/>
                <w:lang w:val="en-US" w:eastAsia="zh-CN"/>
              </w:rPr>
              <w:t>3</w:t>
            </w:r>
            <w:r>
              <w:rPr>
                <w:rFonts w:hint="eastAsia"/>
                <w:color w:val="auto"/>
                <w:sz w:val="24"/>
                <w:highlight w:val="none"/>
                <w:lang w:eastAsia="zh-CN"/>
              </w:rPr>
              <w:t>、表</w:t>
            </w:r>
            <w:r>
              <w:rPr>
                <w:rFonts w:hint="eastAsia"/>
                <w:color w:val="auto"/>
                <w:sz w:val="24"/>
                <w:highlight w:val="none"/>
                <w:lang w:val="en-US" w:eastAsia="zh-CN"/>
              </w:rPr>
              <w:t>2-4、表2-5</w:t>
            </w:r>
            <w:r>
              <w:rPr>
                <w:rFonts w:hint="eastAsia"/>
                <w:color w:val="auto"/>
                <w:sz w:val="24"/>
                <w:highlight w:val="none"/>
              </w:rPr>
              <w:t>。</w:t>
            </w:r>
          </w:p>
          <w:p w14:paraId="6C029879">
            <w:pPr>
              <w:jc w:val="center"/>
              <w:rPr>
                <w:rFonts w:hint="eastAsia" w:eastAsia="宋体"/>
                <w:b/>
                <w:snapToGrid w:val="0"/>
                <w:color w:val="auto"/>
                <w:kern w:val="0"/>
                <w:szCs w:val="21"/>
                <w:highlight w:val="none"/>
                <w:lang w:val="en-US" w:eastAsia="zh-CN"/>
              </w:rPr>
            </w:pPr>
            <w:r>
              <w:rPr>
                <w:b/>
                <w:snapToGrid w:val="0"/>
                <w:color w:val="auto"/>
                <w:kern w:val="0"/>
                <w:szCs w:val="21"/>
                <w:highlight w:val="none"/>
              </w:rPr>
              <w:t>表</w:t>
            </w:r>
            <w:r>
              <w:rPr>
                <w:rFonts w:hint="eastAsia"/>
                <w:b/>
                <w:snapToGrid w:val="0"/>
                <w:color w:val="auto"/>
                <w:kern w:val="0"/>
                <w:szCs w:val="21"/>
                <w:highlight w:val="none"/>
              </w:rPr>
              <w:t>2</w:t>
            </w:r>
            <w:r>
              <w:rPr>
                <w:b/>
                <w:snapToGrid w:val="0"/>
                <w:color w:val="auto"/>
                <w:kern w:val="0"/>
                <w:szCs w:val="21"/>
                <w:highlight w:val="none"/>
              </w:rPr>
              <w:t>-</w:t>
            </w:r>
            <w:r>
              <w:rPr>
                <w:rFonts w:hint="eastAsia"/>
                <w:b/>
                <w:snapToGrid w:val="0"/>
                <w:color w:val="auto"/>
                <w:kern w:val="0"/>
                <w:szCs w:val="21"/>
                <w:highlight w:val="none"/>
                <w:lang w:val="en-US" w:eastAsia="zh-CN"/>
              </w:rPr>
              <w:t>3</w:t>
            </w:r>
            <w:r>
              <w:rPr>
                <w:b/>
                <w:snapToGrid w:val="0"/>
                <w:color w:val="auto"/>
                <w:kern w:val="0"/>
                <w:szCs w:val="21"/>
                <w:highlight w:val="none"/>
              </w:rPr>
              <w:t xml:space="preserve"> </w:t>
            </w:r>
            <w:r>
              <w:rPr>
                <w:rFonts w:hint="eastAsia"/>
                <w:b/>
                <w:snapToGrid w:val="0"/>
                <w:color w:val="auto"/>
                <w:kern w:val="0"/>
                <w:szCs w:val="21"/>
                <w:highlight w:val="none"/>
              </w:rPr>
              <w:t xml:space="preserve"> </w:t>
            </w:r>
            <w:r>
              <w:rPr>
                <w:rFonts w:hint="eastAsia"/>
                <w:b/>
                <w:snapToGrid w:val="0"/>
                <w:color w:val="auto"/>
                <w:kern w:val="0"/>
                <w:szCs w:val="21"/>
                <w:highlight w:val="none"/>
                <w:lang w:eastAsia="zh-CN"/>
              </w:rPr>
              <w:t>脱水提质煤质量评价指标</w:t>
            </w:r>
            <w:r>
              <w:rPr>
                <w:rFonts w:hint="eastAsia"/>
                <w:b/>
                <w:bCs w:val="0"/>
                <w:snapToGrid w:val="0"/>
                <w:color w:val="auto"/>
                <w:kern w:val="0"/>
                <w:sz w:val="21"/>
                <w:szCs w:val="21"/>
                <w:highlight w:val="none"/>
                <w:lang w:eastAsia="zh-CN"/>
              </w:rPr>
              <w:t>（</w:t>
            </w:r>
            <w:r>
              <w:rPr>
                <w:rFonts w:hint="eastAsia"/>
                <w:b/>
                <w:bCs w:val="0"/>
                <w:color w:val="auto"/>
                <w:sz w:val="21"/>
                <w:szCs w:val="21"/>
                <w:highlight w:val="none"/>
                <w:lang w:val="en-US" w:eastAsia="zh-CN"/>
              </w:rPr>
              <w:t>GB/T35058-2018</w:t>
            </w:r>
            <w:r>
              <w:rPr>
                <w:rFonts w:hint="eastAsia"/>
                <w:b/>
                <w:bCs w:val="0"/>
                <w:snapToGrid w:val="0"/>
                <w:color w:val="auto"/>
                <w:kern w:val="0"/>
                <w:sz w:val="21"/>
                <w:szCs w:val="21"/>
                <w:highlight w:val="none"/>
                <w:lang w:eastAsia="zh-CN"/>
              </w:rPr>
              <w:t>）</w:t>
            </w:r>
          </w:p>
          <w:tbl>
            <w:tblPr>
              <w:tblStyle w:val="27"/>
              <w:tblW w:w="829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257"/>
              <w:gridCol w:w="1987"/>
              <w:gridCol w:w="2025"/>
              <w:gridCol w:w="2025"/>
            </w:tblGrid>
            <w:tr w14:paraId="7EF61F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4244" w:type="dxa"/>
                  <w:gridSpan w:val="2"/>
                </w:tcPr>
                <w:p w14:paraId="3BF37434">
                  <w:pPr>
                    <w:jc w:val="center"/>
                    <w:rPr>
                      <w:rFonts w:hint="eastAsia" w:eastAsia="宋体"/>
                      <w:b/>
                      <w:color w:val="auto"/>
                      <w:szCs w:val="21"/>
                      <w:highlight w:val="none"/>
                      <w:lang w:eastAsia="zh-CN"/>
                    </w:rPr>
                  </w:pPr>
                  <w:r>
                    <w:rPr>
                      <w:rFonts w:hint="eastAsia"/>
                      <w:b/>
                      <w:bCs/>
                      <w:color w:val="auto"/>
                      <w:szCs w:val="21"/>
                      <w:highlight w:val="none"/>
                      <w:lang w:eastAsia="zh-CN"/>
                    </w:rPr>
                    <w:t>一类指标</w:t>
                  </w:r>
                </w:p>
              </w:tc>
              <w:tc>
                <w:tcPr>
                  <w:tcW w:w="4050" w:type="dxa"/>
                  <w:gridSpan w:val="2"/>
                  <w:vAlign w:val="top"/>
                </w:tcPr>
                <w:p w14:paraId="0672A012">
                  <w:pPr>
                    <w:jc w:val="center"/>
                    <w:rPr>
                      <w:rFonts w:hint="eastAsia" w:eastAsia="宋体"/>
                      <w:b/>
                      <w:color w:val="auto"/>
                      <w:szCs w:val="21"/>
                      <w:highlight w:val="none"/>
                      <w:lang w:val="en-US" w:eastAsia="zh-CN"/>
                    </w:rPr>
                  </w:pPr>
                  <w:r>
                    <w:rPr>
                      <w:rFonts w:hint="eastAsia"/>
                      <w:b/>
                      <w:color w:val="auto"/>
                      <w:szCs w:val="21"/>
                      <w:highlight w:val="none"/>
                      <w:lang w:eastAsia="zh-CN"/>
                    </w:rPr>
                    <w:t>二类指标</w:t>
                  </w:r>
                </w:p>
              </w:tc>
            </w:tr>
            <w:tr w14:paraId="363D50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2257" w:type="dxa"/>
                </w:tcPr>
                <w:p w14:paraId="4E3A8284">
                  <w:pPr>
                    <w:jc w:val="center"/>
                    <w:rPr>
                      <w:rFonts w:hint="eastAsia" w:eastAsia="宋体"/>
                      <w:b/>
                      <w:bCs/>
                      <w:color w:val="auto"/>
                      <w:szCs w:val="21"/>
                      <w:highlight w:val="none"/>
                      <w:lang w:eastAsia="zh-CN"/>
                    </w:rPr>
                  </w:pPr>
                  <w:r>
                    <w:rPr>
                      <w:rFonts w:hint="eastAsia"/>
                      <w:b/>
                      <w:bCs/>
                      <w:color w:val="auto"/>
                      <w:szCs w:val="21"/>
                      <w:highlight w:val="none"/>
                      <w:lang w:eastAsia="zh-CN"/>
                    </w:rPr>
                    <w:t>指标</w:t>
                  </w:r>
                </w:p>
              </w:tc>
              <w:tc>
                <w:tcPr>
                  <w:tcW w:w="1987" w:type="dxa"/>
                </w:tcPr>
                <w:p w14:paraId="44303F26">
                  <w:pPr>
                    <w:jc w:val="center"/>
                    <w:rPr>
                      <w:rFonts w:hint="eastAsia" w:eastAsia="宋体"/>
                      <w:b/>
                      <w:bCs/>
                      <w:color w:val="auto"/>
                      <w:szCs w:val="21"/>
                      <w:highlight w:val="none"/>
                      <w:lang w:eastAsia="zh-CN"/>
                    </w:rPr>
                  </w:pPr>
                  <w:r>
                    <w:rPr>
                      <w:rFonts w:hint="eastAsia"/>
                      <w:b/>
                      <w:bCs/>
                      <w:color w:val="auto"/>
                      <w:szCs w:val="21"/>
                      <w:highlight w:val="none"/>
                      <w:lang w:eastAsia="zh-CN"/>
                    </w:rPr>
                    <w:t>单位</w:t>
                  </w:r>
                </w:p>
              </w:tc>
              <w:tc>
                <w:tcPr>
                  <w:tcW w:w="2025" w:type="dxa"/>
                  <w:vAlign w:val="top"/>
                </w:tcPr>
                <w:p w14:paraId="506A5795">
                  <w:pPr>
                    <w:jc w:val="center"/>
                    <w:rPr>
                      <w:rFonts w:hint="eastAsia"/>
                      <w:b/>
                      <w:color w:val="auto"/>
                      <w:szCs w:val="21"/>
                      <w:highlight w:val="none"/>
                    </w:rPr>
                  </w:pPr>
                  <w:r>
                    <w:rPr>
                      <w:rFonts w:hint="eastAsia"/>
                      <w:b/>
                      <w:bCs/>
                      <w:color w:val="auto"/>
                      <w:szCs w:val="21"/>
                      <w:highlight w:val="none"/>
                      <w:lang w:eastAsia="zh-CN"/>
                    </w:rPr>
                    <w:t>指标</w:t>
                  </w:r>
                </w:p>
              </w:tc>
              <w:tc>
                <w:tcPr>
                  <w:tcW w:w="2025" w:type="dxa"/>
                  <w:vAlign w:val="top"/>
                </w:tcPr>
                <w:p w14:paraId="020819D3">
                  <w:pPr>
                    <w:jc w:val="center"/>
                    <w:rPr>
                      <w:rFonts w:hint="eastAsia"/>
                      <w:b/>
                      <w:color w:val="auto"/>
                      <w:szCs w:val="21"/>
                      <w:highlight w:val="none"/>
                      <w:lang w:val="en-US" w:eastAsia="zh-CN"/>
                    </w:rPr>
                  </w:pPr>
                  <w:r>
                    <w:rPr>
                      <w:rFonts w:hint="eastAsia"/>
                      <w:b/>
                      <w:bCs/>
                      <w:color w:val="auto"/>
                      <w:szCs w:val="21"/>
                      <w:highlight w:val="none"/>
                      <w:lang w:eastAsia="zh-CN"/>
                    </w:rPr>
                    <w:t>单位</w:t>
                  </w:r>
                </w:p>
              </w:tc>
            </w:tr>
            <w:tr w14:paraId="202DE4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2257" w:type="dxa"/>
                </w:tcPr>
                <w:p w14:paraId="2BD445E2">
                  <w:pPr>
                    <w:jc w:val="center"/>
                    <w:rPr>
                      <w:rFonts w:hint="eastAsia" w:eastAsia="宋体"/>
                      <w:b w:val="0"/>
                      <w:bCs w:val="0"/>
                      <w:color w:val="auto"/>
                      <w:szCs w:val="21"/>
                      <w:highlight w:val="none"/>
                      <w:lang w:eastAsia="zh-CN"/>
                    </w:rPr>
                  </w:pPr>
                  <w:r>
                    <w:rPr>
                      <w:rFonts w:hint="eastAsia"/>
                      <w:b w:val="0"/>
                      <w:bCs w:val="0"/>
                      <w:color w:val="auto"/>
                      <w:szCs w:val="21"/>
                      <w:highlight w:val="none"/>
                      <w:lang w:eastAsia="zh-CN"/>
                    </w:rPr>
                    <w:t>全水分（</w:t>
                  </w:r>
                  <w:r>
                    <w:rPr>
                      <w:rFonts w:hint="eastAsia"/>
                      <w:b w:val="0"/>
                      <w:bCs w:val="0"/>
                      <w:color w:val="auto"/>
                      <w:szCs w:val="21"/>
                      <w:highlight w:val="none"/>
                      <w:lang w:val="en-US" w:eastAsia="zh-CN"/>
                    </w:rPr>
                    <w:t>M</w:t>
                  </w:r>
                  <w:r>
                    <w:rPr>
                      <w:rFonts w:hint="eastAsia"/>
                      <w:b w:val="0"/>
                      <w:bCs w:val="0"/>
                      <w:color w:val="auto"/>
                      <w:szCs w:val="21"/>
                      <w:highlight w:val="none"/>
                      <w:vertAlign w:val="subscript"/>
                      <w:lang w:val="en-US" w:eastAsia="zh-CN"/>
                    </w:rPr>
                    <w:t>t</w:t>
                  </w:r>
                  <w:r>
                    <w:rPr>
                      <w:rFonts w:hint="eastAsia"/>
                      <w:b w:val="0"/>
                      <w:bCs w:val="0"/>
                      <w:color w:val="auto"/>
                      <w:szCs w:val="21"/>
                      <w:highlight w:val="none"/>
                      <w:lang w:eastAsia="zh-CN"/>
                    </w:rPr>
                    <w:t>）</w:t>
                  </w:r>
                </w:p>
              </w:tc>
              <w:tc>
                <w:tcPr>
                  <w:tcW w:w="1987" w:type="dxa"/>
                </w:tcPr>
                <w:p w14:paraId="3D83EED6">
                  <w:pPr>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w:t>
                  </w:r>
                </w:p>
              </w:tc>
              <w:tc>
                <w:tcPr>
                  <w:tcW w:w="2025" w:type="dxa"/>
                  <w:vAlign w:val="top"/>
                </w:tcPr>
                <w:p w14:paraId="4D7A9C71">
                  <w:pPr>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灰分（A</w:t>
                  </w:r>
                  <w:r>
                    <w:rPr>
                      <w:rFonts w:hint="eastAsia"/>
                      <w:b w:val="0"/>
                      <w:bCs w:val="0"/>
                      <w:color w:val="auto"/>
                      <w:szCs w:val="21"/>
                      <w:highlight w:val="none"/>
                      <w:vertAlign w:val="subscript"/>
                      <w:lang w:val="en-US" w:eastAsia="zh-CN"/>
                    </w:rPr>
                    <w:t>d</w:t>
                  </w:r>
                  <w:r>
                    <w:rPr>
                      <w:rFonts w:hint="eastAsia"/>
                      <w:b w:val="0"/>
                      <w:bCs w:val="0"/>
                      <w:color w:val="auto"/>
                      <w:szCs w:val="21"/>
                      <w:highlight w:val="none"/>
                      <w:lang w:val="en-US" w:eastAsia="zh-CN"/>
                    </w:rPr>
                    <w:t>）</w:t>
                  </w:r>
                </w:p>
              </w:tc>
              <w:tc>
                <w:tcPr>
                  <w:tcW w:w="2025" w:type="dxa"/>
                  <w:vAlign w:val="top"/>
                </w:tcPr>
                <w:p w14:paraId="0008B290">
                  <w:pPr>
                    <w:jc w:val="center"/>
                    <w:rPr>
                      <w:rFonts w:hint="default"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w:t>
                  </w:r>
                </w:p>
              </w:tc>
            </w:tr>
            <w:tr w14:paraId="5D1E91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2257" w:type="dxa"/>
                </w:tcPr>
                <w:p w14:paraId="17656E90">
                  <w:pPr>
                    <w:jc w:val="center"/>
                    <w:rPr>
                      <w:rFonts w:hint="eastAsia" w:eastAsia="宋体"/>
                      <w:b w:val="0"/>
                      <w:bCs w:val="0"/>
                      <w:color w:val="auto"/>
                      <w:szCs w:val="21"/>
                      <w:highlight w:val="none"/>
                      <w:lang w:eastAsia="zh-CN"/>
                    </w:rPr>
                  </w:pPr>
                  <w:r>
                    <w:rPr>
                      <w:rFonts w:hint="eastAsia"/>
                      <w:b w:val="0"/>
                      <w:bCs w:val="0"/>
                      <w:color w:val="auto"/>
                      <w:szCs w:val="21"/>
                      <w:highlight w:val="none"/>
                      <w:lang w:eastAsia="zh-CN"/>
                    </w:rPr>
                    <w:t>发热量（</w:t>
                  </w:r>
                  <w:r>
                    <w:rPr>
                      <w:rFonts w:hint="eastAsia"/>
                      <w:b w:val="0"/>
                      <w:bCs w:val="0"/>
                      <w:color w:val="auto"/>
                      <w:szCs w:val="21"/>
                      <w:highlight w:val="none"/>
                      <w:lang w:val="en-US" w:eastAsia="zh-CN"/>
                    </w:rPr>
                    <w:t>Q</w:t>
                  </w:r>
                  <w:r>
                    <w:rPr>
                      <w:rFonts w:hint="eastAsia"/>
                      <w:b w:val="0"/>
                      <w:bCs w:val="0"/>
                      <w:color w:val="auto"/>
                      <w:szCs w:val="21"/>
                      <w:highlight w:val="none"/>
                      <w:vertAlign w:val="subscript"/>
                      <w:lang w:val="en-US" w:eastAsia="zh-CN"/>
                    </w:rPr>
                    <w:t>net</w:t>
                  </w:r>
                  <w:r>
                    <w:rPr>
                      <w:rFonts w:hint="eastAsia"/>
                      <w:b w:val="0"/>
                      <w:bCs w:val="0"/>
                      <w:color w:val="auto"/>
                      <w:szCs w:val="21"/>
                      <w:highlight w:val="none"/>
                      <w:lang w:val="en-US" w:eastAsia="zh-CN"/>
                    </w:rPr>
                    <w:t>，</w:t>
                  </w:r>
                  <w:r>
                    <w:rPr>
                      <w:rFonts w:hint="eastAsia"/>
                      <w:b w:val="0"/>
                      <w:bCs w:val="0"/>
                      <w:color w:val="auto"/>
                      <w:szCs w:val="21"/>
                      <w:highlight w:val="none"/>
                      <w:vertAlign w:val="subscript"/>
                      <w:lang w:val="en-US" w:eastAsia="zh-CN"/>
                    </w:rPr>
                    <w:t>ar</w:t>
                  </w:r>
                  <w:r>
                    <w:rPr>
                      <w:rFonts w:hint="eastAsia"/>
                      <w:b w:val="0"/>
                      <w:bCs w:val="0"/>
                      <w:color w:val="auto"/>
                      <w:szCs w:val="21"/>
                      <w:highlight w:val="none"/>
                      <w:lang w:eastAsia="zh-CN"/>
                    </w:rPr>
                    <w:t>）</w:t>
                  </w:r>
                </w:p>
              </w:tc>
              <w:tc>
                <w:tcPr>
                  <w:tcW w:w="1987" w:type="dxa"/>
                </w:tcPr>
                <w:p w14:paraId="032E4AE1">
                  <w:pPr>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MJ/kg</w:t>
                  </w:r>
                </w:p>
              </w:tc>
              <w:tc>
                <w:tcPr>
                  <w:tcW w:w="2025" w:type="dxa"/>
                  <w:vAlign w:val="top"/>
                </w:tcPr>
                <w:p w14:paraId="38761E92">
                  <w:pPr>
                    <w:jc w:val="center"/>
                    <w:rPr>
                      <w:rFonts w:hint="default" w:eastAsia="宋体"/>
                      <w:b w:val="0"/>
                      <w:bCs w:val="0"/>
                      <w:color w:val="auto"/>
                      <w:szCs w:val="21"/>
                      <w:highlight w:val="none"/>
                      <w:lang w:val="en-US" w:eastAsia="zh-CN"/>
                    </w:rPr>
                  </w:pPr>
                  <w:r>
                    <w:rPr>
                      <w:rFonts w:hint="eastAsia"/>
                      <w:b w:val="0"/>
                      <w:bCs w:val="0"/>
                      <w:color w:val="auto"/>
                      <w:szCs w:val="21"/>
                      <w:highlight w:val="none"/>
                      <w:lang w:eastAsia="zh-CN"/>
                    </w:rPr>
                    <w:t>挥发分（</w:t>
                  </w:r>
                  <w:r>
                    <w:rPr>
                      <w:rFonts w:hint="eastAsia"/>
                      <w:b w:val="0"/>
                      <w:bCs w:val="0"/>
                      <w:color w:val="auto"/>
                      <w:szCs w:val="21"/>
                      <w:highlight w:val="none"/>
                      <w:lang w:val="en-US" w:eastAsia="zh-CN"/>
                    </w:rPr>
                    <w:t>V</w:t>
                  </w:r>
                  <w:r>
                    <w:rPr>
                      <w:rFonts w:hint="eastAsia"/>
                      <w:b w:val="0"/>
                      <w:bCs w:val="0"/>
                      <w:color w:val="auto"/>
                      <w:szCs w:val="21"/>
                      <w:highlight w:val="none"/>
                      <w:vertAlign w:val="subscript"/>
                      <w:lang w:val="en-US" w:eastAsia="zh-CN"/>
                    </w:rPr>
                    <w:t>daf</w:t>
                  </w:r>
                  <w:r>
                    <w:rPr>
                      <w:rFonts w:hint="eastAsia"/>
                      <w:b w:val="0"/>
                      <w:bCs w:val="0"/>
                      <w:color w:val="auto"/>
                      <w:szCs w:val="21"/>
                      <w:highlight w:val="none"/>
                      <w:lang w:eastAsia="zh-CN"/>
                    </w:rPr>
                    <w:t>）</w:t>
                  </w:r>
                </w:p>
              </w:tc>
              <w:tc>
                <w:tcPr>
                  <w:tcW w:w="2025" w:type="dxa"/>
                  <w:vAlign w:val="top"/>
                </w:tcPr>
                <w:p w14:paraId="1B7B099C">
                  <w:pPr>
                    <w:jc w:val="center"/>
                    <w:rPr>
                      <w:rFonts w:hint="default"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w:t>
                  </w:r>
                </w:p>
              </w:tc>
            </w:tr>
            <w:tr w14:paraId="132FC7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2257" w:type="dxa"/>
                </w:tcPr>
                <w:p w14:paraId="4FA56D31">
                  <w:pPr>
                    <w:jc w:val="center"/>
                    <w:rPr>
                      <w:rFonts w:hint="eastAsia"/>
                      <w:b w:val="0"/>
                      <w:bCs w:val="0"/>
                      <w:color w:val="auto"/>
                      <w:szCs w:val="21"/>
                      <w:highlight w:val="none"/>
                      <w:lang w:eastAsia="zh-CN"/>
                    </w:rPr>
                  </w:pPr>
                </w:p>
              </w:tc>
              <w:tc>
                <w:tcPr>
                  <w:tcW w:w="1987" w:type="dxa"/>
                </w:tcPr>
                <w:p w14:paraId="2A9B1ED5">
                  <w:pPr>
                    <w:jc w:val="center"/>
                    <w:rPr>
                      <w:rFonts w:hint="eastAsia"/>
                      <w:b w:val="0"/>
                      <w:bCs w:val="0"/>
                      <w:color w:val="auto"/>
                      <w:szCs w:val="21"/>
                      <w:highlight w:val="none"/>
                      <w:lang w:val="en-US" w:eastAsia="zh-CN"/>
                    </w:rPr>
                  </w:pPr>
                </w:p>
              </w:tc>
              <w:tc>
                <w:tcPr>
                  <w:tcW w:w="2025" w:type="dxa"/>
                  <w:vAlign w:val="top"/>
                </w:tcPr>
                <w:p w14:paraId="08CE0AA8">
                  <w:pPr>
                    <w:jc w:val="center"/>
                    <w:rPr>
                      <w:rFonts w:hint="default" w:eastAsia="宋体"/>
                      <w:b w:val="0"/>
                      <w:bCs w:val="0"/>
                      <w:color w:val="auto"/>
                      <w:szCs w:val="21"/>
                      <w:highlight w:val="none"/>
                      <w:lang w:val="en-US" w:eastAsia="zh-CN"/>
                    </w:rPr>
                  </w:pPr>
                  <w:r>
                    <w:rPr>
                      <w:rFonts w:hint="eastAsia"/>
                      <w:b w:val="0"/>
                      <w:bCs w:val="0"/>
                      <w:color w:val="auto"/>
                      <w:szCs w:val="21"/>
                      <w:highlight w:val="none"/>
                      <w:lang w:eastAsia="zh-CN"/>
                    </w:rPr>
                    <w:t>全硫（</w:t>
                  </w:r>
                  <w:r>
                    <w:rPr>
                      <w:rFonts w:hint="eastAsia"/>
                      <w:b w:val="0"/>
                      <w:bCs w:val="0"/>
                      <w:color w:val="auto"/>
                      <w:szCs w:val="21"/>
                      <w:highlight w:val="none"/>
                      <w:lang w:val="en-US" w:eastAsia="zh-CN"/>
                    </w:rPr>
                    <w:t>S</w:t>
                  </w:r>
                  <w:r>
                    <w:rPr>
                      <w:rFonts w:hint="eastAsia"/>
                      <w:b w:val="0"/>
                      <w:bCs w:val="0"/>
                      <w:color w:val="auto"/>
                      <w:szCs w:val="21"/>
                      <w:highlight w:val="none"/>
                      <w:vertAlign w:val="subscript"/>
                      <w:lang w:val="en-US" w:eastAsia="zh-CN"/>
                    </w:rPr>
                    <w:t>t</w:t>
                  </w:r>
                  <w:r>
                    <w:rPr>
                      <w:rFonts w:hint="eastAsia"/>
                      <w:b w:val="0"/>
                      <w:bCs w:val="0"/>
                      <w:color w:val="auto"/>
                      <w:szCs w:val="21"/>
                      <w:highlight w:val="none"/>
                      <w:lang w:val="en-US" w:eastAsia="zh-CN"/>
                    </w:rPr>
                    <w:t>，d</w:t>
                  </w:r>
                  <w:r>
                    <w:rPr>
                      <w:rFonts w:hint="eastAsia"/>
                      <w:b w:val="0"/>
                      <w:bCs w:val="0"/>
                      <w:color w:val="auto"/>
                      <w:szCs w:val="21"/>
                      <w:highlight w:val="none"/>
                      <w:lang w:eastAsia="zh-CN"/>
                    </w:rPr>
                    <w:t>）</w:t>
                  </w:r>
                </w:p>
              </w:tc>
              <w:tc>
                <w:tcPr>
                  <w:tcW w:w="2025" w:type="dxa"/>
                  <w:vAlign w:val="top"/>
                </w:tcPr>
                <w:p w14:paraId="31329F32">
                  <w:pPr>
                    <w:jc w:val="center"/>
                    <w:rPr>
                      <w:rFonts w:hint="default"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w:t>
                  </w:r>
                </w:p>
              </w:tc>
            </w:tr>
            <w:tr w14:paraId="5E0236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8294" w:type="dxa"/>
                  <w:gridSpan w:val="4"/>
                </w:tcPr>
                <w:p w14:paraId="2B67525E">
                  <w:pPr>
                    <w:jc w:val="both"/>
                    <w:rPr>
                      <w:rFonts w:hint="eastAsia"/>
                      <w:b w:val="0"/>
                      <w:bCs/>
                      <w:color w:val="auto"/>
                      <w:szCs w:val="21"/>
                      <w:highlight w:val="none"/>
                      <w:lang w:val="en-US" w:eastAsia="zh-CN"/>
                    </w:rPr>
                  </w:pPr>
                  <w:r>
                    <w:rPr>
                      <w:rFonts w:hint="eastAsia"/>
                      <w:b w:val="0"/>
                      <w:bCs/>
                      <w:color w:val="auto"/>
                      <w:szCs w:val="21"/>
                      <w:highlight w:val="none"/>
                      <w:lang w:val="en-US" w:eastAsia="zh-CN"/>
                    </w:rPr>
                    <w:t>脱水提质煤质量控制指标与控制值：</w:t>
                  </w:r>
                </w:p>
                <w:p w14:paraId="4486D51A">
                  <w:pPr>
                    <w:jc w:val="both"/>
                    <w:rPr>
                      <w:rFonts w:hint="eastAsia"/>
                      <w:b w:val="0"/>
                      <w:bCs/>
                      <w:color w:val="auto"/>
                      <w:szCs w:val="21"/>
                      <w:highlight w:val="none"/>
                      <w:lang w:val="en-US" w:eastAsia="zh-CN"/>
                    </w:rPr>
                  </w:pPr>
                  <w:r>
                    <w:rPr>
                      <w:rFonts w:hint="eastAsia"/>
                      <w:b w:val="0"/>
                      <w:bCs/>
                      <w:color w:val="auto"/>
                      <w:szCs w:val="21"/>
                      <w:highlight w:val="none"/>
                      <w:lang w:val="en-US" w:eastAsia="zh-CN"/>
                    </w:rPr>
                    <w:t>1、脱水提质煤质量控制指标与控制值按照GB/T 31356的要求执行；</w:t>
                  </w:r>
                </w:p>
                <w:p w14:paraId="77E1CCFE">
                  <w:pPr>
                    <w:jc w:val="both"/>
                    <w:rPr>
                      <w:rFonts w:hint="eastAsia"/>
                      <w:b w:val="0"/>
                      <w:bCs/>
                      <w:color w:val="auto"/>
                      <w:szCs w:val="21"/>
                      <w:highlight w:val="none"/>
                      <w:lang w:val="en-US" w:eastAsia="zh-CN"/>
                    </w:rPr>
                  </w:pPr>
                  <w:r>
                    <w:rPr>
                      <w:rFonts w:hint="eastAsia"/>
                      <w:b w:val="0"/>
                      <w:bCs/>
                      <w:color w:val="auto"/>
                      <w:szCs w:val="21"/>
                      <w:highlight w:val="none"/>
                      <w:lang w:val="en-US" w:eastAsia="zh-CN"/>
                    </w:rPr>
                    <w:t>2、脱水提质煤的全水分(M,)相比原料煤降低宜大于15.0%（绝对值）；</w:t>
                  </w:r>
                </w:p>
                <w:p w14:paraId="14762EBC">
                  <w:pPr>
                    <w:jc w:val="both"/>
                    <w:rPr>
                      <w:rFonts w:hint="eastAsia"/>
                      <w:b w:val="0"/>
                      <w:bCs/>
                      <w:color w:val="auto"/>
                      <w:szCs w:val="21"/>
                      <w:highlight w:val="none"/>
                      <w:lang w:val="en-US" w:eastAsia="zh-CN"/>
                    </w:rPr>
                  </w:pPr>
                  <w:r>
                    <w:rPr>
                      <w:rFonts w:hint="eastAsia"/>
                      <w:b w:val="0"/>
                      <w:bCs/>
                      <w:color w:val="auto"/>
                      <w:szCs w:val="21"/>
                      <w:highlight w:val="none"/>
                      <w:lang w:val="en-US" w:eastAsia="zh-CN"/>
                    </w:rPr>
                    <w:t>3、脱水提质煤的发热</w:t>
                  </w:r>
                  <w:r>
                    <w:rPr>
                      <w:rFonts w:hint="eastAsia"/>
                      <w:b w:val="0"/>
                      <w:bCs/>
                      <w:color w:val="auto"/>
                      <w:sz w:val="21"/>
                      <w:szCs w:val="21"/>
                      <w:highlight w:val="none"/>
                      <w:lang w:val="en-US" w:eastAsia="zh-CN"/>
                    </w:rPr>
                    <w:t>量（Q</w:t>
                  </w:r>
                  <w:r>
                    <w:rPr>
                      <w:rFonts w:hint="eastAsia"/>
                      <w:b w:val="0"/>
                      <w:bCs/>
                      <w:color w:val="auto"/>
                      <w:sz w:val="21"/>
                      <w:szCs w:val="21"/>
                      <w:highlight w:val="none"/>
                      <w:vertAlign w:val="subscript"/>
                      <w:lang w:val="en-US" w:eastAsia="zh-CN"/>
                    </w:rPr>
                    <w:t>net</w:t>
                  </w:r>
                  <w:r>
                    <w:rPr>
                      <w:rFonts w:hint="eastAsia"/>
                      <w:b w:val="0"/>
                      <w:bCs/>
                      <w:color w:val="auto"/>
                      <w:sz w:val="21"/>
                      <w:szCs w:val="21"/>
                      <w:highlight w:val="none"/>
                      <w:lang w:val="en-US" w:eastAsia="zh-CN"/>
                    </w:rPr>
                    <w:t>，</w:t>
                  </w:r>
                  <w:r>
                    <w:rPr>
                      <w:rFonts w:hint="eastAsia"/>
                      <w:b w:val="0"/>
                      <w:bCs/>
                      <w:color w:val="auto"/>
                      <w:sz w:val="21"/>
                      <w:szCs w:val="21"/>
                      <w:highlight w:val="none"/>
                      <w:vertAlign w:val="subscript"/>
                      <w:lang w:val="en-US" w:eastAsia="zh-CN"/>
                    </w:rPr>
                    <w:t>ar</w:t>
                  </w:r>
                  <w:r>
                    <w:rPr>
                      <w:rFonts w:hint="eastAsia"/>
                      <w:b w:val="0"/>
                      <w:bCs/>
                      <w:color w:val="auto"/>
                      <w:sz w:val="21"/>
                      <w:szCs w:val="21"/>
                      <w:highlight w:val="none"/>
                      <w:lang w:val="en-US" w:eastAsia="zh-CN"/>
                    </w:rPr>
                    <w:t>）</w:t>
                  </w:r>
                  <w:r>
                    <w:rPr>
                      <w:rFonts w:hint="eastAsia"/>
                      <w:b w:val="0"/>
                      <w:bCs/>
                      <w:color w:val="auto"/>
                      <w:szCs w:val="21"/>
                      <w:highlight w:val="none"/>
                      <w:lang w:val="en-US" w:eastAsia="zh-CN"/>
                    </w:rPr>
                    <w:t>相比原料煤提高幅度宜不小于4.00MJ/kg（绝对值）。</w:t>
                  </w:r>
                </w:p>
              </w:tc>
            </w:tr>
          </w:tbl>
          <w:p w14:paraId="7A5FBB9F">
            <w:pPr>
              <w:jc w:val="center"/>
              <w:rPr>
                <w:rFonts w:hint="eastAsia" w:eastAsia="宋体"/>
                <w:b/>
                <w:snapToGrid w:val="0"/>
                <w:color w:val="auto"/>
                <w:kern w:val="0"/>
                <w:szCs w:val="21"/>
                <w:highlight w:val="none"/>
                <w:lang w:val="en-US" w:eastAsia="zh-CN"/>
              </w:rPr>
            </w:pPr>
            <w:r>
              <w:rPr>
                <w:b/>
                <w:snapToGrid w:val="0"/>
                <w:color w:val="auto"/>
                <w:kern w:val="0"/>
                <w:szCs w:val="21"/>
                <w:highlight w:val="none"/>
              </w:rPr>
              <w:t>表</w:t>
            </w:r>
            <w:r>
              <w:rPr>
                <w:rFonts w:hint="eastAsia"/>
                <w:b/>
                <w:snapToGrid w:val="0"/>
                <w:color w:val="auto"/>
                <w:kern w:val="0"/>
                <w:szCs w:val="21"/>
                <w:highlight w:val="none"/>
              </w:rPr>
              <w:t>2</w:t>
            </w:r>
            <w:r>
              <w:rPr>
                <w:b/>
                <w:snapToGrid w:val="0"/>
                <w:color w:val="auto"/>
                <w:kern w:val="0"/>
                <w:szCs w:val="21"/>
                <w:highlight w:val="none"/>
              </w:rPr>
              <w:t>-</w:t>
            </w:r>
            <w:r>
              <w:rPr>
                <w:rFonts w:hint="eastAsia"/>
                <w:b/>
                <w:snapToGrid w:val="0"/>
                <w:color w:val="auto"/>
                <w:kern w:val="0"/>
                <w:szCs w:val="21"/>
                <w:highlight w:val="none"/>
                <w:lang w:val="en-US" w:eastAsia="zh-CN"/>
              </w:rPr>
              <w:t>4</w:t>
            </w:r>
            <w:r>
              <w:rPr>
                <w:b/>
                <w:snapToGrid w:val="0"/>
                <w:color w:val="auto"/>
                <w:kern w:val="0"/>
                <w:szCs w:val="21"/>
                <w:highlight w:val="none"/>
              </w:rPr>
              <w:t xml:space="preserve"> </w:t>
            </w:r>
            <w:r>
              <w:rPr>
                <w:rFonts w:hint="eastAsia"/>
                <w:b/>
                <w:snapToGrid w:val="0"/>
                <w:color w:val="auto"/>
                <w:kern w:val="0"/>
                <w:szCs w:val="21"/>
                <w:highlight w:val="none"/>
              </w:rPr>
              <w:t xml:space="preserve"> </w:t>
            </w:r>
            <w:r>
              <w:rPr>
                <w:rFonts w:hint="eastAsia"/>
                <w:b/>
                <w:snapToGrid w:val="0"/>
                <w:color w:val="auto"/>
                <w:kern w:val="0"/>
                <w:szCs w:val="21"/>
                <w:highlight w:val="none"/>
                <w:lang w:eastAsia="zh-CN"/>
              </w:rPr>
              <w:t>动力用煤质量评价指</w:t>
            </w:r>
            <w:r>
              <w:rPr>
                <w:rFonts w:hint="eastAsia"/>
                <w:b/>
                <w:bCs w:val="0"/>
                <w:snapToGrid w:val="0"/>
                <w:color w:val="auto"/>
                <w:kern w:val="0"/>
                <w:szCs w:val="21"/>
                <w:highlight w:val="none"/>
                <w:lang w:eastAsia="zh-CN"/>
              </w:rPr>
              <w:t>标</w:t>
            </w:r>
            <w:r>
              <w:rPr>
                <w:rFonts w:hint="eastAsia"/>
                <w:b/>
                <w:bCs w:val="0"/>
                <w:color w:val="auto"/>
                <w:sz w:val="21"/>
                <w:szCs w:val="21"/>
                <w:highlight w:val="none"/>
                <w:lang w:eastAsia="zh-CN"/>
              </w:rPr>
              <w:t>（</w:t>
            </w:r>
            <w:r>
              <w:rPr>
                <w:rFonts w:hint="eastAsia"/>
                <w:b/>
                <w:bCs w:val="0"/>
                <w:color w:val="auto"/>
                <w:sz w:val="21"/>
                <w:szCs w:val="21"/>
                <w:highlight w:val="none"/>
                <w:lang w:val="en-US" w:eastAsia="zh-CN"/>
              </w:rPr>
              <w:t>GB/T31356-2014</w:t>
            </w:r>
            <w:r>
              <w:rPr>
                <w:rFonts w:hint="eastAsia"/>
                <w:b/>
                <w:bCs w:val="0"/>
                <w:color w:val="auto"/>
                <w:sz w:val="21"/>
                <w:szCs w:val="21"/>
                <w:highlight w:val="none"/>
                <w:lang w:eastAsia="zh-CN"/>
              </w:rPr>
              <w:t>）</w:t>
            </w:r>
          </w:p>
          <w:tbl>
            <w:tblPr>
              <w:tblStyle w:val="27"/>
              <w:tblW w:w="829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82"/>
              <w:gridCol w:w="2162"/>
              <w:gridCol w:w="1014"/>
              <w:gridCol w:w="1918"/>
              <w:gridCol w:w="1918"/>
            </w:tblGrid>
            <w:tr w14:paraId="1634F4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282" w:type="dxa"/>
                  <w:vMerge w:val="restart"/>
                </w:tcPr>
                <w:p w14:paraId="5E261513">
                  <w:pPr>
                    <w:jc w:val="center"/>
                    <w:rPr>
                      <w:rFonts w:hint="eastAsia"/>
                      <w:b/>
                      <w:bCs/>
                      <w:color w:val="auto"/>
                      <w:szCs w:val="21"/>
                      <w:highlight w:val="none"/>
                      <w:lang w:eastAsia="zh-CN"/>
                    </w:rPr>
                  </w:pPr>
                </w:p>
                <w:p w14:paraId="0A17D3C4">
                  <w:pPr>
                    <w:jc w:val="center"/>
                    <w:rPr>
                      <w:rFonts w:hint="eastAsia" w:eastAsia="宋体"/>
                      <w:b/>
                      <w:color w:val="auto"/>
                      <w:szCs w:val="21"/>
                      <w:highlight w:val="none"/>
                      <w:lang w:eastAsia="zh-CN"/>
                    </w:rPr>
                  </w:pPr>
                  <w:r>
                    <w:rPr>
                      <w:rFonts w:hint="eastAsia"/>
                      <w:b/>
                      <w:bCs/>
                      <w:color w:val="auto"/>
                      <w:szCs w:val="21"/>
                      <w:highlight w:val="none"/>
                      <w:lang w:eastAsia="zh-CN"/>
                    </w:rPr>
                    <w:t>商品煤类别</w:t>
                  </w:r>
                </w:p>
              </w:tc>
              <w:tc>
                <w:tcPr>
                  <w:tcW w:w="3176" w:type="dxa"/>
                  <w:gridSpan w:val="2"/>
                </w:tcPr>
                <w:p w14:paraId="3DC74A53">
                  <w:pPr>
                    <w:jc w:val="center"/>
                    <w:rPr>
                      <w:rFonts w:hint="eastAsia"/>
                      <w:b/>
                      <w:bCs/>
                      <w:color w:val="auto"/>
                      <w:szCs w:val="21"/>
                      <w:highlight w:val="none"/>
                      <w:lang w:eastAsia="zh-CN"/>
                    </w:rPr>
                  </w:pPr>
                  <w:r>
                    <w:rPr>
                      <w:rFonts w:hint="eastAsia"/>
                      <w:b/>
                      <w:bCs/>
                      <w:color w:val="auto"/>
                      <w:szCs w:val="21"/>
                      <w:highlight w:val="none"/>
                      <w:lang w:eastAsia="zh-CN"/>
                    </w:rPr>
                    <w:t>基本指标</w:t>
                  </w:r>
                </w:p>
              </w:tc>
              <w:tc>
                <w:tcPr>
                  <w:tcW w:w="3836" w:type="dxa"/>
                  <w:gridSpan w:val="2"/>
                  <w:vAlign w:val="top"/>
                </w:tcPr>
                <w:p w14:paraId="78D295F1">
                  <w:pPr>
                    <w:jc w:val="center"/>
                    <w:rPr>
                      <w:rFonts w:hint="eastAsia"/>
                      <w:b/>
                      <w:color w:val="auto"/>
                      <w:szCs w:val="21"/>
                      <w:highlight w:val="none"/>
                      <w:lang w:eastAsia="zh-CN"/>
                    </w:rPr>
                  </w:pPr>
                  <w:r>
                    <w:rPr>
                      <w:rFonts w:hint="eastAsia"/>
                      <w:b/>
                      <w:color w:val="auto"/>
                      <w:szCs w:val="21"/>
                      <w:highlight w:val="none"/>
                      <w:lang w:eastAsia="zh-CN"/>
                    </w:rPr>
                    <w:t>辅助指标</w:t>
                  </w:r>
                </w:p>
              </w:tc>
            </w:tr>
            <w:tr w14:paraId="3562C6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282" w:type="dxa"/>
                  <w:vMerge w:val="continue"/>
                </w:tcPr>
                <w:p w14:paraId="5B3B8128">
                  <w:pPr>
                    <w:jc w:val="center"/>
                    <w:rPr>
                      <w:rFonts w:hint="eastAsia" w:eastAsia="宋体"/>
                      <w:b/>
                      <w:bCs/>
                      <w:color w:val="auto"/>
                      <w:szCs w:val="21"/>
                      <w:highlight w:val="none"/>
                      <w:lang w:eastAsia="zh-CN"/>
                    </w:rPr>
                  </w:pPr>
                </w:p>
              </w:tc>
              <w:tc>
                <w:tcPr>
                  <w:tcW w:w="2162" w:type="dxa"/>
                </w:tcPr>
                <w:p w14:paraId="6CC43CC9">
                  <w:pPr>
                    <w:jc w:val="center"/>
                    <w:rPr>
                      <w:rFonts w:hint="eastAsia" w:eastAsia="宋体"/>
                      <w:b/>
                      <w:bCs/>
                      <w:color w:val="auto"/>
                      <w:szCs w:val="21"/>
                      <w:highlight w:val="none"/>
                      <w:lang w:eastAsia="zh-CN"/>
                    </w:rPr>
                  </w:pPr>
                  <w:r>
                    <w:rPr>
                      <w:rFonts w:hint="eastAsia"/>
                      <w:b/>
                      <w:bCs/>
                      <w:color w:val="auto"/>
                      <w:szCs w:val="21"/>
                      <w:highlight w:val="none"/>
                      <w:lang w:eastAsia="zh-CN"/>
                    </w:rPr>
                    <w:t>指标名称</w:t>
                  </w:r>
                </w:p>
              </w:tc>
              <w:tc>
                <w:tcPr>
                  <w:tcW w:w="1014" w:type="dxa"/>
                </w:tcPr>
                <w:p w14:paraId="349CFB23">
                  <w:pPr>
                    <w:jc w:val="center"/>
                    <w:rPr>
                      <w:rFonts w:hint="eastAsia"/>
                      <w:b/>
                      <w:bCs/>
                      <w:color w:val="auto"/>
                      <w:szCs w:val="21"/>
                      <w:highlight w:val="none"/>
                      <w:lang w:eastAsia="zh-CN"/>
                    </w:rPr>
                  </w:pPr>
                  <w:r>
                    <w:rPr>
                      <w:rFonts w:hint="eastAsia"/>
                      <w:b/>
                      <w:bCs/>
                      <w:color w:val="auto"/>
                      <w:szCs w:val="21"/>
                      <w:highlight w:val="none"/>
                      <w:lang w:eastAsia="zh-CN"/>
                    </w:rPr>
                    <w:t>单位</w:t>
                  </w:r>
                </w:p>
              </w:tc>
              <w:tc>
                <w:tcPr>
                  <w:tcW w:w="1918" w:type="dxa"/>
                  <w:vAlign w:val="top"/>
                </w:tcPr>
                <w:p w14:paraId="437BA657">
                  <w:pPr>
                    <w:jc w:val="center"/>
                    <w:rPr>
                      <w:rFonts w:hint="eastAsia"/>
                      <w:b/>
                      <w:color w:val="auto"/>
                      <w:szCs w:val="21"/>
                      <w:highlight w:val="none"/>
                    </w:rPr>
                  </w:pPr>
                  <w:r>
                    <w:rPr>
                      <w:rFonts w:hint="eastAsia"/>
                      <w:b/>
                      <w:bCs/>
                      <w:color w:val="auto"/>
                      <w:szCs w:val="21"/>
                      <w:highlight w:val="none"/>
                      <w:lang w:eastAsia="zh-CN"/>
                    </w:rPr>
                    <w:t>单位</w:t>
                  </w:r>
                </w:p>
              </w:tc>
              <w:tc>
                <w:tcPr>
                  <w:tcW w:w="1918" w:type="dxa"/>
                  <w:vAlign w:val="top"/>
                </w:tcPr>
                <w:p w14:paraId="08E37424">
                  <w:pPr>
                    <w:jc w:val="center"/>
                    <w:rPr>
                      <w:rFonts w:hint="eastAsia"/>
                      <w:b/>
                      <w:color w:val="auto"/>
                      <w:szCs w:val="21"/>
                      <w:highlight w:val="none"/>
                      <w:lang w:val="en-US" w:eastAsia="zh-CN"/>
                    </w:rPr>
                  </w:pPr>
                  <w:r>
                    <w:rPr>
                      <w:rFonts w:hint="eastAsia"/>
                      <w:b/>
                      <w:bCs/>
                      <w:color w:val="auto"/>
                      <w:szCs w:val="21"/>
                      <w:highlight w:val="none"/>
                      <w:lang w:eastAsia="zh-CN"/>
                    </w:rPr>
                    <w:t>单位</w:t>
                  </w:r>
                </w:p>
              </w:tc>
            </w:tr>
            <w:tr w14:paraId="6F382B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282" w:type="dxa"/>
                  <w:vMerge w:val="restart"/>
                </w:tcPr>
                <w:p w14:paraId="219F6D3F">
                  <w:pPr>
                    <w:jc w:val="center"/>
                    <w:rPr>
                      <w:rFonts w:hint="eastAsia"/>
                      <w:b w:val="0"/>
                      <w:bCs w:val="0"/>
                      <w:color w:val="auto"/>
                      <w:szCs w:val="21"/>
                      <w:highlight w:val="none"/>
                      <w:lang w:eastAsia="zh-CN"/>
                    </w:rPr>
                  </w:pPr>
                </w:p>
                <w:p w14:paraId="7BEB82F6">
                  <w:pPr>
                    <w:jc w:val="center"/>
                    <w:rPr>
                      <w:rFonts w:hint="eastAsia"/>
                      <w:b w:val="0"/>
                      <w:bCs w:val="0"/>
                      <w:color w:val="auto"/>
                      <w:szCs w:val="21"/>
                      <w:highlight w:val="none"/>
                      <w:lang w:eastAsia="zh-CN"/>
                    </w:rPr>
                  </w:pPr>
                </w:p>
                <w:p w14:paraId="543E5C19">
                  <w:pPr>
                    <w:jc w:val="center"/>
                    <w:rPr>
                      <w:rFonts w:hint="eastAsia"/>
                      <w:b w:val="0"/>
                      <w:bCs w:val="0"/>
                      <w:color w:val="auto"/>
                      <w:szCs w:val="21"/>
                      <w:highlight w:val="none"/>
                      <w:lang w:eastAsia="zh-CN"/>
                    </w:rPr>
                  </w:pPr>
                </w:p>
                <w:p w14:paraId="5D9D1417">
                  <w:pPr>
                    <w:jc w:val="center"/>
                    <w:rPr>
                      <w:rFonts w:hint="eastAsia"/>
                      <w:b w:val="0"/>
                      <w:bCs w:val="0"/>
                      <w:color w:val="auto"/>
                      <w:szCs w:val="21"/>
                      <w:highlight w:val="none"/>
                      <w:lang w:eastAsia="zh-CN"/>
                    </w:rPr>
                  </w:pPr>
                </w:p>
                <w:p w14:paraId="2E935794">
                  <w:pPr>
                    <w:jc w:val="center"/>
                    <w:rPr>
                      <w:rFonts w:hint="eastAsia"/>
                      <w:b w:val="0"/>
                      <w:bCs w:val="0"/>
                      <w:color w:val="auto"/>
                      <w:szCs w:val="21"/>
                      <w:highlight w:val="none"/>
                      <w:lang w:eastAsia="zh-CN"/>
                    </w:rPr>
                  </w:pPr>
                </w:p>
                <w:p w14:paraId="4DC58886">
                  <w:pPr>
                    <w:jc w:val="center"/>
                    <w:rPr>
                      <w:rFonts w:hint="eastAsia"/>
                      <w:b w:val="0"/>
                      <w:bCs w:val="0"/>
                      <w:color w:val="auto"/>
                      <w:szCs w:val="21"/>
                      <w:highlight w:val="none"/>
                      <w:lang w:eastAsia="zh-CN"/>
                    </w:rPr>
                  </w:pPr>
                </w:p>
                <w:p w14:paraId="78451EE4">
                  <w:pPr>
                    <w:jc w:val="center"/>
                    <w:rPr>
                      <w:rFonts w:hint="default" w:eastAsia="宋体"/>
                      <w:b w:val="0"/>
                      <w:bCs w:val="0"/>
                      <w:color w:val="auto"/>
                      <w:szCs w:val="21"/>
                      <w:highlight w:val="none"/>
                      <w:vertAlign w:val="superscript"/>
                      <w:lang w:val="en-US" w:eastAsia="zh-CN"/>
                    </w:rPr>
                  </w:pPr>
                  <w:r>
                    <w:rPr>
                      <w:rFonts w:hint="eastAsia"/>
                      <w:b w:val="0"/>
                      <w:bCs w:val="0"/>
                      <w:color w:val="auto"/>
                      <w:szCs w:val="21"/>
                      <w:highlight w:val="none"/>
                      <w:lang w:eastAsia="zh-CN"/>
                    </w:rPr>
                    <w:t>动力用煤</w:t>
                  </w:r>
                  <w:r>
                    <w:rPr>
                      <w:rFonts w:hint="eastAsia"/>
                      <w:b w:val="0"/>
                      <w:bCs w:val="0"/>
                      <w:color w:val="auto"/>
                      <w:szCs w:val="21"/>
                      <w:highlight w:val="none"/>
                      <w:vertAlign w:val="superscript"/>
                      <w:lang w:val="en-US" w:eastAsia="zh-CN"/>
                    </w:rPr>
                    <w:t>a</w:t>
                  </w:r>
                </w:p>
              </w:tc>
              <w:tc>
                <w:tcPr>
                  <w:tcW w:w="2162" w:type="dxa"/>
                </w:tcPr>
                <w:p w14:paraId="200BB394">
                  <w:pPr>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煤粉含量</w:t>
                  </w:r>
                  <w:r>
                    <w:rPr>
                      <w:rFonts w:hint="eastAsia"/>
                      <w:b w:val="0"/>
                      <w:bCs w:val="0"/>
                      <w:color w:val="auto"/>
                      <w:szCs w:val="21"/>
                      <w:highlight w:val="none"/>
                      <w:vertAlign w:val="superscript"/>
                      <w:lang w:val="en-US" w:eastAsia="zh-CN"/>
                    </w:rPr>
                    <w:t>b</w:t>
                  </w:r>
                  <w:r>
                    <w:rPr>
                      <w:rFonts w:hint="eastAsia"/>
                      <w:b w:val="0"/>
                      <w:bCs w:val="0"/>
                      <w:color w:val="auto"/>
                      <w:szCs w:val="21"/>
                      <w:highlight w:val="none"/>
                      <w:lang w:val="en-US" w:eastAsia="zh-CN"/>
                    </w:rPr>
                    <w:t>（P</w:t>
                  </w:r>
                  <w:r>
                    <w:rPr>
                      <w:rFonts w:hint="eastAsia"/>
                      <w:b w:val="0"/>
                      <w:bCs w:val="0"/>
                      <w:color w:val="auto"/>
                      <w:szCs w:val="21"/>
                      <w:highlight w:val="none"/>
                      <w:vertAlign w:val="subscript"/>
                      <w:lang w:val="en-US" w:eastAsia="zh-CN"/>
                    </w:rPr>
                    <w:t>-0.5mm</w:t>
                  </w:r>
                  <w:r>
                    <w:rPr>
                      <w:rFonts w:hint="eastAsia"/>
                      <w:b w:val="0"/>
                      <w:bCs w:val="0"/>
                      <w:color w:val="auto"/>
                      <w:szCs w:val="21"/>
                      <w:highlight w:val="none"/>
                      <w:lang w:val="en-US" w:eastAsia="zh-CN"/>
                    </w:rPr>
                    <w:t>）</w:t>
                  </w:r>
                </w:p>
              </w:tc>
              <w:tc>
                <w:tcPr>
                  <w:tcW w:w="1014" w:type="dxa"/>
                </w:tcPr>
                <w:p w14:paraId="0CAD81CC">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w:t>
                  </w:r>
                </w:p>
              </w:tc>
              <w:tc>
                <w:tcPr>
                  <w:tcW w:w="1918" w:type="dxa"/>
                  <w:vAlign w:val="top"/>
                </w:tcPr>
                <w:p w14:paraId="70D652D9">
                  <w:pPr>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煤中碳含量（C</w:t>
                  </w:r>
                  <w:r>
                    <w:rPr>
                      <w:rFonts w:hint="eastAsia"/>
                      <w:b w:val="0"/>
                      <w:bCs w:val="0"/>
                      <w:color w:val="auto"/>
                      <w:szCs w:val="21"/>
                      <w:highlight w:val="none"/>
                      <w:vertAlign w:val="subscript"/>
                      <w:lang w:val="en-US" w:eastAsia="zh-CN"/>
                    </w:rPr>
                    <w:t>daf</w:t>
                  </w:r>
                  <w:r>
                    <w:rPr>
                      <w:rFonts w:hint="eastAsia"/>
                      <w:b w:val="0"/>
                      <w:bCs w:val="0"/>
                      <w:color w:val="auto"/>
                      <w:szCs w:val="21"/>
                      <w:highlight w:val="none"/>
                      <w:lang w:val="en-US" w:eastAsia="zh-CN"/>
                    </w:rPr>
                    <w:t>）</w:t>
                  </w:r>
                </w:p>
              </w:tc>
              <w:tc>
                <w:tcPr>
                  <w:tcW w:w="1918" w:type="dxa"/>
                  <w:vAlign w:val="top"/>
                </w:tcPr>
                <w:p w14:paraId="6C82EF60">
                  <w:pPr>
                    <w:jc w:val="center"/>
                    <w:rPr>
                      <w:rFonts w:hint="default"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w:t>
                  </w:r>
                </w:p>
              </w:tc>
            </w:tr>
            <w:tr w14:paraId="0A9622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282" w:type="dxa"/>
                  <w:vMerge w:val="continue"/>
                </w:tcPr>
                <w:p w14:paraId="12F839D4">
                  <w:pPr>
                    <w:jc w:val="center"/>
                    <w:rPr>
                      <w:rFonts w:hint="eastAsia" w:eastAsia="宋体"/>
                      <w:b w:val="0"/>
                      <w:bCs w:val="0"/>
                      <w:color w:val="auto"/>
                      <w:szCs w:val="21"/>
                      <w:highlight w:val="none"/>
                      <w:lang w:eastAsia="zh-CN"/>
                    </w:rPr>
                  </w:pPr>
                </w:p>
              </w:tc>
              <w:tc>
                <w:tcPr>
                  <w:tcW w:w="2162" w:type="dxa"/>
                </w:tcPr>
                <w:p w14:paraId="50A62801">
                  <w:pPr>
                    <w:jc w:val="center"/>
                    <w:rPr>
                      <w:rFonts w:hint="default" w:eastAsia="宋体"/>
                      <w:b w:val="0"/>
                      <w:bCs w:val="0"/>
                      <w:color w:val="auto"/>
                      <w:szCs w:val="21"/>
                      <w:highlight w:val="none"/>
                      <w:lang w:val="en-US" w:eastAsia="zh-CN"/>
                    </w:rPr>
                  </w:pPr>
                  <w:r>
                    <w:rPr>
                      <w:rFonts w:hint="eastAsia"/>
                      <w:b w:val="0"/>
                      <w:bCs w:val="0"/>
                      <w:color w:val="auto"/>
                      <w:szCs w:val="21"/>
                      <w:highlight w:val="none"/>
                      <w:lang w:eastAsia="zh-CN"/>
                    </w:rPr>
                    <w:t>全水分（</w:t>
                  </w:r>
                  <w:r>
                    <w:rPr>
                      <w:rFonts w:hint="eastAsia"/>
                      <w:b w:val="0"/>
                      <w:bCs w:val="0"/>
                      <w:color w:val="auto"/>
                      <w:szCs w:val="21"/>
                      <w:highlight w:val="none"/>
                      <w:lang w:val="en-US" w:eastAsia="zh-CN"/>
                    </w:rPr>
                    <w:t>M</w:t>
                  </w:r>
                  <w:r>
                    <w:rPr>
                      <w:rFonts w:hint="eastAsia"/>
                      <w:b w:val="0"/>
                      <w:bCs w:val="0"/>
                      <w:color w:val="auto"/>
                      <w:szCs w:val="21"/>
                      <w:highlight w:val="none"/>
                      <w:vertAlign w:val="subscript"/>
                      <w:lang w:val="en-US" w:eastAsia="zh-CN"/>
                    </w:rPr>
                    <w:t>t</w:t>
                  </w:r>
                  <w:r>
                    <w:rPr>
                      <w:rFonts w:hint="eastAsia"/>
                      <w:b w:val="0"/>
                      <w:bCs w:val="0"/>
                      <w:color w:val="auto"/>
                      <w:szCs w:val="21"/>
                      <w:highlight w:val="none"/>
                      <w:lang w:eastAsia="zh-CN"/>
                    </w:rPr>
                    <w:t>）</w:t>
                  </w:r>
                </w:p>
              </w:tc>
              <w:tc>
                <w:tcPr>
                  <w:tcW w:w="1014" w:type="dxa"/>
                </w:tcPr>
                <w:p w14:paraId="3DE447BA">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w:t>
                  </w:r>
                </w:p>
              </w:tc>
              <w:tc>
                <w:tcPr>
                  <w:tcW w:w="1918" w:type="dxa"/>
                  <w:vAlign w:val="top"/>
                </w:tcPr>
                <w:p w14:paraId="52C4C1C5">
                  <w:pPr>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煤中氢含量（H</w:t>
                  </w:r>
                  <w:r>
                    <w:rPr>
                      <w:rFonts w:hint="eastAsia"/>
                      <w:b w:val="0"/>
                      <w:bCs w:val="0"/>
                      <w:color w:val="auto"/>
                      <w:szCs w:val="21"/>
                      <w:highlight w:val="none"/>
                      <w:vertAlign w:val="subscript"/>
                      <w:lang w:val="en-US" w:eastAsia="zh-CN"/>
                    </w:rPr>
                    <w:t>daf</w:t>
                  </w:r>
                  <w:r>
                    <w:rPr>
                      <w:rFonts w:hint="eastAsia"/>
                      <w:b w:val="0"/>
                      <w:bCs w:val="0"/>
                      <w:color w:val="auto"/>
                      <w:szCs w:val="21"/>
                      <w:highlight w:val="none"/>
                      <w:lang w:val="en-US" w:eastAsia="zh-CN"/>
                    </w:rPr>
                    <w:t>）</w:t>
                  </w:r>
                </w:p>
              </w:tc>
              <w:tc>
                <w:tcPr>
                  <w:tcW w:w="1918" w:type="dxa"/>
                  <w:vAlign w:val="top"/>
                </w:tcPr>
                <w:p w14:paraId="2B275451">
                  <w:pPr>
                    <w:jc w:val="center"/>
                    <w:rPr>
                      <w:rFonts w:hint="default"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w:t>
                  </w:r>
                </w:p>
              </w:tc>
            </w:tr>
            <w:tr w14:paraId="6494D5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282" w:type="dxa"/>
                  <w:vMerge w:val="continue"/>
                </w:tcPr>
                <w:p w14:paraId="526ACB8F">
                  <w:pPr>
                    <w:jc w:val="center"/>
                    <w:rPr>
                      <w:rFonts w:hint="eastAsia"/>
                      <w:b w:val="0"/>
                      <w:bCs w:val="0"/>
                      <w:color w:val="auto"/>
                      <w:szCs w:val="21"/>
                      <w:highlight w:val="none"/>
                      <w:lang w:eastAsia="zh-CN"/>
                    </w:rPr>
                  </w:pPr>
                </w:p>
              </w:tc>
              <w:tc>
                <w:tcPr>
                  <w:tcW w:w="2162" w:type="dxa"/>
                  <w:vAlign w:val="top"/>
                </w:tcPr>
                <w:p w14:paraId="2D94E72A">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灰分（A</w:t>
                  </w:r>
                  <w:r>
                    <w:rPr>
                      <w:rFonts w:hint="eastAsia"/>
                      <w:b w:val="0"/>
                      <w:bCs w:val="0"/>
                      <w:color w:val="auto"/>
                      <w:szCs w:val="21"/>
                      <w:highlight w:val="none"/>
                      <w:vertAlign w:val="subscript"/>
                      <w:lang w:val="en-US" w:eastAsia="zh-CN"/>
                    </w:rPr>
                    <w:t>d</w:t>
                  </w:r>
                  <w:r>
                    <w:rPr>
                      <w:rFonts w:hint="eastAsia"/>
                      <w:b w:val="0"/>
                      <w:bCs w:val="0"/>
                      <w:color w:val="auto"/>
                      <w:szCs w:val="21"/>
                      <w:highlight w:val="none"/>
                      <w:lang w:val="en-US" w:eastAsia="zh-CN"/>
                    </w:rPr>
                    <w:t>）</w:t>
                  </w:r>
                </w:p>
              </w:tc>
              <w:tc>
                <w:tcPr>
                  <w:tcW w:w="1014" w:type="dxa"/>
                </w:tcPr>
                <w:p w14:paraId="29EEDC3D">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w:t>
                  </w:r>
                </w:p>
              </w:tc>
              <w:tc>
                <w:tcPr>
                  <w:tcW w:w="1918" w:type="dxa"/>
                  <w:vAlign w:val="top"/>
                </w:tcPr>
                <w:p w14:paraId="601D4D46">
                  <w:pPr>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煤中氮含量（N</w:t>
                  </w:r>
                  <w:r>
                    <w:rPr>
                      <w:rFonts w:hint="eastAsia"/>
                      <w:b w:val="0"/>
                      <w:bCs w:val="0"/>
                      <w:color w:val="auto"/>
                      <w:szCs w:val="21"/>
                      <w:highlight w:val="none"/>
                      <w:vertAlign w:val="subscript"/>
                      <w:lang w:val="en-US" w:eastAsia="zh-CN"/>
                    </w:rPr>
                    <w:t>daf</w:t>
                  </w:r>
                  <w:r>
                    <w:rPr>
                      <w:rFonts w:hint="eastAsia"/>
                      <w:b w:val="0"/>
                      <w:bCs w:val="0"/>
                      <w:color w:val="auto"/>
                      <w:szCs w:val="21"/>
                      <w:highlight w:val="none"/>
                      <w:lang w:val="en-US" w:eastAsia="zh-CN"/>
                    </w:rPr>
                    <w:t>）</w:t>
                  </w:r>
                </w:p>
              </w:tc>
              <w:tc>
                <w:tcPr>
                  <w:tcW w:w="1918" w:type="dxa"/>
                  <w:vAlign w:val="top"/>
                </w:tcPr>
                <w:p w14:paraId="2A055A63">
                  <w:pPr>
                    <w:jc w:val="center"/>
                    <w:rPr>
                      <w:rFonts w:hint="default"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w:t>
                  </w:r>
                </w:p>
              </w:tc>
            </w:tr>
            <w:tr w14:paraId="133BB6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282" w:type="dxa"/>
                  <w:vMerge w:val="continue"/>
                </w:tcPr>
                <w:p w14:paraId="0AEF1CD2">
                  <w:pPr>
                    <w:jc w:val="center"/>
                    <w:rPr>
                      <w:rFonts w:hint="eastAsia"/>
                      <w:b w:val="0"/>
                      <w:bCs w:val="0"/>
                      <w:color w:val="auto"/>
                      <w:szCs w:val="21"/>
                      <w:highlight w:val="none"/>
                      <w:lang w:eastAsia="zh-CN"/>
                    </w:rPr>
                  </w:pPr>
                </w:p>
              </w:tc>
              <w:tc>
                <w:tcPr>
                  <w:tcW w:w="2162" w:type="dxa"/>
                  <w:vAlign w:val="top"/>
                </w:tcPr>
                <w:p w14:paraId="6774FC71">
                  <w:pPr>
                    <w:jc w:val="center"/>
                    <w:rPr>
                      <w:rFonts w:hint="eastAsia"/>
                      <w:b w:val="0"/>
                      <w:bCs w:val="0"/>
                      <w:color w:val="auto"/>
                      <w:szCs w:val="21"/>
                      <w:highlight w:val="none"/>
                      <w:lang w:val="en-US" w:eastAsia="zh-CN"/>
                    </w:rPr>
                  </w:pPr>
                  <w:r>
                    <w:rPr>
                      <w:rFonts w:hint="eastAsia"/>
                      <w:b w:val="0"/>
                      <w:bCs w:val="0"/>
                      <w:color w:val="auto"/>
                      <w:szCs w:val="21"/>
                      <w:highlight w:val="none"/>
                      <w:lang w:eastAsia="zh-CN"/>
                    </w:rPr>
                    <w:t>挥发分（</w:t>
                  </w:r>
                  <w:r>
                    <w:rPr>
                      <w:rFonts w:hint="eastAsia"/>
                      <w:b w:val="0"/>
                      <w:bCs w:val="0"/>
                      <w:color w:val="auto"/>
                      <w:szCs w:val="21"/>
                      <w:highlight w:val="none"/>
                      <w:lang w:val="en-US" w:eastAsia="zh-CN"/>
                    </w:rPr>
                    <w:t>V</w:t>
                  </w:r>
                  <w:r>
                    <w:rPr>
                      <w:rFonts w:hint="eastAsia"/>
                      <w:b w:val="0"/>
                      <w:bCs w:val="0"/>
                      <w:color w:val="auto"/>
                      <w:szCs w:val="21"/>
                      <w:highlight w:val="none"/>
                      <w:vertAlign w:val="subscript"/>
                      <w:lang w:val="en-US" w:eastAsia="zh-CN"/>
                    </w:rPr>
                    <w:t>daf</w:t>
                  </w:r>
                  <w:r>
                    <w:rPr>
                      <w:rFonts w:hint="eastAsia"/>
                      <w:b w:val="0"/>
                      <w:bCs w:val="0"/>
                      <w:color w:val="auto"/>
                      <w:szCs w:val="21"/>
                      <w:highlight w:val="none"/>
                      <w:lang w:eastAsia="zh-CN"/>
                    </w:rPr>
                    <w:t>）</w:t>
                  </w:r>
                </w:p>
              </w:tc>
              <w:tc>
                <w:tcPr>
                  <w:tcW w:w="1014" w:type="dxa"/>
                </w:tcPr>
                <w:p w14:paraId="0009BD3F">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w:t>
                  </w:r>
                </w:p>
              </w:tc>
              <w:tc>
                <w:tcPr>
                  <w:tcW w:w="1918" w:type="dxa"/>
                  <w:vAlign w:val="top"/>
                </w:tcPr>
                <w:p w14:paraId="512FAAE5">
                  <w:pPr>
                    <w:jc w:val="center"/>
                    <w:rPr>
                      <w:rFonts w:hint="eastAsia"/>
                      <w:b w:val="0"/>
                      <w:bCs w:val="0"/>
                      <w:color w:val="auto"/>
                      <w:szCs w:val="21"/>
                      <w:highlight w:val="none"/>
                      <w:lang w:eastAsia="zh-CN"/>
                    </w:rPr>
                  </w:pPr>
                  <w:r>
                    <w:rPr>
                      <w:rFonts w:hint="eastAsia"/>
                      <w:b w:val="0"/>
                      <w:bCs w:val="0"/>
                      <w:color w:val="auto"/>
                      <w:szCs w:val="21"/>
                      <w:highlight w:val="none"/>
                      <w:lang w:eastAsia="zh-CN"/>
                    </w:rPr>
                    <w:t>煤中钾和钠总量（</w:t>
                  </w:r>
                  <w:r>
                    <w:rPr>
                      <w:rFonts w:hint="eastAsia"/>
                      <w:b w:val="0"/>
                      <w:bCs w:val="0"/>
                      <w:color w:val="auto"/>
                      <w:szCs w:val="21"/>
                      <w:highlight w:val="none"/>
                      <w:lang w:val="en-US" w:eastAsia="zh-CN"/>
                    </w:rPr>
                    <w:t>W（K）+W（Na）</w:t>
                  </w:r>
                  <w:r>
                    <w:rPr>
                      <w:rFonts w:hint="eastAsia"/>
                      <w:b w:val="0"/>
                      <w:bCs w:val="0"/>
                      <w:color w:val="auto"/>
                      <w:szCs w:val="21"/>
                      <w:highlight w:val="none"/>
                      <w:lang w:eastAsia="zh-CN"/>
                    </w:rPr>
                    <w:t>）</w:t>
                  </w:r>
                </w:p>
              </w:tc>
              <w:tc>
                <w:tcPr>
                  <w:tcW w:w="1918" w:type="dxa"/>
                  <w:vAlign w:val="top"/>
                </w:tcPr>
                <w:p w14:paraId="2A2094BA">
                  <w:pPr>
                    <w:jc w:val="center"/>
                    <w:rPr>
                      <w:rFonts w:hint="eastAsia"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w:t>
                  </w:r>
                </w:p>
              </w:tc>
            </w:tr>
            <w:tr w14:paraId="034E38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282" w:type="dxa"/>
                  <w:vMerge w:val="continue"/>
                </w:tcPr>
                <w:p w14:paraId="6E9EACBA">
                  <w:pPr>
                    <w:jc w:val="center"/>
                    <w:rPr>
                      <w:rFonts w:hint="eastAsia"/>
                      <w:b w:val="0"/>
                      <w:bCs w:val="0"/>
                      <w:color w:val="auto"/>
                      <w:szCs w:val="21"/>
                      <w:highlight w:val="none"/>
                      <w:lang w:eastAsia="zh-CN"/>
                    </w:rPr>
                  </w:pPr>
                </w:p>
              </w:tc>
              <w:tc>
                <w:tcPr>
                  <w:tcW w:w="2162" w:type="dxa"/>
                  <w:vAlign w:val="top"/>
                </w:tcPr>
                <w:p w14:paraId="349CEC02">
                  <w:pPr>
                    <w:jc w:val="center"/>
                    <w:rPr>
                      <w:rFonts w:hint="eastAsia"/>
                      <w:b w:val="0"/>
                      <w:bCs w:val="0"/>
                      <w:color w:val="auto"/>
                      <w:szCs w:val="21"/>
                      <w:highlight w:val="none"/>
                      <w:lang w:val="en-US" w:eastAsia="zh-CN"/>
                    </w:rPr>
                  </w:pPr>
                  <w:r>
                    <w:rPr>
                      <w:rFonts w:hint="eastAsia"/>
                      <w:b w:val="0"/>
                      <w:bCs w:val="0"/>
                      <w:color w:val="auto"/>
                      <w:szCs w:val="21"/>
                      <w:highlight w:val="none"/>
                      <w:lang w:eastAsia="zh-CN"/>
                    </w:rPr>
                    <w:t>全硫（</w:t>
                  </w:r>
                  <w:r>
                    <w:rPr>
                      <w:rFonts w:hint="eastAsia"/>
                      <w:b w:val="0"/>
                      <w:bCs w:val="0"/>
                      <w:color w:val="auto"/>
                      <w:szCs w:val="21"/>
                      <w:highlight w:val="none"/>
                      <w:lang w:val="en-US" w:eastAsia="zh-CN"/>
                    </w:rPr>
                    <w:t>S</w:t>
                  </w:r>
                  <w:r>
                    <w:rPr>
                      <w:rFonts w:hint="eastAsia"/>
                      <w:b w:val="0"/>
                      <w:bCs w:val="0"/>
                      <w:color w:val="auto"/>
                      <w:szCs w:val="21"/>
                      <w:highlight w:val="none"/>
                      <w:vertAlign w:val="subscript"/>
                      <w:lang w:val="en-US" w:eastAsia="zh-CN"/>
                    </w:rPr>
                    <w:t>t</w:t>
                  </w:r>
                  <w:r>
                    <w:rPr>
                      <w:rFonts w:hint="eastAsia"/>
                      <w:b w:val="0"/>
                      <w:bCs w:val="0"/>
                      <w:color w:val="auto"/>
                      <w:szCs w:val="21"/>
                      <w:highlight w:val="none"/>
                      <w:lang w:val="en-US" w:eastAsia="zh-CN"/>
                    </w:rPr>
                    <w:t>，d</w:t>
                  </w:r>
                  <w:r>
                    <w:rPr>
                      <w:rFonts w:hint="eastAsia"/>
                      <w:b w:val="0"/>
                      <w:bCs w:val="0"/>
                      <w:color w:val="auto"/>
                      <w:szCs w:val="21"/>
                      <w:highlight w:val="none"/>
                      <w:lang w:eastAsia="zh-CN"/>
                    </w:rPr>
                    <w:t>）</w:t>
                  </w:r>
                </w:p>
              </w:tc>
              <w:tc>
                <w:tcPr>
                  <w:tcW w:w="1014" w:type="dxa"/>
                  <w:vAlign w:val="top"/>
                </w:tcPr>
                <w:p w14:paraId="3E21919E">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w:t>
                  </w:r>
                </w:p>
              </w:tc>
              <w:tc>
                <w:tcPr>
                  <w:tcW w:w="1918" w:type="dxa"/>
                  <w:vAlign w:val="top"/>
                </w:tcPr>
                <w:p w14:paraId="0BFA2646">
                  <w:pPr>
                    <w:jc w:val="center"/>
                    <w:rPr>
                      <w:rFonts w:hint="default"/>
                      <w:b w:val="0"/>
                      <w:bCs w:val="0"/>
                      <w:color w:val="auto"/>
                      <w:szCs w:val="21"/>
                      <w:highlight w:val="none"/>
                      <w:lang w:val="en-US" w:eastAsia="zh-CN"/>
                    </w:rPr>
                  </w:pPr>
                  <w:r>
                    <w:rPr>
                      <w:rFonts w:hint="eastAsia"/>
                      <w:b w:val="0"/>
                      <w:bCs w:val="0"/>
                      <w:color w:val="auto"/>
                      <w:szCs w:val="21"/>
                      <w:highlight w:val="none"/>
                      <w:lang w:eastAsia="zh-CN"/>
                    </w:rPr>
                    <w:t>煤灰熔融性</w:t>
                  </w:r>
                </w:p>
              </w:tc>
              <w:tc>
                <w:tcPr>
                  <w:tcW w:w="1918" w:type="dxa"/>
                  <w:vAlign w:val="top"/>
                </w:tcPr>
                <w:p w14:paraId="2CC4B361">
                  <w:pPr>
                    <w:jc w:val="center"/>
                    <w:rPr>
                      <w:rFonts w:hint="eastAsia"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w:t>
                  </w:r>
                </w:p>
              </w:tc>
            </w:tr>
            <w:tr w14:paraId="55C113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282" w:type="dxa"/>
                  <w:vMerge w:val="continue"/>
                </w:tcPr>
                <w:p w14:paraId="5CB491CB">
                  <w:pPr>
                    <w:jc w:val="center"/>
                    <w:rPr>
                      <w:rFonts w:hint="eastAsia"/>
                      <w:b w:val="0"/>
                      <w:bCs w:val="0"/>
                      <w:color w:val="auto"/>
                      <w:szCs w:val="21"/>
                      <w:highlight w:val="none"/>
                      <w:lang w:eastAsia="zh-CN"/>
                    </w:rPr>
                  </w:pPr>
                </w:p>
              </w:tc>
              <w:tc>
                <w:tcPr>
                  <w:tcW w:w="2162" w:type="dxa"/>
                </w:tcPr>
                <w:p w14:paraId="6465F528">
                  <w:pPr>
                    <w:jc w:val="center"/>
                    <w:rPr>
                      <w:rFonts w:hint="eastAsia"/>
                      <w:b w:val="0"/>
                      <w:bCs w:val="0"/>
                      <w:color w:val="auto"/>
                      <w:szCs w:val="21"/>
                      <w:highlight w:val="none"/>
                      <w:lang w:val="en-US" w:eastAsia="zh-CN"/>
                    </w:rPr>
                  </w:pPr>
                  <w:r>
                    <w:rPr>
                      <w:rFonts w:hint="eastAsia"/>
                      <w:b w:val="0"/>
                      <w:bCs w:val="0"/>
                      <w:color w:val="auto"/>
                      <w:szCs w:val="21"/>
                      <w:highlight w:val="none"/>
                      <w:lang w:eastAsia="zh-CN"/>
                    </w:rPr>
                    <w:t>发热量（</w:t>
                  </w:r>
                  <w:r>
                    <w:rPr>
                      <w:rFonts w:hint="eastAsia"/>
                      <w:b w:val="0"/>
                      <w:bCs w:val="0"/>
                      <w:color w:val="auto"/>
                      <w:szCs w:val="21"/>
                      <w:highlight w:val="none"/>
                      <w:lang w:val="en-US" w:eastAsia="zh-CN"/>
                    </w:rPr>
                    <w:t>Q</w:t>
                  </w:r>
                  <w:r>
                    <w:rPr>
                      <w:rFonts w:hint="eastAsia"/>
                      <w:b w:val="0"/>
                      <w:bCs w:val="0"/>
                      <w:color w:val="auto"/>
                      <w:szCs w:val="21"/>
                      <w:highlight w:val="none"/>
                      <w:vertAlign w:val="subscript"/>
                      <w:lang w:val="en-US" w:eastAsia="zh-CN"/>
                    </w:rPr>
                    <w:t>net</w:t>
                  </w:r>
                  <w:r>
                    <w:rPr>
                      <w:rFonts w:hint="eastAsia"/>
                      <w:b w:val="0"/>
                      <w:bCs w:val="0"/>
                      <w:color w:val="auto"/>
                      <w:szCs w:val="21"/>
                      <w:highlight w:val="none"/>
                      <w:lang w:val="en-US" w:eastAsia="zh-CN"/>
                    </w:rPr>
                    <w:t>，</w:t>
                  </w:r>
                  <w:r>
                    <w:rPr>
                      <w:rFonts w:hint="eastAsia"/>
                      <w:b w:val="0"/>
                      <w:bCs w:val="0"/>
                      <w:color w:val="auto"/>
                      <w:szCs w:val="21"/>
                      <w:highlight w:val="none"/>
                      <w:vertAlign w:val="subscript"/>
                      <w:lang w:val="en-US" w:eastAsia="zh-CN"/>
                    </w:rPr>
                    <w:t>ar</w:t>
                  </w:r>
                  <w:r>
                    <w:rPr>
                      <w:rFonts w:hint="eastAsia"/>
                      <w:b w:val="0"/>
                      <w:bCs w:val="0"/>
                      <w:color w:val="auto"/>
                      <w:szCs w:val="21"/>
                      <w:highlight w:val="none"/>
                      <w:lang w:eastAsia="zh-CN"/>
                    </w:rPr>
                    <w:t>）</w:t>
                  </w:r>
                </w:p>
              </w:tc>
              <w:tc>
                <w:tcPr>
                  <w:tcW w:w="1014" w:type="dxa"/>
                  <w:vAlign w:val="top"/>
                </w:tcPr>
                <w:p w14:paraId="3597F07E">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MJ/kg</w:t>
                  </w:r>
                </w:p>
              </w:tc>
              <w:tc>
                <w:tcPr>
                  <w:tcW w:w="1918" w:type="dxa"/>
                  <w:vAlign w:val="top"/>
                </w:tcPr>
                <w:p w14:paraId="67B0D453">
                  <w:pPr>
                    <w:jc w:val="center"/>
                    <w:rPr>
                      <w:rFonts w:hint="eastAsia"/>
                      <w:b w:val="0"/>
                      <w:bCs w:val="0"/>
                      <w:color w:val="auto"/>
                      <w:szCs w:val="21"/>
                      <w:highlight w:val="none"/>
                      <w:lang w:eastAsia="zh-CN"/>
                    </w:rPr>
                  </w:pPr>
                  <w:r>
                    <w:rPr>
                      <w:rFonts w:hint="eastAsia"/>
                      <w:b w:val="0"/>
                      <w:bCs w:val="0"/>
                      <w:color w:val="auto"/>
                      <w:szCs w:val="21"/>
                      <w:highlight w:val="none"/>
                      <w:lang w:eastAsia="zh-CN"/>
                    </w:rPr>
                    <w:t>哈式可磨性（</w:t>
                  </w:r>
                  <w:r>
                    <w:rPr>
                      <w:rFonts w:hint="eastAsia"/>
                      <w:b w:val="0"/>
                      <w:bCs w:val="0"/>
                      <w:color w:val="auto"/>
                      <w:szCs w:val="21"/>
                      <w:highlight w:val="none"/>
                      <w:lang w:val="en-US" w:eastAsia="zh-CN"/>
                    </w:rPr>
                    <w:t>HGI</w:t>
                  </w:r>
                  <w:r>
                    <w:rPr>
                      <w:rFonts w:hint="eastAsia"/>
                      <w:b w:val="0"/>
                      <w:bCs w:val="0"/>
                      <w:color w:val="auto"/>
                      <w:szCs w:val="21"/>
                      <w:highlight w:val="none"/>
                      <w:lang w:eastAsia="zh-CN"/>
                    </w:rPr>
                    <w:t>）</w:t>
                  </w:r>
                </w:p>
              </w:tc>
              <w:tc>
                <w:tcPr>
                  <w:tcW w:w="1918" w:type="dxa"/>
                  <w:vAlign w:val="top"/>
                </w:tcPr>
                <w:p w14:paraId="7B76B943">
                  <w:pPr>
                    <w:jc w:val="center"/>
                    <w:rPr>
                      <w:rFonts w:hint="eastAsia"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w:t>
                  </w:r>
                </w:p>
              </w:tc>
            </w:tr>
            <w:tr w14:paraId="5CA567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282" w:type="dxa"/>
                  <w:vMerge w:val="continue"/>
                </w:tcPr>
                <w:p w14:paraId="16306C6D">
                  <w:pPr>
                    <w:jc w:val="center"/>
                    <w:rPr>
                      <w:rFonts w:hint="eastAsia"/>
                      <w:b w:val="0"/>
                      <w:bCs w:val="0"/>
                      <w:color w:val="auto"/>
                      <w:szCs w:val="21"/>
                      <w:highlight w:val="none"/>
                      <w:lang w:eastAsia="zh-CN"/>
                    </w:rPr>
                  </w:pPr>
                </w:p>
              </w:tc>
              <w:tc>
                <w:tcPr>
                  <w:tcW w:w="2162" w:type="dxa"/>
                </w:tcPr>
                <w:p w14:paraId="4E01BBD3">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煤中磷含量（P</w:t>
                  </w:r>
                  <w:r>
                    <w:rPr>
                      <w:rFonts w:hint="eastAsia"/>
                      <w:b w:val="0"/>
                      <w:bCs w:val="0"/>
                      <w:color w:val="auto"/>
                      <w:szCs w:val="21"/>
                      <w:highlight w:val="none"/>
                      <w:vertAlign w:val="subscript"/>
                      <w:lang w:val="en-US" w:eastAsia="zh-CN"/>
                    </w:rPr>
                    <w:t>d</w:t>
                  </w:r>
                  <w:r>
                    <w:rPr>
                      <w:rFonts w:hint="eastAsia"/>
                      <w:b w:val="0"/>
                      <w:bCs w:val="0"/>
                      <w:color w:val="auto"/>
                      <w:szCs w:val="21"/>
                      <w:highlight w:val="none"/>
                      <w:lang w:val="en-US" w:eastAsia="zh-CN"/>
                    </w:rPr>
                    <w:t>）</w:t>
                  </w:r>
                </w:p>
              </w:tc>
              <w:tc>
                <w:tcPr>
                  <w:tcW w:w="1014" w:type="dxa"/>
                </w:tcPr>
                <w:p w14:paraId="782D9261">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w:t>
                  </w:r>
                </w:p>
              </w:tc>
              <w:tc>
                <w:tcPr>
                  <w:tcW w:w="1918" w:type="dxa"/>
                  <w:vAlign w:val="top"/>
                </w:tcPr>
                <w:p w14:paraId="56BFD032">
                  <w:pPr>
                    <w:jc w:val="center"/>
                    <w:rPr>
                      <w:rFonts w:hint="eastAsia"/>
                      <w:b w:val="0"/>
                      <w:bCs w:val="0"/>
                      <w:color w:val="auto"/>
                      <w:szCs w:val="21"/>
                      <w:highlight w:val="none"/>
                      <w:lang w:eastAsia="zh-CN"/>
                    </w:rPr>
                  </w:pPr>
                </w:p>
              </w:tc>
              <w:tc>
                <w:tcPr>
                  <w:tcW w:w="1918" w:type="dxa"/>
                  <w:vAlign w:val="top"/>
                </w:tcPr>
                <w:p w14:paraId="591CA79A">
                  <w:pPr>
                    <w:jc w:val="center"/>
                    <w:rPr>
                      <w:rFonts w:hint="eastAsia" w:ascii="Times New Roman" w:hAnsi="Times New Roman" w:cs="Times New Roman"/>
                      <w:b w:val="0"/>
                      <w:bCs w:val="0"/>
                      <w:color w:val="auto"/>
                      <w:szCs w:val="21"/>
                      <w:highlight w:val="none"/>
                      <w:lang w:val="en-US" w:eastAsia="zh-CN"/>
                    </w:rPr>
                  </w:pPr>
                </w:p>
              </w:tc>
            </w:tr>
            <w:tr w14:paraId="7F8531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282" w:type="dxa"/>
                  <w:vMerge w:val="continue"/>
                </w:tcPr>
                <w:p w14:paraId="159407F3">
                  <w:pPr>
                    <w:jc w:val="center"/>
                    <w:rPr>
                      <w:rFonts w:hint="eastAsia"/>
                      <w:b w:val="0"/>
                      <w:bCs w:val="0"/>
                      <w:color w:val="auto"/>
                      <w:szCs w:val="21"/>
                      <w:highlight w:val="none"/>
                      <w:lang w:eastAsia="zh-CN"/>
                    </w:rPr>
                  </w:pPr>
                </w:p>
              </w:tc>
              <w:tc>
                <w:tcPr>
                  <w:tcW w:w="2162" w:type="dxa"/>
                </w:tcPr>
                <w:p w14:paraId="4F523F78">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煤中氯含量（CL</w:t>
                  </w:r>
                  <w:r>
                    <w:rPr>
                      <w:rFonts w:hint="eastAsia"/>
                      <w:b w:val="0"/>
                      <w:bCs w:val="0"/>
                      <w:color w:val="auto"/>
                      <w:szCs w:val="21"/>
                      <w:highlight w:val="none"/>
                      <w:vertAlign w:val="subscript"/>
                      <w:lang w:val="en-US" w:eastAsia="zh-CN"/>
                    </w:rPr>
                    <w:t>d</w:t>
                  </w:r>
                  <w:r>
                    <w:rPr>
                      <w:rFonts w:hint="eastAsia"/>
                      <w:b w:val="0"/>
                      <w:bCs w:val="0"/>
                      <w:color w:val="auto"/>
                      <w:szCs w:val="21"/>
                      <w:highlight w:val="none"/>
                      <w:lang w:val="en-US" w:eastAsia="zh-CN"/>
                    </w:rPr>
                    <w:t>）</w:t>
                  </w:r>
                </w:p>
              </w:tc>
              <w:tc>
                <w:tcPr>
                  <w:tcW w:w="1014" w:type="dxa"/>
                </w:tcPr>
                <w:p w14:paraId="1EB721DD">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w:t>
                  </w:r>
                </w:p>
              </w:tc>
              <w:tc>
                <w:tcPr>
                  <w:tcW w:w="1918" w:type="dxa"/>
                  <w:vAlign w:val="top"/>
                </w:tcPr>
                <w:p w14:paraId="2A6D4DF1">
                  <w:pPr>
                    <w:jc w:val="center"/>
                    <w:rPr>
                      <w:rFonts w:hint="eastAsia"/>
                      <w:b w:val="0"/>
                      <w:bCs w:val="0"/>
                      <w:color w:val="auto"/>
                      <w:szCs w:val="21"/>
                      <w:highlight w:val="none"/>
                      <w:lang w:eastAsia="zh-CN"/>
                    </w:rPr>
                  </w:pPr>
                </w:p>
              </w:tc>
              <w:tc>
                <w:tcPr>
                  <w:tcW w:w="1918" w:type="dxa"/>
                  <w:vAlign w:val="top"/>
                </w:tcPr>
                <w:p w14:paraId="46524793">
                  <w:pPr>
                    <w:jc w:val="center"/>
                    <w:rPr>
                      <w:rFonts w:hint="eastAsia" w:ascii="Times New Roman" w:hAnsi="Times New Roman" w:cs="Times New Roman"/>
                      <w:b w:val="0"/>
                      <w:bCs w:val="0"/>
                      <w:color w:val="auto"/>
                      <w:szCs w:val="21"/>
                      <w:highlight w:val="none"/>
                      <w:lang w:val="en-US" w:eastAsia="zh-CN"/>
                    </w:rPr>
                  </w:pPr>
                </w:p>
              </w:tc>
            </w:tr>
            <w:tr w14:paraId="2DEE63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282" w:type="dxa"/>
                  <w:vMerge w:val="continue"/>
                </w:tcPr>
                <w:p w14:paraId="0E0D0058">
                  <w:pPr>
                    <w:jc w:val="center"/>
                    <w:rPr>
                      <w:rFonts w:hint="eastAsia"/>
                      <w:b w:val="0"/>
                      <w:bCs w:val="0"/>
                      <w:color w:val="auto"/>
                      <w:szCs w:val="21"/>
                      <w:highlight w:val="none"/>
                      <w:lang w:eastAsia="zh-CN"/>
                    </w:rPr>
                  </w:pPr>
                </w:p>
              </w:tc>
              <w:tc>
                <w:tcPr>
                  <w:tcW w:w="2162" w:type="dxa"/>
                </w:tcPr>
                <w:p w14:paraId="1B474197">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煤中砷含量（As</w:t>
                  </w:r>
                  <w:r>
                    <w:rPr>
                      <w:rFonts w:hint="eastAsia"/>
                      <w:b w:val="0"/>
                      <w:bCs w:val="0"/>
                      <w:color w:val="auto"/>
                      <w:szCs w:val="21"/>
                      <w:highlight w:val="none"/>
                      <w:vertAlign w:val="subscript"/>
                      <w:lang w:val="en-US" w:eastAsia="zh-CN"/>
                    </w:rPr>
                    <w:t>d</w:t>
                  </w:r>
                  <w:r>
                    <w:rPr>
                      <w:rFonts w:hint="eastAsia"/>
                      <w:b w:val="0"/>
                      <w:bCs w:val="0"/>
                      <w:color w:val="auto"/>
                      <w:szCs w:val="21"/>
                      <w:highlight w:val="none"/>
                      <w:lang w:val="en-US" w:eastAsia="zh-CN"/>
                    </w:rPr>
                    <w:t>）</w:t>
                  </w:r>
                </w:p>
              </w:tc>
              <w:tc>
                <w:tcPr>
                  <w:tcW w:w="1014" w:type="dxa"/>
                </w:tcPr>
                <w:p w14:paraId="1145C281">
                  <w:pPr>
                    <w:jc w:val="center"/>
                    <w:rPr>
                      <w:rFonts w:hint="default"/>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ug/g</w:t>
                  </w:r>
                </w:p>
              </w:tc>
              <w:tc>
                <w:tcPr>
                  <w:tcW w:w="1918" w:type="dxa"/>
                  <w:vAlign w:val="top"/>
                </w:tcPr>
                <w:p w14:paraId="6C7C1FA9">
                  <w:pPr>
                    <w:jc w:val="center"/>
                    <w:rPr>
                      <w:rFonts w:hint="eastAsia"/>
                      <w:b w:val="0"/>
                      <w:bCs w:val="0"/>
                      <w:color w:val="auto"/>
                      <w:szCs w:val="21"/>
                      <w:highlight w:val="none"/>
                      <w:lang w:eastAsia="zh-CN"/>
                    </w:rPr>
                  </w:pPr>
                </w:p>
              </w:tc>
              <w:tc>
                <w:tcPr>
                  <w:tcW w:w="1918" w:type="dxa"/>
                  <w:vAlign w:val="top"/>
                </w:tcPr>
                <w:p w14:paraId="36A3035B">
                  <w:pPr>
                    <w:jc w:val="center"/>
                    <w:rPr>
                      <w:rFonts w:hint="eastAsia" w:ascii="Times New Roman" w:hAnsi="Times New Roman" w:cs="Times New Roman"/>
                      <w:b w:val="0"/>
                      <w:bCs w:val="0"/>
                      <w:color w:val="auto"/>
                      <w:szCs w:val="21"/>
                      <w:highlight w:val="none"/>
                      <w:lang w:val="en-US" w:eastAsia="zh-CN"/>
                    </w:rPr>
                  </w:pPr>
                </w:p>
              </w:tc>
            </w:tr>
            <w:tr w14:paraId="143158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282" w:type="dxa"/>
                  <w:vMerge w:val="continue"/>
                </w:tcPr>
                <w:p w14:paraId="6A301694">
                  <w:pPr>
                    <w:jc w:val="center"/>
                    <w:rPr>
                      <w:rFonts w:hint="eastAsia"/>
                      <w:b w:val="0"/>
                      <w:bCs w:val="0"/>
                      <w:color w:val="auto"/>
                      <w:szCs w:val="21"/>
                      <w:highlight w:val="none"/>
                      <w:lang w:eastAsia="zh-CN"/>
                    </w:rPr>
                  </w:pPr>
                </w:p>
              </w:tc>
              <w:tc>
                <w:tcPr>
                  <w:tcW w:w="2162" w:type="dxa"/>
                </w:tcPr>
                <w:p w14:paraId="2D6E7B6F">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煤中汞含量（Ag</w:t>
                  </w:r>
                  <w:r>
                    <w:rPr>
                      <w:rFonts w:hint="eastAsia"/>
                      <w:b w:val="0"/>
                      <w:bCs w:val="0"/>
                      <w:color w:val="auto"/>
                      <w:szCs w:val="21"/>
                      <w:highlight w:val="none"/>
                      <w:vertAlign w:val="subscript"/>
                      <w:lang w:val="en-US" w:eastAsia="zh-CN"/>
                    </w:rPr>
                    <w:t>d</w:t>
                  </w:r>
                  <w:r>
                    <w:rPr>
                      <w:rFonts w:hint="eastAsia"/>
                      <w:b w:val="0"/>
                      <w:bCs w:val="0"/>
                      <w:color w:val="auto"/>
                      <w:szCs w:val="21"/>
                      <w:highlight w:val="none"/>
                      <w:lang w:val="en-US" w:eastAsia="zh-CN"/>
                    </w:rPr>
                    <w:t>）</w:t>
                  </w:r>
                </w:p>
              </w:tc>
              <w:tc>
                <w:tcPr>
                  <w:tcW w:w="1014" w:type="dxa"/>
                </w:tcPr>
                <w:p w14:paraId="6D90BE28">
                  <w:pPr>
                    <w:jc w:val="center"/>
                    <w:rPr>
                      <w:rFonts w:hint="eastAsia"/>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ug/g</w:t>
                  </w:r>
                </w:p>
              </w:tc>
              <w:tc>
                <w:tcPr>
                  <w:tcW w:w="1918" w:type="dxa"/>
                  <w:vAlign w:val="top"/>
                </w:tcPr>
                <w:p w14:paraId="3C7055EC">
                  <w:pPr>
                    <w:jc w:val="center"/>
                    <w:rPr>
                      <w:rFonts w:hint="eastAsia"/>
                      <w:b w:val="0"/>
                      <w:bCs w:val="0"/>
                      <w:color w:val="auto"/>
                      <w:szCs w:val="21"/>
                      <w:highlight w:val="none"/>
                      <w:lang w:eastAsia="zh-CN"/>
                    </w:rPr>
                  </w:pPr>
                </w:p>
              </w:tc>
              <w:tc>
                <w:tcPr>
                  <w:tcW w:w="1918" w:type="dxa"/>
                  <w:vAlign w:val="top"/>
                </w:tcPr>
                <w:p w14:paraId="77B41351">
                  <w:pPr>
                    <w:jc w:val="center"/>
                    <w:rPr>
                      <w:rFonts w:hint="eastAsia" w:ascii="Times New Roman" w:hAnsi="Times New Roman" w:cs="Times New Roman"/>
                      <w:b w:val="0"/>
                      <w:bCs w:val="0"/>
                      <w:color w:val="auto"/>
                      <w:szCs w:val="21"/>
                      <w:highlight w:val="none"/>
                      <w:lang w:val="en-US" w:eastAsia="zh-CN"/>
                    </w:rPr>
                  </w:pPr>
                </w:p>
              </w:tc>
            </w:tr>
            <w:tr w14:paraId="3DD948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282" w:type="dxa"/>
                  <w:vMerge w:val="continue"/>
                </w:tcPr>
                <w:p w14:paraId="1B3F8A1D">
                  <w:pPr>
                    <w:jc w:val="center"/>
                    <w:rPr>
                      <w:rFonts w:hint="eastAsia"/>
                      <w:b w:val="0"/>
                      <w:bCs w:val="0"/>
                      <w:color w:val="auto"/>
                      <w:szCs w:val="21"/>
                      <w:highlight w:val="none"/>
                      <w:lang w:eastAsia="zh-CN"/>
                    </w:rPr>
                  </w:pPr>
                </w:p>
              </w:tc>
              <w:tc>
                <w:tcPr>
                  <w:tcW w:w="2162" w:type="dxa"/>
                </w:tcPr>
                <w:p w14:paraId="6C05EF38">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煤中氟含量（F</w:t>
                  </w:r>
                  <w:r>
                    <w:rPr>
                      <w:rFonts w:hint="eastAsia"/>
                      <w:b w:val="0"/>
                      <w:bCs w:val="0"/>
                      <w:color w:val="auto"/>
                      <w:szCs w:val="21"/>
                      <w:highlight w:val="none"/>
                      <w:vertAlign w:val="subscript"/>
                      <w:lang w:val="en-US" w:eastAsia="zh-CN"/>
                    </w:rPr>
                    <w:t>d</w:t>
                  </w:r>
                  <w:r>
                    <w:rPr>
                      <w:rFonts w:hint="eastAsia"/>
                      <w:b w:val="0"/>
                      <w:bCs w:val="0"/>
                      <w:color w:val="auto"/>
                      <w:szCs w:val="21"/>
                      <w:highlight w:val="none"/>
                      <w:lang w:val="en-US" w:eastAsia="zh-CN"/>
                    </w:rPr>
                    <w:t>）</w:t>
                  </w:r>
                </w:p>
              </w:tc>
              <w:tc>
                <w:tcPr>
                  <w:tcW w:w="1014" w:type="dxa"/>
                </w:tcPr>
                <w:p w14:paraId="539231C1">
                  <w:pPr>
                    <w:jc w:val="center"/>
                    <w:rPr>
                      <w:rFonts w:hint="eastAsia"/>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ug/g</w:t>
                  </w:r>
                </w:p>
              </w:tc>
              <w:tc>
                <w:tcPr>
                  <w:tcW w:w="1918" w:type="dxa"/>
                  <w:vAlign w:val="top"/>
                </w:tcPr>
                <w:p w14:paraId="3A016531">
                  <w:pPr>
                    <w:jc w:val="center"/>
                    <w:rPr>
                      <w:rFonts w:hint="eastAsia"/>
                      <w:b w:val="0"/>
                      <w:bCs w:val="0"/>
                      <w:color w:val="auto"/>
                      <w:szCs w:val="21"/>
                      <w:highlight w:val="none"/>
                      <w:lang w:eastAsia="zh-CN"/>
                    </w:rPr>
                  </w:pPr>
                </w:p>
              </w:tc>
              <w:tc>
                <w:tcPr>
                  <w:tcW w:w="1918" w:type="dxa"/>
                  <w:vAlign w:val="top"/>
                </w:tcPr>
                <w:p w14:paraId="52F20080">
                  <w:pPr>
                    <w:jc w:val="center"/>
                    <w:rPr>
                      <w:rFonts w:hint="eastAsia" w:ascii="Times New Roman" w:hAnsi="Times New Roman" w:cs="Times New Roman"/>
                      <w:b w:val="0"/>
                      <w:bCs w:val="0"/>
                      <w:color w:val="auto"/>
                      <w:szCs w:val="21"/>
                      <w:highlight w:val="none"/>
                      <w:lang w:val="en-US" w:eastAsia="zh-CN"/>
                    </w:rPr>
                  </w:pPr>
                </w:p>
              </w:tc>
            </w:tr>
            <w:tr w14:paraId="4A006B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8294" w:type="dxa"/>
                  <w:gridSpan w:val="5"/>
                </w:tcPr>
                <w:p w14:paraId="2822C197">
                  <w:pPr>
                    <w:jc w:val="both"/>
                    <w:rPr>
                      <w:rFonts w:hint="eastAsia"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vertAlign w:val="superscript"/>
                      <w:lang w:val="en-US" w:eastAsia="zh-CN"/>
                    </w:rPr>
                    <w:t>a</w:t>
                  </w:r>
                  <w:r>
                    <w:rPr>
                      <w:rFonts w:hint="eastAsia" w:ascii="Times New Roman" w:hAnsi="Times New Roman" w:cs="Times New Roman"/>
                      <w:b w:val="0"/>
                      <w:bCs w:val="0"/>
                      <w:color w:val="auto"/>
                      <w:szCs w:val="21"/>
                      <w:highlight w:val="none"/>
                      <w:lang w:val="en-US" w:eastAsia="zh-CN"/>
                    </w:rPr>
                    <w:t>动力用煤的煤类包括褐煤、非炼焦油煤和无烟煤。</w:t>
                  </w:r>
                </w:p>
                <w:p w14:paraId="5B6199FE">
                  <w:pPr>
                    <w:jc w:val="both"/>
                    <w:rPr>
                      <w:rFonts w:hint="default"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vertAlign w:val="superscript"/>
                      <w:lang w:val="en-US" w:eastAsia="zh-CN"/>
                    </w:rPr>
                    <w:t>b</w:t>
                  </w:r>
                  <w:r>
                    <w:rPr>
                      <w:rFonts w:hint="eastAsia" w:ascii="Times New Roman" w:hAnsi="Times New Roman" w:cs="Times New Roman"/>
                      <w:b w:val="0"/>
                      <w:bCs w:val="0"/>
                      <w:color w:val="auto"/>
                      <w:szCs w:val="21"/>
                      <w:highlight w:val="none"/>
                      <w:lang w:val="en-US" w:eastAsia="zh-CN"/>
                    </w:rPr>
                    <w:t>煤份含量指商品煤中粒度小于0.5mm的煤粉的质量分数。</w:t>
                  </w:r>
                </w:p>
              </w:tc>
            </w:tr>
          </w:tbl>
          <w:p w14:paraId="2D93520E">
            <w:pPr>
              <w:jc w:val="center"/>
              <w:rPr>
                <w:b/>
                <w:snapToGrid w:val="0"/>
                <w:color w:val="auto"/>
                <w:kern w:val="0"/>
                <w:szCs w:val="21"/>
                <w:highlight w:val="none"/>
              </w:rPr>
            </w:pPr>
          </w:p>
          <w:p w14:paraId="427657E0">
            <w:pPr>
              <w:jc w:val="center"/>
              <w:rPr>
                <w:b/>
                <w:snapToGrid w:val="0"/>
                <w:color w:val="auto"/>
                <w:kern w:val="0"/>
                <w:szCs w:val="21"/>
                <w:highlight w:val="none"/>
              </w:rPr>
            </w:pPr>
          </w:p>
          <w:p w14:paraId="5014D5C2">
            <w:pPr>
              <w:jc w:val="center"/>
              <w:rPr>
                <w:b/>
                <w:snapToGrid w:val="0"/>
                <w:color w:val="auto"/>
                <w:kern w:val="0"/>
                <w:szCs w:val="21"/>
                <w:highlight w:val="none"/>
              </w:rPr>
            </w:pPr>
          </w:p>
          <w:p w14:paraId="29B4BA24">
            <w:pPr>
              <w:jc w:val="center"/>
              <w:rPr>
                <w:rFonts w:hint="eastAsia" w:eastAsia="宋体"/>
                <w:b/>
                <w:snapToGrid w:val="0"/>
                <w:color w:val="auto"/>
                <w:kern w:val="0"/>
                <w:szCs w:val="21"/>
                <w:highlight w:val="none"/>
                <w:lang w:val="en-US" w:eastAsia="zh-CN"/>
              </w:rPr>
            </w:pPr>
            <w:r>
              <w:rPr>
                <w:b/>
                <w:snapToGrid w:val="0"/>
                <w:color w:val="auto"/>
                <w:kern w:val="0"/>
                <w:szCs w:val="21"/>
                <w:highlight w:val="none"/>
              </w:rPr>
              <w:t>表</w:t>
            </w:r>
            <w:r>
              <w:rPr>
                <w:rFonts w:hint="eastAsia"/>
                <w:b/>
                <w:snapToGrid w:val="0"/>
                <w:color w:val="auto"/>
                <w:kern w:val="0"/>
                <w:szCs w:val="21"/>
                <w:highlight w:val="none"/>
              </w:rPr>
              <w:t>2</w:t>
            </w:r>
            <w:r>
              <w:rPr>
                <w:b/>
                <w:snapToGrid w:val="0"/>
                <w:color w:val="auto"/>
                <w:kern w:val="0"/>
                <w:szCs w:val="21"/>
                <w:highlight w:val="none"/>
              </w:rPr>
              <w:t>-</w:t>
            </w:r>
            <w:r>
              <w:rPr>
                <w:rFonts w:hint="eastAsia"/>
                <w:b/>
                <w:snapToGrid w:val="0"/>
                <w:color w:val="auto"/>
                <w:kern w:val="0"/>
                <w:szCs w:val="21"/>
                <w:highlight w:val="none"/>
                <w:lang w:val="en-US" w:eastAsia="zh-CN"/>
              </w:rPr>
              <w:t>5</w:t>
            </w:r>
            <w:r>
              <w:rPr>
                <w:b/>
                <w:snapToGrid w:val="0"/>
                <w:color w:val="auto"/>
                <w:kern w:val="0"/>
                <w:szCs w:val="21"/>
                <w:highlight w:val="none"/>
              </w:rPr>
              <w:t xml:space="preserve"> </w:t>
            </w:r>
            <w:r>
              <w:rPr>
                <w:rFonts w:hint="eastAsia"/>
                <w:b/>
                <w:snapToGrid w:val="0"/>
                <w:color w:val="auto"/>
                <w:kern w:val="0"/>
                <w:szCs w:val="21"/>
                <w:highlight w:val="none"/>
              </w:rPr>
              <w:t xml:space="preserve"> </w:t>
            </w:r>
            <w:r>
              <w:rPr>
                <w:rFonts w:hint="eastAsia"/>
                <w:b/>
                <w:snapToGrid w:val="0"/>
                <w:color w:val="auto"/>
                <w:kern w:val="0"/>
                <w:szCs w:val="21"/>
                <w:highlight w:val="none"/>
                <w:lang w:eastAsia="zh-CN"/>
              </w:rPr>
              <w:t>动力用煤质量控制指</w:t>
            </w:r>
            <w:r>
              <w:rPr>
                <w:rFonts w:hint="eastAsia"/>
                <w:b/>
                <w:bCs w:val="0"/>
                <w:snapToGrid w:val="0"/>
                <w:color w:val="auto"/>
                <w:kern w:val="0"/>
                <w:szCs w:val="21"/>
                <w:highlight w:val="none"/>
                <w:lang w:eastAsia="zh-CN"/>
              </w:rPr>
              <w:t>标与控制值</w:t>
            </w:r>
            <w:r>
              <w:rPr>
                <w:rFonts w:hint="eastAsia"/>
                <w:b/>
                <w:bCs w:val="0"/>
                <w:color w:val="auto"/>
                <w:sz w:val="21"/>
                <w:szCs w:val="21"/>
                <w:highlight w:val="none"/>
                <w:lang w:eastAsia="zh-CN"/>
              </w:rPr>
              <w:t>（</w:t>
            </w:r>
            <w:r>
              <w:rPr>
                <w:rFonts w:hint="eastAsia"/>
                <w:b/>
                <w:bCs w:val="0"/>
                <w:color w:val="auto"/>
                <w:sz w:val="21"/>
                <w:szCs w:val="21"/>
                <w:highlight w:val="none"/>
                <w:lang w:val="en-US" w:eastAsia="zh-CN"/>
              </w:rPr>
              <w:t>GB/T31356-2014</w:t>
            </w:r>
            <w:r>
              <w:rPr>
                <w:rFonts w:hint="eastAsia"/>
                <w:b/>
                <w:bCs w:val="0"/>
                <w:color w:val="auto"/>
                <w:sz w:val="21"/>
                <w:szCs w:val="21"/>
                <w:highlight w:val="none"/>
                <w:lang w:eastAsia="zh-CN"/>
              </w:rPr>
              <w:t>）</w:t>
            </w:r>
          </w:p>
          <w:tbl>
            <w:tblPr>
              <w:tblStyle w:val="27"/>
              <w:tblW w:w="829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44"/>
              <w:gridCol w:w="1788"/>
              <w:gridCol w:w="737"/>
              <w:gridCol w:w="1213"/>
              <w:gridCol w:w="1149"/>
              <w:gridCol w:w="138"/>
              <w:gridCol w:w="1000"/>
              <w:gridCol w:w="1225"/>
            </w:tblGrid>
            <w:tr w14:paraId="132AF2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44" w:type="dxa"/>
                </w:tcPr>
                <w:p w14:paraId="67EAA4C8">
                  <w:pPr>
                    <w:jc w:val="both"/>
                    <w:rPr>
                      <w:rFonts w:hint="eastAsia" w:eastAsia="宋体"/>
                      <w:b/>
                      <w:color w:val="auto"/>
                      <w:szCs w:val="21"/>
                      <w:highlight w:val="none"/>
                      <w:lang w:eastAsia="zh-CN"/>
                    </w:rPr>
                  </w:pPr>
                  <w:r>
                    <w:rPr>
                      <w:rFonts w:hint="eastAsia"/>
                      <w:b/>
                      <w:bCs/>
                      <w:color w:val="auto"/>
                      <w:szCs w:val="21"/>
                      <w:highlight w:val="none"/>
                      <w:lang w:eastAsia="zh-CN"/>
                    </w:rPr>
                    <w:t>商品煤类别</w:t>
                  </w:r>
                </w:p>
              </w:tc>
              <w:tc>
                <w:tcPr>
                  <w:tcW w:w="1788" w:type="dxa"/>
                </w:tcPr>
                <w:p w14:paraId="0912120D">
                  <w:pPr>
                    <w:jc w:val="center"/>
                    <w:rPr>
                      <w:rFonts w:hint="eastAsia"/>
                      <w:b/>
                      <w:bCs/>
                      <w:color w:val="auto"/>
                      <w:szCs w:val="21"/>
                      <w:highlight w:val="none"/>
                      <w:lang w:eastAsia="zh-CN"/>
                    </w:rPr>
                  </w:pPr>
                  <w:r>
                    <w:rPr>
                      <w:rFonts w:hint="eastAsia"/>
                      <w:b/>
                      <w:bCs/>
                      <w:color w:val="auto"/>
                      <w:szCs w:val="21"/>
                      <w:highlight w:val="none"/>
                      <w:lang w:eastAsia="zh-CN"/>
                    </w:rPr>
                    <w:t>控制指标</w:t>
                  </w:r>
                </w:p>
              </w:tc>
              <w:tc>
                <w:tcPr>
                  <w:tcW w:w="737" w:type="dxa"/>
                </w:tcPr>
                <w:p w14:paraId="1867BDE0">
                  <w:pPr>
                    <w:jc w:val="center"/>
                    <w:rPr>
                      <w:rFonts w:hint="eastAsia"/>
                      <w:b/>
                      <w:bCs/>
                      <w:color w:val="auto"/>
                      <w:szCs w:val="21"/>
                      <w:highlight w:val="none"/>
                      <w:lang w:eastAsia="zh-CN"/>
                    </w:rPr>
                  </w:pPr>
                  <w:r>
                    <w:rPr>
                      <w:rFonts w:hint="eastAsia"/>
                      <w:b/>
                      <w:bCs/>
                      <w:color w:val="auto"/>
                      <w:szCs w:val="21"/>
                      <w:highlight w:val="none"/>
                      <w:lang w:eastAsia="zh-CN"/>
                    </w:rPr>
                    <w:t>单位</w:t>
                  </w:r>
                </w:p>
              </w:tc>
              <w:tc>
                <w:tcPr>
                  <w:tcW w:w="4725" w:type="dxa"/>
                  <w:gridSpan w:val="5"/>
                  <w:vAlign w:val="top"/>
                </w:tcPr>
                <w:p w14:paraId="61CE3676">
                  <w:pPr>
                    <w:jc w:val="center"/>
                    <w:rPr>
                      <w:rFonts w:hint="eastAsia"/>
                      <w:b/>
                      <w:color w:val="auto"/>
                      <w:szCs w:val="21"/>
                      <w:highlight w:val="none"/>
                      <w:lang w:eastAsia="zh-CN"/>
                    </w:rPr>
                  </w:pPr>
                  <w:r>
                    <w:rPr>
                      <w:rFonts w:hint="eastAsia"/>
                      <w:b/>
                      <w:color w:val="auto"/>
                      <w:szCs w:val="21"/>
                      <w:highlight w:val="none"/>
                      <w:lang w:eastAsia="zh-CN"/>
                    </w:rPr>
                    <w:t>控制值</w:t>
                  </w:r>
                </w:p>
              </w:tc>
            </w:tr>
            <w:tr w14:paraId="721D04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44" w:type="dxa"/>
                  <w:vMerge w:val="restart"/>
                </w:tcPr>
                <w:p w14:paraId="16E59D80">
                  <w:pPr>
                    <w:jc w:val="center"/>
                    <w:rPr>
                      <w:rFonts w:hint="eastAsia" w:eastAsia="宋体"/>
                      <w:b/>
                      <w:bCs/>
                      <w:color w:val="auto"/>
                      <w:szCs w:val="21"/>
                      <w:highlight w:val="none"/>
                      <w:lang w:eastAsia="zh-CN"/>
                    </w:rPr>
                  </w:pPr>
                  <w:r>
                    <w:rPr>
                      <w:rFonts w:hint="eastAsia"/>
                      <w:b w:val="0"/>
                      <w:bCs w:val="0"/>
                      <w:color w:val="auto"/>
                      <w:szCs w:val="21"/>
                      <w:highlight w:val="none"/>
                      <w:lang w:eastAsia="zh-CN"/>
                    </w:rPr>
                    <w:t>动力用煤</w:t>
                  </w:r>
                  <w:r>
                    <w:rPr>
                      <w:rFonts w:hint="eastAsia"/>
                      <w:b w:val="0"/>
                      <w:bCs w:val="0"/>
                      <w:color w:val="auto"/>
                      <w:szCs w:val="21"/>
                      <w:highlight w:val="none"/>
                      <w:vertAlign w:val="superscript"/>
                      <w:lang w:val="en-US" w:eastAsia="zh-CN"/>
                    </w:rPr>
                    <w:t>a</w:t>
                  </w:r>
                </w:p>
              </w:tc>
              <w:tc>
                <w:tcPr>
                  <w:tcW w:w="1788" w:type="dxa"/>
                  <w:vAlign w:val="top"/>
                </w:tcPr>
                <w:p w14:paraId="157AE716">
                  <w:pPr>
                    <w:jc w:val="center"/>
                    <w:rPr>
                      <w:rFonts w:hint="eastAsia"/>
                      <w:b/>
                      <w:bCs/>
                      <w:color w:val="auto"/>
                      <w:szCs w:val="21"/>
                      <w:highlight w:val="none"/>
                      <w:lang w:eastAsia="zh-CN"/>
                    </w:rPr>
                  </w:pPr>
                  <w:r>
                    <w:rPr>
                      <w:rFonts w:hint="eastAsia"/>
                      <w:b w:val="0"/>
                      <w:bCs w:val="0"/>
                      <w:color w:val="auto"/>
                      <w:szCs w:val="21"/>
                      <w:highlight w:val="none"/>
                      <w:lang w:val="en-US" w:eastAsia="zh-CN"/>
                    </w:rPr>
                    <w:t>煤粉含量</w:t>
                  </w:r>
                  <w:r>
                    <w:rPr>
                      <w:rFonts w:hint="eastAsia"/>
                      <w:b w:val="0"/>
                      <w:bCs w:val="0"/>
                      <w:color w:val="auto"/>
                      <w:szCs w:val="21"/>
                      <w:highlight w:val="none"/>
                      <w:vertAlign w:val="superscript"/>
                      <w:lang w:val="en-US" w:eastAsia="zh-CN"/>
                    </w:rPr>
                    <w:t>b</w:t>
                  </w:r>
                  <w:r>
                    <w:rPr>
                      <w:rFonts w:hint="eastAsia"/>
                      <w:b w:val="0"/>
                      <w:bCs w:val="0"/>
                      <w:color w:val="auto"/>
                      <w:szCs w:val="21"/>
                      <w:highlight w:val="none"/>
                      <w:lang w:val="en-US" w:eastAsia="zh-CN"/>
                    </w:rPr>
                    <w:t>（P</w:t>
                  </w:r>
                  <w:r>
                    <w:rPr>
                      <w:rFonts w:hint="eastAsia"/>
                      <w:b w:val="0"/>
                      <w:bCs w:val="0"/>
                      <w:color w:val="auto"/>
                      <w:szCs w:val="21"/>
                      <w:highlight w:val="none"/>
                      <w:vertAlign w:val="subscript"/>
                      <w:lang w:val="en-US" w:eastAsia="zh-CN"/>
                    </w:rPr>
                    <w:t>-0.5mm</w:t>
                  </w:r>
                  <w:r>
                    <w:rPr>
                      <w:rFonts w:hint="eastAsia"/>
                      <w:b w:val="0"/>
                      <w:bCs w:val="0"/>
                      <w:color w:val="auto"/>
                      <w:szCs w:val="21"/>
                      <w:highlight w:val="none"/>
                      <w:lang w:val="en-US" w:eastAsia="zh-CN"/>
                    </w:rPr>
                    <w:t>）</w:t>
                  </w:r>
                </w:p>
              </w:tc>
              <w:tc>
                <w:tcPr>
                  <w:tcW w:w="737" w:type="dxa"/>
                  <w:vAlign w:val="top"/>
                </w:tcPr>
                <w:p w14:paraId="2AEA82C9">
                  <w:pPr>
                    <w:jc w:val="center"/>
                    <w:rPr>
                      <w:rFonts w:hint="eastAsia"/>
                      <w:b/>
                      <w:bCs/>
                      <w:color w:val="auto"/>
                      <w:szCs w:val="21"/>
                      <w:highlight w:val="none"/>
                      <w:lang w:eastAsia="zh-CN"/>
                    </w:rPr>
                  </w:pPr>
                  <w:r>
                    <w:rPr>
                      <w:rFonts w:hint="eastAsia"/>
                      <w:b w:val="0"/>
                      <w:bCs w:val="0"/>
                      <w:color w:val="auto"/>
                      <w:szCs w:val="21"/>
                      <w:highlight w:val="none"/>
                      <w:lang w:val="en-US" w:eastAsia="zh-CN"/>
                    </w:rPr>
                    <w:t>%</w:t>
                  </w:r>
                </w:p>
              </w:tc>
              <w:tc>
                <w:tcPr>
                  <w:tcW w:w="2500" w:type="dxa"/>
                  <w:gridSpan w:val="3"/>
                  <w:vAlign w:val="top"/>
                </w:tcPr>
                <w:p w14:paraId="057FB0BF">
                  <w:pPr>
                    <w:jc w:val="center"/>
                    <w:rPr>
                      <w:rFonts w:hint="default"/>
                      <w:b/>
                      <w:bCs/>
                      <w:color w:val="auto"/>
                      <w:szCs w:val="21"/>
                      <w:highlight w:val="none"/>
                      <w:lang w:val="en-US" w:eastAsia="zh-CN"/>
                    </w:rPr>
                  </w:pPr>
                  <w:r>
                    <w:rPr>
                      <w:rFonts w:hint="eastAsia"/>
                      <w:b w:val="0"/>
                      <w:bCs w:val="0"/>
                      <w:color w:val="auto"/>
                      <w:szCs w:val="21"/>
                      <w:highlight w:val="none"/>
                      <w:lang w:eastAsia="zh-CN"/>
                    </w:rPr>
                    <w:t>≤</w:t>
                  </w:r>
                  <w:r>
                    <w:rPr>
                      <w:rFonts w:hint="eastAsia"/>
                      <w:b w:val="0"/>
                      <w:bCs w:val="0"/>
                      <w:color w:val="auto"/>
                      <w:szCs w:val="21"/>
                      <w:highlight w:val="none"/>
                      <w:lang w:val="en-US" w:eastAsia="zh-CN"/>
                    </w:rPr>
                    <w:t>30.0</w:t>
                  </w:r>
                </w:p>
              </w:tc>
              <w:tc>
                <w:tcPr>
                  <w:tcW w:w="2225" w:type="dxa"/>
                  <w:gridSpan w:val="2"/>
                  <w:vAlign w:val="top"/>
                </w:tcPr>
                <w:p w14:paraId="7DB10766">
                  <w:pPr>
                    <w:jc w:val="center"/>
                    <w:rPr>
                      <w:rFonts w:hint="eastAsia"/>
                      <w:b/>
                      <w:bCs/>
                      <w:color w:val="auto"/>
                      <w:szCs w:val="21"/>
                      <w:highlight w:val="none"/>
                      <w:lang w:eastAsia="zh-CN"/>
                    </w:rPr>
                  </w:pPr>
                  <w:r>
                    <w:rPr>
                      <w:rFonts w:hint="eastAsia"/>
                      <w:b w:val="0"/>
                      <w:bCs w:val="0"/>
                      <w:color w:val="auto"/>
                      <w:szCs w:val="21"/>
                      <w:highlight w:val="none"/>
                      <w:lang w:eastAsia="zh-CN"/>
                    </w:rPr>
                    <w:t>≤</w:t>
                  </w:r>
                  <w:r>
                    <w:rPr>
                      <w:rFonts w:hint="eastAsia"/>
                      <w:b w:val="0"/>
                      <w:bCs w:val="0"/>
                      <w:color w:val="auto"/>
                      <w:szCs w:val="21"/>
                      <w:highlight w:val="none"/>
                      <w:lang w:val="en-US" w:eastAsia="zh-CN"/>
                    </w:rPr>
                    <w:t>25.0</w:t>
                  </w:r>
                </w:p>
              </w:tc>
            </w:tr>
            <w:tr w14:paraId="18246C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44" w:type="dxa"/>
                  <w:vMerge w:val="continue"/>
                </w:tcPr>
                <w:p w14:paraId="7AA40FEA">
                  <w:pPr>
                    <w:jc w:val="center"/>
                    <w:rPr>
                      <w:rFonts w:hint="eastAsia" w:eastAsia="宋体"/>
                      <w:b/>
                      <w:bCs/>
                      <w:color w:val="auto"/>
                      <w:szCs w:val="21"/>
                      <w:highlight w:val="none"/>
                      <w:lang w:eastAsia="zh-CN"/>
                    </w:rPr>
                  </w:pPr>
                </w:p>
              </w:tc>
              <w:tc>
                <w:tcPr>
                  <w:tcW w:w="1788" w:type="dxa"/>
                  <w:vAlign w:val="top"/>
                </w:tcPr>
                <w:p w14:paraId="0B0CB535">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灰分（A</w:t>
                  </w:r>
                  <w:r>
                    <w:rPr>
                      <w:rFonts w:hint="eastAsia"/>
                      <w:b w:val="0"/>
                      <w:bCs w:val="0"/>
                      <w:color w:val="auto"/>
                      <w:szCs w:val="21"/>
                      <w:highlight w:val="none"/>
                      <w:vertAlign w:val="subscript"/>
                      <w:lang w:val="en-US" w:eastAsia="zh-CN"/>
                    </w:rPr>
                    <w:t>d</w:t>
                  </w:r>
                  <w:r>
                    <w:rPr>
                      <w:rFonts w:hint="eastAsia"/>
                      <w:b w:val="0"/>
                      <w:bCs w:val="0"/>
                      <w:color w:val="auto"/>
                      <w:szCs w:val="21"/>
                      <w:highlight w:val="none"/>
                      <w:lang w:val="en-US" w:eastAsia="zh-CN"/>
                    </w:rPr>
                    <w:t>）</w:t>
                  </w:r>
                </w:p>
              </w:tc>
              <w:tc>
                <w:tcPr>
                  <w:tcW w:w="737" w:type="dxa"/>
                  <w:vAlign w:val="top"/>
                </w:tcPr>
                <w:p w14:paraId="55E5D4C9">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w:t>
                  </w:r>
                </w:p>
              </w:tc>
              <w:tc>
                <w:tcPr>
                  <w:tcW w:w="1213" w:type="dxa"/>
                  <w:vAlign w:val="top"/>
                </w:tcPr>
                <w:p w14:paraId="1832B80F">
                  <w:pPr>
                    <w:jc w:val="center"/>
                    <w:rPr>
                      <w:rFonts w:hint="default"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褐煤≤30.00</w:t>
                  </w:r>
                </w:p>
              </w:tc>
              <w:tc>
                <w:tcPr>
                  <w:tcW w:w="1287" w:type="dxa"/>
                  <w:gridSpan w:val="2"/>
                  <w:vAlign w:val="top"/>
                </w:tcPr>
                <w:p w14:paraId="52DF83E5">
                  <w:pPr>
                    <w:jc w:val="center"/>
                    <w:rPr>
                      <w:rFonts w:hint="default" w:ascii="Times New Roman" w:hAnsi="Times New Roman" w:cs="Times New Roman"/>
                      <w:b w:val="0"/>
                      <w:bCs w:val="0"/>
                      <w:color w:val="auto"/>
                      <w:szCs w:val="21"/>
                      <w:highlight w:val="none"/>
                      <w:vertAlign w:val="baseline"/>
                      <w:lang w:val="en-US" w:eastAsia="zh-CN"/>
                    </w:rPr>
                  </w:pPr>
                  <w:r>
                    <w:rPr>
                      <w:rFonts w:hint="eastAsia" w:ascii="Times New Roman" w:hAnsi="Times New Roman" w:cs="Times New Roman"/>
                      <w:b w:val="0"/>
                      <w:bCs w:val="0"/>
                      <w:color w:val="auto"/>
                      <w:szCs w:val="21"/>
                      <w:highlight w:val="none"/>
                      <w:lang w:val="en-US" w:eastAsia="zh-CN"/>
                    </w:rPr>
                    <w:t>其他煤≤35.00</w:t>
                  </w:r>
                  <w:r>
                    <w:rPr>
                      <w:rFonts w:hint="eastAsia" w:ascii="Times New Roman" w:hAnsi="Times New Roman" w:cs="Times New Roman"/>
                      <w:b w:val="0"/>
                      <w:bCs w:val="0"/>
                      <w:color w:val="auto"/>
                      <w:szCs w:val="21"/>
                      <w:highlight w:val="none"/>
                      <w:vertAlign w:val="superscript"/>
                      <w:lang w:val="en-US" w:eastAsia="zh-CN"/>
                    </w:rPr>
                    <w:t>c</w:t>
                  </w:r>
                </w:p>
              </w:tc>
              <w:tc>
                <w:tcPr>
                  <w:tcW w:w="1000" w:type="dxa"/>
                  <w:vAlign w:val="top"/>
                </w:tcPr>
                <w:p w14:paraId="27162A7F">
                  <w:pPr>
                    <w:jc w:val="center"/>
                    <w:rPr>
                      <w:rFonts w:hint="default"/>
                      <w:b/>
                      <w:bCs/>
                      <w:color w:val="auto"/>
                      <w:szCs w:val="21"/>
                      <w:highlight w:val="none"/>
                      <w:vertAlign w:val="superscript"/>
                      <w:lang w:val="en-US" w:eastAsia="zh-CN"/>
                    </w:rPr>
                  </w:pPr>
                  <w:r>
                    <w:rPr>
                      <w:rFonts w:hint="eastAsia" w:ascii="Times New Roman" w:hAnsi="Times New Roman" w:cs="Times New Roman"/>
                      <w:b w:val="0"/>
                      <w:bCs w:val="0"/>
                      <w:color w:val="auto"/>
                      <w:szCs w:val="21"/>
                      <w:highlight w:val="none"/>
                      <w:lang w:val="en-US" w:eastAsia="zh-CN"/>
                    </w:rPr>
                    <w:t>褐煤≤20.00</w:t>
                  </w:r>
                  <w:r>
                    <w:rPr>
                      <w:rFonts w:hint="eastAsia" w:ascii="Times New Roman" w:hAnsi="Times New Roman" w:cs="Times New Roman"/>
                      <w:b w:val="0"/>
                      <w:bCs w:val="0"/>
                      <w:color w:val="auto"/>
                      <w:szCs w:val="21"/>
                      <w:highlight w:val="none"/>
                      <w:vertAlign w:val="superscript"/>
                      <w:lang w:val="en-US" w:eastAsia="zh-CN"/>
                    </w:rPr>
                    <w:t>d</w:t>
                  </w:r>
                </w:p>
              </w:tc>
              <w:tc>
                <w:tcPr>
                  <w:tcW w:w="1225" w:type="dxa"/>
                  <w:vAlign w:val="top"/>
                </w:tcPr>
                <w:p w14:paraId="19FE8B49">
                  <w:pPr>
                    <w:jc w:val="center"/>
                    <w:rPr>
                      <w:rFonts w:hint="eastAsia"/>
                      <w:b/>
                      <w:bCs/>
                      <w:color w:val="auto"/>
                      <w:szCs w:val="21"/>
                      <w:highlight w:val="none"/>
                      <w:lang w:eastAsia="zh-CN"/>
                    </w:rPr>
                  </w:pPr>
                  <w:r>
                    <w:rPr>
                      <w:rFonts w:hint="eastAsia" w:ascii="Times New Roman" w:hAnsi="Times New Roman" w:cs="Times New Roman"/>
                      <w:b w:val="0"/>
                      <w:bCs w:val="0"/>
                      <w:color w:val="auto"/>
                      <w:szCs w:val="21"/>
                      <w:highlight w:val="none"/>
                      <w:lang w:val="en-US" w:eastAsia="zh-CN"/>
                    </w:rPr>
                    <w:t>其他煤≤35.00</w:t>
                  </w:r>
                  <w:r>
                    <w:rPr>
                      <w:rFonts w:hint="eastAsia" w:ascii="Times New Roman" w:hAnsi="Times New Roman" w:cs="Times New Roman"/>
                      <w:b w:val="0"/>
                      <w:bCs w:val="0"/>
                      <w:color w:val="auto"/>
                      <w:szCs w:val="21"/>
                      <w:highlight w:val="none"/>
                      <w:vertAlign w:val="superscript"/>
                      <w:lang w:val="en-US" w:eastAsia="zh-CN"/>
                    </w:rPr>
                    <w:t>d</w:t>
                  </w:r>
                </w:p>
              </w:tc>
            </w:tr>
            <w:tr w14:paraId="3E743F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44" w:type="dxa"/>
                  <w:vMerge w:val="continue"/>
                </w:tcPr>
                <w:p w14:paraId="405D59FD">
                  <w:pPr>
                    <w:jc w:val="center"/>
                    <w:rPr>
                      <w:rFonts w:hint="eastAsia" w:eastAsia="宋体"/>
                      <w:b/>
                      <w:bCs/>
                      <w:color w:val="auto"/>
                      <w:szCs w:val="21"/>
                      <w:highlight w:val="none"/>
                      <w:lang w:eastAsia="zh-CN"/>
                    </w:rPr>
                  </w:pPr>
                </w:p>
              </w:tc>
              <w:tc>
                <w:tcPr>
                  <w:tcW w:w="1788" w:type="dxa"/>
                  <w:vAlign w:val="top"/>
                </w:tcPr>
                <w:p w14:paraId="6D72A39F">
                  <w:pPr>
                    <w:jc w:val="center"/>
                    <w:rPr>
                      <w:rFonts w:hint="eastAsia"/>
                      <w:b w:val="0"/>
                      <w:bCs w:val="0"/>
                      <w:color w:val="auto"/>
                      <w:szCs w:val="21"/>
                      <w:highlight w:val="none"/>
                      <w:lang w:val="en-US" w:eastAsia="zh-CN"/>
                    </w:rPr>
                  </w:pPr>
                  <w:r>
                    <w:rPr>
                      <w:rFonts w:hint="eastAsia"/>
                      <w:b w:val="0"/>
                      <w:bCs w:val="0"/>
                      <w:color w:val="auto"/>
                      <w:szCs w:val="21"/>
                      <w:highlight w:val="none"/>
                      <w:lang w:eastAsia="zh-CN"/>
                    </w:rPr>
                    <w:t>全硫（</w:t>
                  </w:r>
                  <w:r>
                    <w:rPr>
                      <w:rFonts w:hint="eastAsia"/>
                      <w:b w:val="0"/>
                      <w:bCs w:val="0"/>
                      <w:color w:val="auto"/>
                      <w:szCs w:val="21"/>
                      <w:highlight w:val="none"/>
                      <w:lang w:val="en-US" w:eastAsia="zh-CN"/>
                    </w:rPr>
                    <w:t>S</w:t>
                  </w:r>
                  <w:r>
                    <w:rPr>
                      <w:rFonts w:hint="eastAsia"/>
                      <w:b w:val="0"/>
                      <w:bCs w:val="0"/>
                      <w:color w:val="auto"/>
                      <w:szCs w:val="21"/>
                      <w:highlight w:val="none"/>
                      <w:vertAlign w:val="subscript"/>
                      <w:lang w:val="en-US" w:eastAsia="zh-CN"/>
                    </w:rPr>
                    <w:t>t</w:t>
                  </w:r>
                  <w:r>
                    <w:rPr>
                      <w:rFonts w:hint="eastAsia"/>
                      <w:b w:val="0"/>
                      <w:bCs w:val="0"/>
                      <w:color w:val="auto"/>
                      <w:szCs w:val="21"/>
                      <w:highlight w:val="none"/>
                      <w:lang w:val="en-US" w:eastAsia="zh-CN"/>
                    </w:rPr>
                    <w:t>，d</w:t>
                  </w:r>
                  <w:r>
                    <w:rPr>
                      <w:rFonts w:hint="eastAsia"/>
                      <w:b w:val="0"/>
                      <w:bCs w:val="0"/>
                      <w:color w:val="auto"/>
                      <w:szCs w:val="21"/>
                      <w:highlight w:val="none"/>
                      <w:lang w:eastAsia="zh-CN"/>
                    </w:rPr>
                    <w:t>）</w:t>
                  </w:r>
                </w:p>
              </w:tc>
              <w:tc>
                <w:tcPr>
                  <w:tcW w:w="737" w:type="dxa"/>
                  <w:vAlign w:val="top"/>
                </w:tcPr>
                <w:p w14:paraId="4500A2DA">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w:t>
                  </w:r>
                </w:p>
              </w:tc>
              <w:tc>
                <w:tcPr>
                  <w:tcW w:w="1213" w:type="dxa"/>
                  <w:vAlign w:val="top"/>
                </w:tcPr>
                <w:p w14:paraId="57BE4BF6">
                  <w:pPr>
                    <w:jc w:val="center"/>
                    <w:rPr>
                      <w:rFonts w:hint="eastAsia"/>
                      <w:b/>
                      <w:bCs/>
                      <w:color w:val="auto"/>
                      <w:szCs w:val="21"/>
                      <w:highlight w:val="none"/>
                      <w:lang w:eastAsia="zh-CN"/>
                    </w:rPr>
                  </w:pPr>
                  <w:r>
                    <w:rPr>
                      <w:rFonts w:hint="eastAsia" w:ascii="Times New Roman" w:hAnsi="Times New Roman" w:cs="Times New Roman"/>
                      <w:b w:val="0"/>
                      <w:bCs w:val="0"/>
                      <w:color w:val="auto"/>
                      <w:szCs w:val="21"/>
                      <w:highlight w:val="none"/>
                      <w:lang w:val="en-US" w:eastAsia="zh-CN"/>
                    </w:rPr>
                    <w:t>褐煤≤1.50</w:t>
                  </w:r>
                </w:p>
              </w:tc>
              <w:tc>
                <w:tcPr>
                  <w:tcW w:w="1287" w:type="dxa"/>
                  <w:gridSpan w:val="2"/>
                  <w:vAlign w:val="top"/>
                </w:tcPr>
                <w:p w14:paraId="088CD1F0">
                  <w:pPr>
                    <w:jc w:val="center"/>
                    <w:rPr>
                      <w:rFonts w:hint="eastAsia"/>
                      <w:b/>
                      <w:bCs/>
                      <w:color w:val="auto"/>
                      <w:szCs w:val="21"/>
                      <w:highlight w:val="none"/>
                      <w:lang w:eastAsia="zh-CN"/>
                    </w:rPr>
                  </w:pPr>
                  <w:r>
                    <w:rPr>
                      <w:rFonts w:hint="eastAsia" w:ascii="Times New Roman" w:hAnsi="Times New Roman" w:cs="Times New Roman"/>
                      <w:b w:val="0"/>
                      <w:bCs w:val="0"/>
                      <w:color w:val="auto"/>
                      <w:szCs w:val="21"/>
                      <w:highlight w:val="none"/>
                      <w:lang w:val="en-US" w:eastAsia="zh-CN"/>
                    </w:rPr>
                    <w:t>其他煤≤2.50</w:t>
                  </w:r>
                  <w:r>
                    <w:rPr>
                      <w:rFonts w:hint="eastAsia" w:ascii="Times New Roman" w:hAnsi="Times New Roman" w:cs="Times New Roman"/>
                      <w:b w:val="0"/>
                      <w:bCs w:val="0"/>
                      <w:color w:val="auto"/>
                      <w:szCs w:val="21"/>
                      <w:highlight w:val="none"/>
                      <w:vertAlign w:val="superscript"/>
                      <w:lang w:val="en-US" w:eastAsia="zh-CN"/>
                    </w:rPr>
                    <w:t>e</w:t>
                  </w:r>
                </w:p>
              </w:tc>
              <w:tc>
                <w:tcPr>
                  <w:tcW w:w="1000" w:type="dxa"/>
                  <w:vAlign w:val="top"/>
                </w:tcPr>
                <w:p w14:paraId="2002D84C">
                  <w:pPr>
                    <w:jc w:val="center"/>
                    <w:rPr>
                      <w:rFonts w:hint="eastAsia"/>
                      <w:b/>
                      <w:bCs/>
                      <w:color w:val="auto"/>
                      <w:szCs w:val="21"/>
                      <w:highlight w:val="none"/>
                      <w:lang w:eastAsia="zh-CN"/>
                    </w:rPr>
                  </w:pPr>
                  <w:r>
                    <w:rPr>
                      <w:rFonts w:hint="eastAsia" w:ascii="Times New Roman" w:hAnsi="Times New Roman" w:cs="Times New Roman"/>
                      <w:b w:val="0"/>
                      <w:bCs w:val="0"/>
                      <w:color w:val="auto"/>
                      <w:szCs w:val="21"/>
                      <w:highlight w:val="none"/>
                      <w:lang w:val="en-US" w:eastAsia="zh-CN"/>
                    </w:rPr>
                    <w:t>褐煤≤1.00</w:t>
                  </w:r>
                </w:p>
              </w:tc>
              <w:tc>
                <w:tcPr>
                  <w:tcW w:w="1225" w:type="dxa"/>
                  <w:vAlign w:val="top"/>
                </w:tcPr>
                <w:p w14:paraId="505397B1">
                  <w:pPr>
                    <w:jc w:val="center"/>
                    <w:rPr>
                      <w:rFonts w:hint="default"/>
                      <w:b/>
                      <w:bCs/>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其他煤≤2.00</w:t>
                  </w:r>
                </w:p>
              </w:tc>
            </w:tr>
            <w:tr w14:paraId="37EF98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44" w:type="dxa"/>
                  <w:vMerge w:val="continue"/>
                </w:tcPr>
                <w:p w14:paraId="62E82426">
                  <w:pPr>
                    <w:jc w:val="center"/>
                    <w:rPr>
                      <w:rFonts w:hint="eastAsia" w:eastAsia="宋体"/>
                      <w:b/>
                      <w:bCs/>
                      <w:color w:val="auto"/>
                      <w:szCs w:val="21"/>
                      <w:highlight w:val="none"/>
                      <w:lang w:eastAsia="zh-CN"/>
                    </w:rPr>
                  </w:pPr>
                </w:p>
              </w:tc>
              <w:tc>
                <w:tcPr>
                  <w:tcW w:w="1788" w:type="dxa"/>
                  <w:vAlign w:val="top"/>
                </w:tcPr>
                <w:p w14:paraId="7677CCB5">
                  <w:pPr>
                    <w:jc w:val="center"/>
                    <w:rPr>
                      <w:rFonts w:hint="eastAsia"/>
                      <w:b w:val="0"/>
                      <w:bCs w:val="0"/>
                      <w:color w:val="auto"/>
                      <w:szCs w:val="21"/>
                      <w:highlight w:val="none"/>
                      <w:lang w:eastAsia="zh-CN"/>
                    </w:rPr>
                  </w:pPr>
                  <w:r>
                    <w:rPr>
                      <w:rFonts w:hint="eastAsia"/>
                      <w:b w:val="0"/>
                      <w:bCs w:val="0"/>
                      <w:color w:val="auto"/>
                      <w:szCs w:val="21"/>
                      <w:highlight w:val="none"/>
                      <w:lang w:val="en-US" w:eastAsia="zh-CN"/>
                    </w:rPr>
                    <w:t>煤中磷含量（P</w:t>
                  </w:r>
                  <w:r>
                    <w:rPr>
                      <w:rFonts w:hint="eastAsia"/>
                      <w:b w:val="0"/>
                      <w:bCs w:val="0"/>
                      <w:color w:val="auto"/>
                      <w:szCs w:val="21"/>
                      <w:highlight w:val="none"/>
                      <w:vertAlign w:val="subscript"/>
                      <w:lang w:val="en-US" w:eastAsia="zh-CN"/>
                    </w:rPr>
                    <w:t>d</w:t>
                  </w:r>
                  <w:r>
                    <w:rPr>
                      <w:rFonts w:hint="eastAsia"/>
                      <w:b w:val="0"/>
                      <w:bCs w:val="0"/>
                      <w:color w:val="auto"/>
                      <w:szCs w:val="21"/>
                      <w:highlight w:val="none"/>
                      <w:lang w:val="en-US" w:eastAsia="zh-CN"/>
                    </w:rPr>
                    <w:t>）</w:t>
                  </w:r>
                </w:p>
              </w:tc>
              <w:tc>
                <w:tcPr>
                  <w:tcW w:w="737" w:type="dxa"/>
                  <w:vAlign w:val="top"/>
                </w:tcPr>
                <w:p w14:paraId="6F74DF10">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w:t>
                  </w:r>
                </w:p>
              </w:tc>
              <w:tc>
                <w:tcPr>
                  <w:tcW w:w="4725" w:type="dxa"/>
                  <w:gridSpan w:val="5"/>
                  <w:vAlign w:val="top"/>
                </w:tcPr>
                <w:p w14:paraId="4EC1F682">
                  <w:pPr>
                    <w:jc w:val="center"/>
                    <w:rPr>
                      <w:rFonts w:hint="default"/>
                      <w:b/>
                      <w:bCs/>
                      <w:color w:val="auto"/>
                      <w:szCs w:val="21"/>
                      <w:highlight w:val="none"/>
                      <w:lang w:val="en-US" w:eastAsia="zh-CN"/>
                    </w:rPr>
                  </w:pPr>
                  <w:r>
                    <w:rPr>
                      <w:rFonts w:hint="eastAsia"/>
                      <w:b w:val="0"/>
                      <w:bCs w:val="0"/>
                      <w:color w:val="auto"/>
                      <w:szCs w:val="21"/>
                      <w:highlight w:val="none"/>
                      <w:lang w:val="en-US" w:eastAsia="zh-CN"/>
                    </w:rPr>
                    <w:t>≤0.100</w:t>
                  </w:r>
                </w:p>
              </w:tc>
            </w:tr>
            <w:tr w14:paraId="2084AC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44" w:type="dxa"/>
                  <w:vMerge w:val="continue"/>
                </w:tcPr>
                <w:p w14:paraId="4771CF86">
                  <w:pPr>
                    <w:jc w:val="center"/>
                    <w:rPr>
                      <w:rFonts w:hint="eastAsia" w:eastAsia="宋体"/>
                      <w:b/>
                      <w:bCs/>
                      <w:color w:val="auto"/>
                      <w:szCs w:val="21"/>
                      <w:highlight w:val="none"/>
                      <w:lang w:eastAsia="zh-CN"/>
                    </w:rPr>
                  </w:pPr>
                </w:p>
              </w:tc>
              <w:tc>
                <w:tcPr>
                  <w:tcW w:w="1788" w:type="dxa"/>
                  <w:vAlign w:val="top"/>
                </w:tcPr>
                <w:p w14:paraId="2A69568F">
                  <w:pPr>
                    <w:jc w:val="center"/>
                    <w:rPr>
                      <w:rFonts w:hint="eastAsia"/>
                      <w:b w:val="0"/>
                      <w:bCs w:val="0"/>
                      <w:color w:val="auto"/>
                      <w:szCs w:val="21"/>
                      <w:highlight w:val="none"/>
                      <w:lang w:eastAsia="zh-CN"/>
                    </w:rPr>
                  </w:pPr>
                  <w:r>
                    <w:rPr>
                      <w:rFonts w:hint="eastAsia"/>
                      <w:b w:val="0"/>
                      <w:bCs w:val="0"/>
                      <w:color w:val="auto"/>
                      <w:szCs w:val="21"/>
                      <w:highlight w:val="none"/>
                      <w:lang w:val="en-US" w:eastAsia="zh-CN"/>
                    </w:rPr>
                    <w:t>煤中氯含量（CL</w:t>
                  </w:r>
                  <w:r>
                    <w:rPr>
                      <w:rFonts w:hint="eastAsia"/>
                      <w:b w:val="0"/>
                      <w:bCs w:val="0"/>
                      <w:color w:val="auto"/>
                      <w:szCs w:val="21"/>
                      <w:highlight w:val="none"/>
                      <w:vertAlign w:val="subscript"/>
                      <w:lang w:val="en-US" w:eastAsia="zh-CN"/>
                    </w:rPr>
                    <w:t>d</w:t>
                  </w:r>
                  <w:r>
                    <w:rPr>
                      <w:rFonts w:hint="eastAsia"/>
                      <w:b w:val="0"/>
                      <w:bCs w:val="0"/>
                      <w:color w:val="auto"/>
                      <w:szCs w:val="21"/>
                      <w:highlight w:val="none"/>
                      <w:lang w:val="en-US" w:eastAsia="zh-CN"/>
                    </w:rPr>
                    <w:t>）</w:t>
                  </w:r>
                </w:p>
              </w:tc>
              <w:tc>
                <w:tcPr>
                  <w:tcW w:w="737" w:type="dxa"/>
                  <w:vAlign w:val="top"/>
                </w:tcPr>
                <w:p w14:paraId="685D2B35">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w:t>
                  </w:r>
                </w:p>
              </w:tc>
              <w:tc>
                <w:tcPr>
                  <w:tcW w:w="4725" w:type="dxa"/>
                  <w:gridSpan w:val="5"/>
                  <w:vAlign w:val="top"/>
                </w:tcPr>
                <w:p w14:paraId="7450DC0A">
                  <w:pPr>
                    <w:jc w:val="center"/>
                    <w:rPr>
                      <w:rFonts w:hint="eastAsia"/>
                      <w:b/>
                      <w:bCs/>
                      <w:color w:val="auto"/>
                      <w:szCs w:val="21"/>
                      <w:highlight w:val="none"/>
                      <w:lang w:eastAsia="zh-CN"/>
                    </w:rPr>
                  </w:pPr>
                  <w:r>
                    <w:rPr>
                      <w:rFonts w:hint="eastAsia"/>
                      <w:b w:val="0"/>
                      <w:bCs w:val="0"/>
                      <w:color w:val="auto"/>
                      <w:szCs w:val="21"/>
                      <w:highlight w:val="none"/>
                      <w:lang w:val="en-US" w:eastAsia="zh-CN"/>
                    </w:rPr>
                    <w:t>≤0.150</w:t>
                  </w:r>
                </w:p>
              </w:tc>
            </w:tr>
            <w:tr w14:paraId="47F48C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44" w:type="dxa"/>
                  <w:vMerge w:val="continue"/>
                </w:tcPr>
                <w:p w14:paraId="0F70DEF7">
                  <w:pPr>
                    <w:jc w:val="center"/>
                    <w:rPr>
                      <w:rFonts w:hint="eastAsia" w:eastAsia="宋体"/>
                      <w:b/>
                      <w:bCs/>
                      <w:color w:val="auto"/>
                      <w:szCs w:val="21"/>
                      <w:highlight w:val="none"/>
                      <w:lang w:eastAsia="zh-CN"/>
                    </w:rPr>
                  </w:pPr>
                </w:p>
              </w:tc>
              <w:tc>
                <w:tcPr>
                  <w:tcW w:w="1788" w:type="dxa"/>
                  <w:vAlign w:val="top"/>
                </w:tcPr>
                <w:p w14:paraId="102662C0">
                  <w:pPr>
                    <w:jc w:val="center"/>
                    <w:rPr>
                      <w:rFonts w:hint="eastAsia"/>
                      <w:b w:val="0"/>
                      <w:bCs w:val="0"/>
                      <w:color w:val="auto"/>
                      <w:szCs w:val="21"/>
                      <w:highlight w:val="none"/>
                      <w:lang w:eastAsia="zh-CN"/>
                    </w:rPr>
                  </w:pPr>
                  <w:r>
                    <w:rPr>
                      <w:rFonts w:hint="eastAsia"/>
                      <w:b w:val="0"/>
                      <w:bCs w:val="0"/>
                      <w:color w:val="auto"/>
                      <w:szCs w:val="21"/>
                      <w:highlight w:val="none"/>
                      <w:lang w:val="en-US" w:eastAsia="zh-CN"/>
                    </w:rPr>
                    <w:t>煤中砷含量（As</w:t>
                  </w:r>
                  <w:r>
                    <w:rPr>
                      <w:rFonts w:hint="eastAsia"/>
                      <w:b w:val="0"/>
                      <w:bCs w:val="0"/>
                      <w:color w:val="auto"/>
                      <w:szCs w:val="21"/>
                      <w:highlight w:val="none"/>
                      <w:vertAlign w:val="subscript"/>
                      <w:lang w:val="en-US" w:eastAsia="zh-CN"/>
                    </w:rPr>
                    <w:t>d</w:t>
                  </w:r>
                  <w:r>
                    <w:rPr>
                      <w:rFonts w:hint="eastAsia"/>
                      <w:b w:val="0"/>
                      <w:bCs w:val="0"/>
                      <w:color w:val="auto"/>
                      <w:szCs w:val="21"/>
                      <w:highlight w:val="none"/>
                      <w:lang w:val="en-US" w:eastAsia="zh-CN"/>
                    </w:rPr>
                    <w:t>）</w:t>
                  </w:r>
                </w:p>
              </w:tc>
              <w:tc>
                <w:tcPr>
                  <w:tcW w:w="737" w:type="dxa"/>
                  <w:vAlign w:val="top"/>
                </w:tcPr>
                <w:p w14:paraId="6AF9D82F">
                  <w:pPr>
                    <w:jc w:val="center"/>
                    <w:rPr>
                      <w:rFonts w:hint="eastAsia"/>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ug/g</w:t>
                  </w:r>
                </w:p>
              </w:tc>
              <w:tc>
                <w:tcPr>
                  <w:tcW w:w="4725" w:type="dxa"/>
                  <w:gridSpan w:val="5"/>
                  <w:vAlign w:val="top"/>
                </w:tcPr>
                <w:p w14:paraId="6153ED64">
                  <w:pPr>
                    <w:jc w:val="center"/>
                    <w:rPr>
                      <w:rFonts w:hint="default"/>
                      <w:b/>
                      <w:bCs/>
                      <w:color w:val="auto"/>
                      <w:szCs w:val="21"/>
                      <w:highlight w:val="none"/>
                      <w:lang w:val="en-US" w:eastAsia="zh-CN"/>
                    </w:rPr>
                  </w:pPr>
                  <w:r>
                    <w:rPr>
                      <w:rFonts w:hint="eastAsia"/>
                      <w:b w:val="0"/>
                      <w:bCs w:val="0"/>
                      <w:color w:val="auto"/>
                      <w:szCs w:val="21"/>
                      <w:highlight w:val="none"/>
                      <w:lang w:val="en-US" w:eastAsia="zh-CN"/>
                    </w:rPr>
                    <w:t>≤40</w:t>
                  </w:r>
                </w:p>
              </w:tc>
            </w:tr>
            <w:tr w14:paraId="33CAA4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044" w:type="dxa"/>
                  <w:vMerge w:val="continue"/>
                </w:tcPr>
                <w:p w14:paraId="3404FB34">
                  <w:pPr>
                    <w:jc w:val="center"/>
                    <w:rPr>
                      <w:rFonts w:hint="eastAsia" w:eastAsia="宋体"/>
                      <w:b/>
                      <w:bCs/>
                      <w:color w:val="auto"/>
                      <w:szCs w:val="21"/>
                      <w:highlight w:val="none"/>
                      <w:lang w:eastAsia="zh-CN"/>
                    </w:rPr>
                  </w:pPr>
                </w:p>
              </w:tc>
              <w:tc>
                <w:tcPr>
                  <w:tcW w:w="1788" w:type="dxa"/>
                  <w:vMerge w:val="restart"/>
                  <w:vAlign w:val="top"/>
                </w:tcPr>
                <w:p w14:paraId="2FE91B6E">
                  <w:pPr>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煤中汞含量（Ag</w:t>
                  </w:r>
                  <w:r>
                    <w:rPr>
                      <w:rFonts w:hint="eastAsia"/>
                      <w:b w:val="0"/>
                      <w:bCs w:val="0"/>
                      <w:color w:val="auto"/>
                      <w:szCs w:val="21"/>
                      <w:highlight w:val="none"/>
                      <w:vertAlign w:val="subscript"/>
                      <w:lang w:val="en-US" w:eastAsia="zh-CN"/>
                    </w:rPr>
                    <w:t>d</w:t>
                  </w:r>
                  <w:r>
                    <w:rPr>
                      <w:rFonts w:hint="eastAsia"/>
                      <w:b w:val="0"/>
                      <w:bCs w:val="0"/>
                      <w:color w:val="auto"/>
                      <w:szCs w:val="21"/>
                      <w:highlight w:val="none"/>
                      <w:lang w:val="en-US" w:eastAsia="zh-CN"/>
                    </w:rPr>
                    <w:t>）</w:t>
                  </w:r>
                </w:p>
              </w:tc>
              <w:tc>
                <w:tcPr>
                  <w:tcW w:w="737" w:type="dxa"/>
                  <w:vMerge w:val="restart"/>
                  <w:vAlign w:val="top"/>
                </w:tcPr>
                <w:p w14:paraId="21B13E89">
                  <w:pPr>
                    <w:jc w:val="center"/>
                    <w:rPr>
                      <w:rFonts w:hint="eastAsia"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ug/g</w:t>
                  </w:r>
                </w:p>
              </w:tc>
              <w:tc>
                <w:tcPr>
                  <w:tcW w:w="2362" w:type="dxa"/>
                  <w:gridSpan w:val="2"/>
                  <w:vAlign w:val="top"/>
                </w:tcPr>
                <w:p w14:paraId="6CB74F74">
                  <w:pPr>
                    <w:jc w:val="center"/>
                    <w:rPr>
                      <w:rFonts w:hint="default"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运距≤600km</w:t>
                  </w:r>
                </w:p>
              </w:tc>
              <w:tc>
                <w:tcPr>
                  <w:tcW w:w="2363" w:type="dxa"/>
                  <w:gridSpan w:val="3"/>
                  <w:vAlign w:val="top"/>
                </w:tcPr>
                <w:p w14:paraId="2796A97A">
                  <w:pPr>
                    <w:jc w:val="center"/>
                    <w:rPr>
                      <w:rFonts w:hint="eastAsia"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运距＞600km</w:t>
                  </w:r>
                </w:p>
              </w:tc>
            </w:tr>
            <w:tr w14:paraId="02C997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044" w:type="dxa"/>
                  <w:vMerge w:val="continue"/>
                </w:tcPr>
                <w:p w14:paraId="4EE419DC">
                  <w:pPr>
                    <w:jc w:val="center"/>
                    <w:rPr>
                      <w:color w:val="auto"/>
                      <w:highlight w:val="none"/>
                    </w:rPr>
                  </w:pPr>
                </w:p>
              </w:tc>
              <w:tc>
                <w:tcPr>
                  <w:tcW w:w="1788" w:type="dxa"/>
                  <w:vMerge w:val="continue"/>
                  <w:vAlign w:val="top"/>
                </w:tcPr>
                <w:p w14:paraId="68A28CAC">
                  <w:pPr>
                    <w:jc w:val="center"/>
                    <w:rPr>
                      <w:color w:val="auto"/>
                      <w:highlight w:val="none"/>
                    </w:rPr>
                  </w:pPr>
                </w:p>
              </w:tc>
              <w:tc>
                <w:tcPr>
                  <w:tcW w:w="737" w:type="dxa"/>
                  <w:vMerge w:val="continue"/>
                  <w:vAlign w:val="top"/>
                </w:tcPr>
                <w:p w14:paraId="09DDCFDA">
                  <w:pPr>
                    <w:jc w:val="center"/>
                    <w:rPr>
                      <w:color w:val="auto"/>
                      <w:highlight w:val="none"/>
                    </w:rPr>
                  </w:pPr>
                </w:p>
              </w:tc>
              <w:tc>
                <w:tcPr>
                  <w:tcW w:w="4725" w:type="dxa"/>
                  <w:gridSpan w:val="5"/>
                  <w:vAlign w:val="top"/>
                </w:tcPr>
                <w:p w14:paraId="52142290">
                  <w:pPr>
                    <w:jc w:val="center"/>
                    <w:rPr>
                      <w:rFonts w:hint="default"/>
                      <w:color w:val="auto"/>
                      <w:highlight w:val="none"/>
                      <w:lang w:val="en-US"/>
                    </w:rPr>
                  </w:pPr>
                  <w:r>
                    <w:rPr>
                      <w:rFonts w:hint="eastAsia"/>
                      <w:b w:val="0"/>
                      <w:bCs w:val="0"/>
                      <w:color w:val="auto"/>
                      <w:szCs w:val="21"/>
                      <w:highlight w:val="none"/>
                      <w:lang w:val="en-US" w:eastAsia="zh-CN"/>
                    </w:rPr>
                    <w:t>≤0.600</w:t>
                  </w:r>
                </w:p>
              </w:tc>
            </w:tr>
            <w:tr w14:paraId="581C31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8294" w:type="dxa"/>
                  <w:gridSpan w:val="8"/>
                </w:tcPr>
                <w:p w14:paraId="5881BDF6">
                  <w:pPr>
                    <w:jc w:val="both"/>
                    <w:rPr>
                      <w:rFonts w:hint="eastAsia"/>
                      <w:b w:val="0"/>
                      <w:bCs w:val="0"/>
                      <w:color w:val="auto"/>
                      <w:szCs w:val="21"/>
                      <w:highlight w:val="none"/>
                      <w:lang w:val="en-US" w:eastAsia="zh-CN"/>
                    </w:rPr>
                  </w:pPr>
                  <w:r>
                    <w:rPr>
                      <w:rFonts w:hint="eastAsia"/>
                      <w:b w:val="0"/>
                      <w:bCs w:val="0"/>
                      <w:color w:val="auto"/>
                      <w:szCs w:val="21"/>
                      <w:highlight w:val="none"/>
                      <w:vertAlign w:val="superscript"/>
                      <w:lang w:val="en-US" w:eastAsia="zh-CN"/>
                    </w:rPr>
                    <w:t>a</w:t>
                  </w:r>
                  <w:r>
                    <w:rPr>
                      <w:rFonts w:hint="eastAsia"/>
                      <w:b w:val="0"/>
                      <w:bCs w:val="0"/>
                      <w:color w:val="auto"/>
                      <w:szCs w:val="21"/>
                      <w:highlight w:val="none"/>
                      <w:lang w:val="en-US" w:eastAsia="zh-CN"/>
                    </w:rPr>
                    <w:t>动力用煤的煤类包括褐煤、非炼焦烟煤和无烟煤。</w:t>
                  </w:r>
                </w:p>
                <w:p w14:paraId="4C2724EF">
                  <w:pPr>
                    <w:jc w:val="both"/>
                    <w:rPr>
                      <w:rFonts w:hint="eastAsia"/>
                      <w:b w:val="0"/>
                      <w:bCs w:val="0"/>
                      <w:color w:val="auto"/>
                      <w:szCs w:val="21"/>
                      <w:highlight w:val="none"/>
                      <w:lang w:val="en-US" w:eastAsia="zh-CN"/>
                    </w:rPr>
                  </w:pPr>
                  <w:r>
                    <w:rPr>
                      <w:rFonts w:hint="eastAsia"/>
                      <w:b w:val="0"/>
                      <w:bCs w:val="0"/>
                      <w:color w:val="auto"/>
                      <w:szCs w:val="21"/>
                      <w:highlight w:val="none"/>
                      <w:vertAlign w:val="superscript"/>
                      <w:lang w:val="en-US" w:eastAsia="zh-CN"/>
                    </w:rPr>
                    <w:t>b</w:t>
                  </w:r>
                  <w:r>
                    <w:rPr>
                      <w:rFonts w:hint="eastAsia"/>
                      <w:b w:val="0"/>
                      <w:bCs w:val="0"/>
                      <w:color w:val="auto"/>
                      <w:szCs w:val="21"/>
                      <w:highlight w:val="none"/>
                      <w:lang w:val="en-US" w:eastAsia="zh-CN"/>
                    </w:rPr>
                    <w:t>煤粉含量指商品煤中粒度小于0.5mm的煤粉的质量分数。</w:t>
                  </w:r>
                </w:p>
                <w:p w14:paraId="311F39B1">
                  <w:pPr>
                    <w:jc w:val="both"/>
                    <w:rPr>
                      <w:rFonts w:hint="eastAsia"/>
                      <w:b w:val="0"/>
                      <w:bCs w:val="0"/>
                      <w:color w:val="auto"/>
                      <w:szCs w:val="21"/>
                      <w:highlight w:val="none"/>
                      <w:lang w:val="en-US" w:eastAsia="zh-CN"/>
                    </w:rPr>
                  </w:pPr>
                  <w:r>
                    <w:rPr>
                      <w:rFonts w:hint="eastAsia"/>
                      <w:b w:val="0"/>
                      <w:bCs w:val="0"/>
                      <w:color w:val="auto"/>
                      <w:szCs w:val="21"/>
                      <w:highlight w:val="none"/>
                      <w:vertAlign w:val="superscript"/>
                      <w:lang w:val="en-US" w:eastAsia="zh-CN"/>
                    </w:rPr>
                    <w:t>c</w:t>
                  </w:r>
                  <w:r>
                    <w:rPr>
                      <w:rFonts w:hint="eastAsia"/>
                      <w:b w:val="0"/>
                      <w:bCs w:val="0"/>
                      <w:color w:val="auto"/>
                      <w:szCs w:val="21"/>
                      <w:highlight w:val="none"/>
                      <w:lang w:val="en-US" w:eastAsia="zh-CN"/>
                    </w:rPr>
                    <w:t>当动力用煤的灰分为3500%＜A</w:t>
                  </w:r>
                  <w:r>
                    <w:rPr>
                      <w:rFonts w:hint="eastAsia"/>
                      <w:b w:val="0"/>
                      <w:bCs w:val="0"/>
                      <w:color w:val="auto"/>
                      <w:szCs w:val="21"/>
                      <w:highlight w:val="none"/>
                      <w:vertAlign w:val="subscript"/>
                      <w:lang w:val="en-US" w:eastAsia="zh-CN"/>
                    </w:rPr>
                    <w:t>d</w:t>
                  </w:r>
                  <w:r>
                    <w:rPr>
                      <w:rFonts w:hint="eastAsia"/>
                      <w:b w:val="0"/>
                      <w:bCs w:val="0"/>
                      <w:color w:val="auto"/>
                      <w:szCs w:val="21"/>
                      <w:highlight w:val="none"/>
                      <w:lang w:val="en-US" w:eastAsia="zh-CN"/>
                    </w:rPr>
                    <w:t>≤40.00%时，其发热量</w:t>
                  </w:r>
                  <w:r>
                    <w:rPr>
                      <w:rFonts w:hint="eastAsia"/>
                      <w:b w:val="0"/>
                      <w:bCs w:val="0"/>
                      <w:color w:val="auto"/>
                      <w:szCs w:val="21"/>
                      <w:highlight w:val="none"/>
                      <w:lang w:eastAsia="zh-CN"/>
                    </w:rPr>
                    <w:t>（</w:t>
                  </w:r>
                  <w:r>
                    <w:rPr>
                      <w:rFonts w:hint="eastAsia"/>
                      <w:b w:val="0"/>
                      <w:bCs w:val="0"/>
                      <w:color w:val="auto"/>
                      <w:szCs w:val="21"/>
                      <w:highlight w:val="none"/>
                      <w:lang w:val="en-US" w:eastAsia="zh-CN"/>
                    </w:rPr>
                    <w:t>Q</w:t>
                  </w:r>
                  <w:r>
                    <w:rPr>
                      <w:rFonts w:hint="eastAsia"/>
                      <w:b w:val="0"/>
                      <w:bCs w:val="0"/>
                      <w:color w:val="auto"/>
                      <w:szCs w:val="21"/>
                      <w:highlight w:val="none"/>
                      <w:vertAlign w:val="subscript"/>
                      <w:lang w:val="en-US" w:eastAsia="zh-CN"/>
                    </w:rPr>
                    <w:t>net</w:t>
                  </w:r>
                  <w:r>
                    <w:rPr>
                      <w:rFonts w:hint="eastAsia"/>
                      <w:b w:val="0"/>
                      <w:bCs w:val="0"/>
                      <w:color w:val="auto"/>
                      <w:szCs w:val="21"/>
                      <w:highlight w:val="none"/>
                      <w:lang w:val="en-US" w:eastAsia="zh-CN"/>
                    </w:rPr>
                    <w:t>，</w:t>
                  </w:r>
                  <w:r>
                    <w:rPr>
                      <w:rFonts w:hint="eastAsia"/>
                      <w:b w:val="0"/>
                      <w:bCs w:val="0"/>
                      <w:color w:val="auto"/>
                      <w:szCs w:val="21"/>
                      <w:highlight w:val="none"/>
                      <w:vertAlign w:val="subscript"/>
                      <w:lang w:val="en-US" w:eastAsia="zh-CN"/>
                    </w:rPr>
                    <w:t>ar</w:t>
                  </w:r>
                  <w:r>
                    <w:rPr>
                      <w:rFonts w:hint="eastAsia"/>
                      <w:b w:val="0"/>
                      <w:bCs w:val="0"/>
                      <w:color w:val="auto"/>
                      <w:szCs w:val="21"/>
                      <w:highlight w:val="none"/>
                      <w:lang w:eastAsia="zh-CN"/>
                    </w:rPr>
                    <w:t>）</w:t>
                  </w:r>
                  <w:r>
                    <w:rPr>
                      <w:rFonts w:hint="eastAsia"/>
                      <w:b w:val="0"/>
                      <w:bCs w:val="0"/>
                      <w:color w:val="auto"/>
                      <w:szCs w:val="21"/>
                      <w:highlight w:val="none"/>
                      <w:lang w:val="en-US" w:eastAsia="zh-CN"/>
                    </w:rPr>
                    <w:t>应不小于16.50MJ/kg。</w:t>
                  </w:r>
                  <w:r>
                    <w:rPr>
                      <w:rFonts w:hint="eastAsia"/>
                      <w:b w:val="0"/>
                      <w:bCs w:val="0"/>
                      <w:color w:val="auto"/>
                      <w:szCs w:val="21"/>
                      <w:highlight w:val="none"/>
                      <w:vertAlign w:val="superscript"/>
                      <w:lang w:val="en-US" w:eastAsia="zh-CN"/>
                    </w:rPr>
                    <w:t>d</w:t>
                  </w:r>
                  <w:r>
                    <w:rPr>
                      <w:rFonts w:hint="eastAsia"/>
                      <w:b w:val="0"/>
                      <w:bCs w:val="0"/>
                      <w:color w:val="auto"/>
                      <w:szCs w:val="21"/>
                      <w:highlight w:val="none"/>
                      <w:lang w:val="en-US" w:eastAsia="zh-CN"/>
                    </w:rPr>
                    <w:t>当动力用煤的运距超出600km时，要求褐煤发热量</w:t>
                  </w:r>
                  <w:r>
                    <w:rPr>
                      <w:rFonts w:hint="eastAsia"/>
                      <w:b w:val="0"/>
                      <w:bCs w:val="0"/>
                      <w:color w:val="auto"/>
                      <w:szCs w:val="21"/>
                      <w:highlight w:val="none"/>
                      <w:lang w:eastAsia="zh-CN"/>
                    </w:rPr>
                    <w:t>（</w:t>
                  </w:r>
                  <w:r>
                    <w:rPr>
                      <w:rFonts w:hint="eastAsia"/>
                      <w:b w:val="0"/>
                      <w:bCs w:val="0"/>
                      <w:color w:val="auto"/>
                      <w:szCs w:val="21"/>
                      <w:highlight w:val="none"/>
                      <w:lang w:val="en-US" w:eastAsia="zh-CN"/>
                    </w:rPr>
                    <w:t>Q</w:t>
                  </w:r>
                  <w:r>
                    <w:rPr>
                      <w:rFonts w:hint="eastAsia"/>
                      <w:b w:val="0"/>
                      <w:bCs w:val="0"/>
                      <w:color w:val="auto"/>
                      <w:szCs w:val="21"/>
                      <w:highlight w:val="none"/>
                      <w:vertAlign w:val="subscript"/>
                      <w:lang w:val="en-US" w:eastAsia="zh-CN"/>
                    </w:rPr>
                    <w:t>net</w:t>
                  </w:r>
                  <w:r>
                    <w:rPr>
                      <w:rFonts w:hint="eastAsia"/>
                      <w:b w:val="0"/>
                      <w:bCs w:val="0"/>
                      <w:color w:val="auto"/>
                      <w:szCs w:val="21"/>
                      <w:highlight w:val="none"/>
                      <w:lang w:val="en-US" w:eastAsia="zh-CN"/>
                    </w:rPr>
                    <w:t>，</w:t>
                  </w:r>
                  <w:r>
                    <w:rPr>
                      <w:rFonts w:hint="eastAsia"/>
                      <w:b w:val="0"/>
                      <w:bCs w:val="0"/>
                      <w:color w:val="auto"/>
                      <w:szCs w:val="21"/>
                      <w:highlight w:val="none"/>
                      <w:vertAlign w:val="subscript"/>
                      <w:lang w:val="en-US" w:eastAsia="zh-CN"/>
                    </w:rPr>
                    <w:t>ar</w:t>
                  </w:r>
                  <w:r>
                    <w:rPr>
                      <w:rFonts w:hint="eastAsia"/>
                      <w:b w:val="0"/>
                      <w:bCs w:val="0"/>
                      <w:color w:val="auto"/>
                      <w:szCs w:val="21"/>
                      <w:highlight w:val="none"/>
                      <w:lang w:eastAsia="zh-CN"/>
                    </w:rPr>
                    <w:t>）≥</w:t>
                  </w:r>
                  <w:r>
                    <w:rPr>
                      <w:rFonts w:hint="eastAsia"/>
                      <w:b w:val="0"/>
                      <w:bCs w:val="0"/>
                      <w:color w:val="auto"/>
                      <w:szCs w:val="21"/>
                      <w:highlight w:val="none"/>
                      <w:lang w:val="en-US" w:eastAsia="zh-CN"/>
                    </w:rPr>
                    <w:t>16.50MJ/kg，其他煤发热量</w:t>
                  </w:r>
                  <w:r>
                    <w:rPr>
                      <w:rFonts w:hint="eastAsia"/>
                      <w:b w:val="0"/>
                      <w:bCs w:val="0"/>
                      <w:color w:val="auto"/>
                      <w:szCs w:val="21"/>
                      <w:highlight w:val="none"/>
                      <w:lang w:eastAsia="zh-CN"/>
                    </w:rPr>
                    <w:t>（</w:t>
                  </w:r>
                  <w:r>
                    <w:rPr>
                      <w:rFonts w:hint="eastAsia"/>
                      <w:b w:val="0"/>
                      <w:bCs w:val="0"/>
                      <w:color w:val="auto"/>
                      <w:szCs w:val="21"/>
                      <w:highlight w:val="none"/>
                      <w:lang w:val="en-US" w:eastAsia="zh-CN"/>
                    </w:rPr>
                    <w:t>Q</w:t>
                  </w:r>
                  <w:r>
                    <w:rPr>
                      <w:rFonts w:hint="eastAsia"/>
                      <w:b w:val="0"/>
                      <w:bCs w:val="0"/>
                      <w:color w:val="auto"/>
                      <w:szCs w:val="21"/>
                      <w:highlight w:val="none"/>
                      <w:vertAlign w:val="subscript"/>
                      <w:lang w:val="en-US" w:eastAsia="zh-CN"/>
                    </w:rPr>
                    <w:t>net</w:t>
                  </w:r>
                  <w:r>
                    <w:rPr>
                      <w:rFonts w:hint="eastAsia"/>
                      <w:b w:val="0"/>
                      <w:bCs w:val="0"/>
                      <w:color w:val="auto"/>
                      <w:szCs w:val="21"/>
                      <w:highlight w:val="none"/>
                      <w:lang w:val="en-US" w:eastAsia="zh-CN"/>
                    </w:rPr>
                    <w:t>，</w:t>
                  </w:r>
                  <w:r>
                    <w:rPr>
                      <w:rFonts w:hint="eastAsia"/>
                      <w:b w:val="0"/>
                      <w:bCs w:val="0"/>
                      <w:color w:val="auto"/>
                      <w:szCs w:val="21"/>
                      <w:highlight w:val="none"/>
                      <w:vertAlign w:val="subscript"/>
                      <w:lang w:val="en-US" w:eastAsia="zh-CN"/>
                    </w:rPr>
                    <w:t>ar</w:t>
                  </w:r>
                  <w:r>
                    <w:rPr>
                      <w:rFonts w:hint="eastAsia"/>
                      <w:b w:val="0"/>
                      <w:bCs w:val="0"/>
                      <w:color w:val="auto"/>
                      <w:szCs w:val="21"/>
                      <w:highlight w:val="none"/>
                      <w:lang w:eastAsia="zh-CN"/>
                    </w:rPr>
                    <w:t>）≥</w:t>
                  </w:r>
                  <w:r>
                    <w:rPr>
                      <w:rFonts w:hint="eastAsia"/>
                      <w:b w:val="0"/>
                      <w:bCs w:val="0"/>
                      <w:color w:val="auto"/>
                      <w:szCs w:val="21"/>
                      <w:highlight w:val="none"/>
                      <w:lang w:val="en-US" w:eastAsia="zh-CN"/>
                    </w:rPr>
                    <w:t>18.00MJ/kg。</w:t>
                  </w:r>
                </w:p>
                <w:p w14:paraId="1C2D19C0">
                  <w:pPr>
                    <w:jc w:val="center"/>
                    <w:rPr>
                      <w:rFonts w:hint="eastAsia"/>
                      <w:b w:val="0"/>
                      <w:bCs w:val="0"/>
                      <w:color w:val="auto"/>
                      <w:szCs w:val="21"/>
                      <w:highlight w:val="none"/>
                      <w:lang w:eastAsia="zh-CN"/>
                    </w:rPr>
                  </w:pPr>
                  <w:r>
                    <w:rPr>
                      <w:rFonts w:hint="eastAsia"/>
                      <w:b w:val="0"/>
                      <w:bCs w:val="0"/>
                      <w:color w:val="auto"/>
                      <w:szCs w:val="21"/>
                      <w:highlight w:val="none"/>
                      <w:vertAlign w:val="superscript"/>
                      <w:lang w:val="en-US" w:eastAsia="zh-CN"/>
                    </w:rPr>
                    <w:t>e</w:t>
                  </w:r>
                  <w:r>
                    <w:rPr>
                      <w:rFonts w:hint="eastAsia"/>
                      <w:b w:val="0"/>
                      <w:bCs w:val="0"/>
                      <w:color w:val="auto"/>
                      <w:szCs w:val="21"/>
                      <w:highlight w:val="none"/>
                      <w:lang w:val="en-US" w:eastAsia="zh-CN"/>
                    </w:rPr>
                    <w:t>原产地为广西壮族自治区、重庆市、四川省、贵州省4个高硫煤产区的动力用煤，其</w:t>
                  </w:r>
                  <w:r>
                    <w:rPr>
                      <w:rFonts w:hint="eastAsia"/>
                      <w:b w:val="0"/>
                      <w:bCs w:val="0"/>
                      <w:color w:val="auto"/>
                      <w:szCs w:val="21"/>
                      <w:highlight w:val="none"/>
                      <w:lang w:eastAsia="zh-CN"/>
                    </w:rPr>
                    <w:t>全</w:t>
                  </w:r>
                </w:p>
                <w:p w14:paraId="4BEF3005">
                  <w:pPr>
                    <w:jc w:val="both"/>
                    <w:rPr>
                      <w:rFonts w:hint="eastAsia"/>
                      <w:b w:val="0"/>
                      <w:bCs w:val="0"/>
                      <w:color w:val="auto"/>
                      <w:szCs w:val="21"/>
                      <w:highlight w:val="none"/>
                      <w:lang w:val="en-US" w:eastAsia="zh-CN"/>
                    </w:rPr>
                  </w:pPr>
                  <w:r>
                    <w:rPr>
                      <w:rFonts w:hint="eastAsia"/>
                      <w:b w:val="0"/>
                      <w:bCs w:val="0"/>
                      <w:color w:val="auto"/>
                      <w:szCs w:val="21"/>
                      <w:highlight w:val="none"/>
                      <w:lang w:eastAsia="zh-CN"/>
                    </w:rPr>
                    <w:t>硫（</w:t>
                  </w:r>
                  <w:r>
                    <w:rPr>
                      <w:rFonts w:hint="eastAsia"/>
                      <w:b w:val="0"/>
                      <w:bCs w:val="0"/>
                      <w:color w:val="auto"/>
                      <w:szCs w:val="21"/>
                      <w:highlight w:val="none"/>
                      <w:lang w:val="en-US" w:eastAsia="zh-CN"/>
                    </w:rPr>
                    <w:t>S</w:t>
                  </w:r>
                  <w:r>
                    <w:rPr>
                      <w:rFonts w:hint="eastAsia"/>
                      <w:b w:val="0"/>
                      <w:bCs w:val="0"/>
                      <w:color w:val="auto"/>
                      <w:szCs w:val="21"/>
                      <w:highlight w:val="none"/>
                      <w:vertAlign w:val="subscript"/>
                      <w:lang w:val="en-US" w:eastAsia="zh-CN"/>
                    </w:rPr>
                    <w:t>t</w:t>
                  </w:r>
                  <w:r>
                    <w:rPr>
                      <w:rFonts w:hint="eastAsia"/>
                      <w:b w:val="0"/>
                      <w:bCs w:val="0"/>
                      <w:color w:val="auto"/>
                      <w:szCs w:val="21"/>
                      <w:highlight w:val="none"/>
                      <w:lang w:val="en-US" w:eastAsia="zh-CN"/>
                    </w:rPr>
                    <w:t>，d</w:t>
                  </w:r>
                  <w:r>
                    <w:rPr>
                      <w:rFonts w:hint="eastAsia"/>
                      <w:b w:val="0"/>
                      <w:bCs w:val="0"/>
                      <w:color w:val="auto"/>
                      <w:szCs w:val="21"/>
                      <w:highlight w:val="none"/>
                      <w:lang w:eastAsia="zh-CN"/>
                    </w:rPr>
                    <w:t>）</w:t>
                  </w:r>
                  <w:r>
                    <w:rPr>
                      <w:rFonts w:hint="eastAsia"/>
                      <w:b w:val="0"/>
                      <w:bCs w:val="0"/>
                      <w:color w:val="auto"/>
                      <w:szCs w:val="21"/>
                      <w:highlight w:val="none"/>
                      <w:lang w:val="en-US" w:eastAsia="zh-CN"/>
                    </w:rPr>
                    <w:t>应不大于3.00%。</w:t>
                  </w:r>
                </w:p>
              </w:tc>
            </w:tr>
          </w:tbl>
          <w:p w14:paraId="3617B280">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4、主要原辅料及用量</w:t>
            </w:r>
          </w:p>
          <w:p w14:paraId="494A01AE">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1）原辅料用量、能耗</w:t>
            </w:r>
          </w:p>
          <w:p w14:paraId="13EFF2E4">
            <w:pPr>
              <w:adjustRightInd w:val="0"/>
              <w:snapToGrid w:val="0"/>
              <w:spacing w:line="360" w:lineRule="auto"/>
              <w:ind w:firstLine="480" w:firstLineChars="200"/>
              <w:rPr>
                <w:rFonts w:hint="default" w:ascii="Times New Roman" w:hAnsi="Times New Roman" w:eastAsia="宋体" w:cs="Times New Roman"/>
                <w:b/>
                <w:bCs/>
                <w:color w:val="auto"/>
                <w:highlight w:val="none"/>
              </w:rPr>
            </w:pPr>
            <w:r>
              <w:rPr>
                <w:rFonts w:hint="default" w:ascii="Times New Roman" w:hAnsi="Times New Roman" w:eastAsia="宋体" w:cs="Times New Roman"/>
                <w:color w:val="auto"/>
                <w:sz w:val="24"/>
                <w:szCs w:val="24"/>
                <w:highlight w:val="none"/>
              </w:rPr>
              <w:t>充分利用</w:t>
            </w:r>
            <w:r>
              <w:rPr>
                <w:rFonts w:hint="eastAsia" w:cs="Times New Roman"/>
                <w:color w:val="auto"/>
                <w:sz w:val="24"/>
                <w:szCs w:val="24"/>
                <w:highlight w:val="none"/>
                <w:lang w:eastAsia="zh-CN"/>
              </w:rPr>
              <w:t>寻甸</w:t>
            </w:r>
            <w:r>
              <w:rPr>
                <w:rFonts w:hint="default" w:ascii="Times New Roman" w:hAnsi="Times New Roman" w:eastAsia="宋体" w:cs="Times New Roman"/>
                <w:color w:val="auto"/>
                <w:sz w:val="24"/>
                <w:szCs w:val="24"/>
                <w:highlight w:val="none"/>
              </w:rPr>
              <w:t>境内</w:t>
            </w:r>
            <w:r>
              <w:rPr>
                <w:rFonts w:hint="eastAsia" w:cs="Times New Roman"/>
                <w:color w:val="auto"/>
                <w:sz w:val="24"/>
                <w:szCs w:val="24"/>
                <w:highlight w:val="none"/>
                <w:lang w:eastAsia="zh-CN"/>
              </w:rPr>
              <w:t>（寻甸金所矿、姚家村煤矿）</w:t>
            </w:r>
            <w:r>
              <w:rPr>
                <w:rFonts w:hint="default" w:ascii="Times New Roman" w:hAnsi="Times New Roman" w:eastAsia="宋体" w:cs="Times New Roman"/>
                <w:color w:val="auto"/>
                <w:sz w:val="24"/>
                <w:szCs w:val="24"/>
                <w:highlight w:val="none"/>
              </w:rPr>
              <w:t>褐煤资源</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因地制宜建设褐煤干燥提质生产线，</w:t>
            </w:r>
            <w:r>
              <w:rPr>
                <w:rFonts w:hint="eastAsia" w:cs="Times New Roman"/>
                <w:color w:val="auto"/>
                <w:sz w:val="24"/>
                <w:szCs w:val="24"/>
                <w:highlight w:val="none"/>
                <w:lang w:eastAsia="zh-CN"/>
              </w:rPr>
              <w:t>年处理</w:t>
            </w:r>
            <w:r>
              <w:rPr>
                <w:rFonts w:hint="eastAsia" w:cs="Times New Roman"/>
                <w:color w:val="auto"/>
                <w:sz w:val="24"/>
                <w:szCs w:val="24"/>
                <w:highlight w:val="none"/>
                <w:lang w:val="en-US" w:eastAsia="zh-CN"/>
              </w:rPr>
              <w:t>100万吨褐煤</w:t>
            </w:r>
            <w:r>
              <w:rPr>
                <w:rFonts w:hint="eastAsia" w:cs="Times New Roman"/>
                <w:color w:val="auto"/>
                <w:sz w:val="24"/>
                <w:szCs w:val="24"/>
                <w:highlight w:val="none"/>
                <w:lang w:eastAsia="zh-CN"/>
              </w:rPr>
              <w:t>（原料供应说明见附件</w:t>
            </w:r>
            <w:r>
              <w:rPr>
                <w:rFonts w:hint="eastAsia" w:cs="Times New Roman"/>
                <w:color w:val="auto"/>
                <w:sz w:val="24"/>
                <w:szCs w:val="24"/>
                <w:highlight w:val="none"/>
                <w:lang w:val="en-US" w:eastAsia="zh-CN"/>
              </w:rPr>
              <w:t>12</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，提高褐煤的热效率及产品价值，节约能源运输成本。</w:t>
            </w:r>
            <w:r>
              <w:rPr>
                <w:rFonts w:hint="default" w:ascii="Times New Roman" w:hAnsi="Times New Roman" w:eastAsia="宋体" w:cs="Times New Roman"/>
                <w:color w:val="auto"/>
                <w:sz w:val="24"/>
                <w:highlight w:val="none"/>
              </w:rPr>
              <w:t>本项目使用的辅助原料为</w:t>
            </w:r>
            <w:r>
              <w:rPr>
                <w:rFonts w:hint="eastAsia" w:cs="Times New Roman"/>
                <w:color w:val="auto"/>
                <w:sz w:val="24"/>
                <w:highlight w:val="none"/>
                <w:lang w:eastAsia="zh-CN"/>
              </w:rPr>
              <w:t>石灰石粉</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用</w:t>
            </w:r>
            <w:r>
              <w:rPr>
                <w:rFonts w:hint="default" w:ascii="Times New Roman" w:hAnsi="Times New Roman" w:eastAsia="宋体" w:cs="Times New Roman"/>
                <w:color w:val="auto"/>
                <w:sz w:val="24"/>
                <w:highlight w:val="none"/>
              </w:rPr>
              <w:t>于</w:t>
            </w:r>
            <w:r>
              <w:rPr>
                <w:rFonts w:hint="default" w:ascii="Times New Roman" w:hAnsi="Times New Roman" w:eastAsia="宋体" w:cs="Times New Roman"/>
                <w:color w:val="auto"/>
                <w:sz w:val="24"/>
                <w:highlight w:val="none"/>
                <w:lang w:eastAsia="zh-CN"/>
              </w:rPr>
              <w:t>烟气</w:t>
            </w:r>
            <w:r>
              <w:rPr>
                <w:rFonts w:hint="default" w:ascii="Times New Roman" w:hAnsi="Times New Roman" w:eastAsia="宋体" w:cs="Times New Roman"/>
                <w:color w:val="auto"/>
                <w:sz w:val="24"/>
                <w:highlight w:val="none"/>
              </w:rPr>
              <w:t>的脱硫处理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rPr>
              <w:t>项目原</w:t>
            </w:r>
            <w:r>
              <w:rPr>
                <w:rFonts w:hint="eastAsia" w:cs="Times New Roman"/>
                <w:color w:val="auto"/>
                <w:sz w:val="24"/>
                <w:szCs w:val="24"/>
                <w:highlight w:val="none"/>
                <w:lang w:eastAsia="zh-CN"/>
              </w:rPr>
              <w:t>辅</w:t>
            </w:r>
            <w:r>
              <w:rPr>
                <w:rFonts w:hint="default" w:ascii="Times New Roman" w:hAnsi="Times New Roman" w:eastAsia="宋体" w:cs="Times New Roman"/>
                <w:color w:val="auto"/>
                <w:sz w:val="24"/>
                <w:szCs w:val="24"/>
                <w:highlight w:val="none"/>
              </w:rPr>
              <w:t>料用量见表</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p>
          <w:p w14:paraId="5D478821">
            <w:pPr>
              <w:adjustRightInd w:val="0"/>
              <w:snapToGrid w:val="0"/>
              <w:ind w:firstLine="3078" w:firstLineChars="146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eastAsia" w:cs="Times New Roman"/>
                <w:b/>
                <w:bCs/>
                <w:color w:val="auto"/>
                <w:highlight w:val="none"/>
                <w:lang w:val="en-US" w:eastAsia="zh-CN"/>
              </w:rPr>
              <w:t>2</w:t>
            </w:r>
            <w:r>
              <w:rPr>
                <w:rFonts w:hint="default" w:ascii="Times New Roman" w:hAnsi="Times New Roman" w:eastAsia="宋体" w:cs="Times New Roman"/>
                <w:b/>
                <w:bCs/>
                <w:color w:val="auto"/>
                <w:highlight w:val="none"/>
              </w:rPr>
              <w:t>-</w:t>
            </w:r>
            <w:r>
              <w:rPr>
                <w:rFonts w:hint="eastAsia" w:cs="Times New Roman"/>
                <w:b/>
                <w:bCs/>
                <w:color w:val="auto"/>
                <w:highlight w:val="none"/>
                <w:lang w:val="en-US" w:eastAsia="zh-CN"/>
              </w:rPr>
              <w:t xml:space="preserve">6  </w:t>
            </w:r>
            <w:r>
              <w:rPr>
                <w:rFonts w:hint="eastAsia" w:cs="Times New Roman"/>
                <w:b/>
                <w:bCs/>
                <w:color w:val="auto"/>
                <w:highlight w:val="none"/>
                <w:lang w:eastAsia="zh-CN"/>
              </w:rPr>
              <w:t>项目</w:t>
            </w:r>
            <w:r>
              <w:rPr>
                <w:rFonts w:hint="default" w:ascii="Times New Roman" w:hAnsi="Times New Roman" w:eastAsia="宋体" w:cs="Times New Roman"/>
                <w:b/>
                <w:bCs/>
                <w:color w:val="auto"/>
                <w:highlight w:val="none"/>
              </w:rPr>
              <w:t>原辅料用量及能耗一览表</w:t>
            </w:r>
          </w:p>
          <w:tbl>
            <w:tblPr>
              <w:tblStyle w:val="27"/>
              <w:tblW w:w="8163"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499"/>
              <w:gridCol w:w="2110"/>
              <w:gridCol w:w="1454"/>
              <w:gridCol w:w="1454"/>
              <w:gridCol w:w="2646"/>
            </w:tblGrid>
            <w:tr w14:paraId="29486B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0" w:hRule="atLeast"/>
              </w:trPr>
              <w:tc>
                <w:tcPr>
                  <w:tcW w:w="499" w:type="dxa"/>
                  <w:noWrap w:val="0"/>
                  <w:vAlign w:val="bottom"/>
                </w:tcPr>
                <w:p w14:paraId="74D58FC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2110" w:type="dxa"/>
                  <w:noWrap w:val="0"/>
                  <w:vAlign w:val="bottom"/>
                </w:tcPr>
                <w:p w14:paraId="3B1FD18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原辅料</w:t>
                  </w:r>
                </w:p>
              </w:tc>
              <w:tc>
                <w:tcPr>
                  <w:tcW w:w="1454" w:type="dxa"/>
                  <w:noWrap w:val="0"/>
                  <w:vAlign w:val="bottom"/>
                </w:tcPr>
                <w:p w14:paraId="31690654">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用途</w:t>
                  </w:r>
                </w:p>
              </w:tc>
              <w:tc>
                <w:tcPr>
                  <w:tcW w:w="1454" w:type="dxa"/>
                  <w:noWrap w:val="0"/>
                  <w:vAlign w:val="bottom"/>
                </w:tcPr>
                <w:p w14:paraId="19CC957B">
                  <w:pPr>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年消耗</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t</w:t>
                  </w:r>
                  <w:r>
                    <w:rPr>
                      <w:rFonts w:hint="eastAsia" w:ascii="Times New Roman" w:hAnsi="Times New Roman" w:eastAsia="宋体" w:cs="Times New Roman"/>
                      <w:color w:val="auto"/>
                      <w:highlight w:val="none"/>
                      <w:lang w:val="en-US" w:eastAsia="zh-CN"/>
                    </w:rPr>
                    <w:t>/a）</w:t>
                  </w:r>
                </w:p>
              </w:tc>
              <w:tc>
                <w:tcPr>
                  <w:tcW w:w="2646" w:type="dxa"/>
                  <w:noWrap w:val="0"/>
                  <w:vAlign w:val="bottom"/>
                </w:tcPr>
                <w:p w14:paraId="4D52F5CA">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来源</w:t>
                  </w:r>
                </w:p>
              </w:tc>
            </w:tr>
            <w:tr w14:paraId="1C8348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5" w:hRule="atLeast"/>
              </w:trPr>
              <w:tc>
                <w:tcPr>
                  <w:tcW w:w="499" w:type="dxa"/>
                  <w:noWrap w:val="0"/>
                  <w:vAlign w:val="bottom"/>
                </w:tcPr>
                <w:p w14:paraId="07D2435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2110" w:type="dxa"/>
                  <w:noWrap w:val="0"/>
                  <w:vAlign w:val="bottom"/>
                </w:tcPr>
                <w:p w14:paraId="08FA7746">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原料褐煤</w:t>
                  </w:r>
                </w:p>
              </w:tc>
              <w:tc>
                <w:tcPr>
                  <w:tcW w:w="1454" w:type="dxa"/>
                  <w:noWrap w:val="0"/>
                  <w:vAlign w:val="bottom"/>
                </w:tcPr>
                <w:p w14:paraId="3448136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用于提质</w:t>
                  </w:r>
                </w:p>
              </w:tc>
              <w:tc>
                <w:tcPr>
                  <w:tcW w:w="1454" w:type="dxa"/>
                  <w:noWrap w:val="0"/>
                  <w:vAlign w:val="bottom"/>
                </w:tcPr>
                <w:p w14:paraId="4D302F22">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100万</w:t>
                  </w:r>
                </w:p>
              </w:tc>
              <w:tc>
                <w:tcPr>
                  <w:tcW w:w="2646" w:type="dxa"/>
                  <w:noWrap w:val="0"/>
                  <w:vAlign w:val="bottom"/>
                </w:tcPr>
                <w:p w14:paraId="5740125F">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寻甸金所矿、姚家村煤矿</w:t>
                  </w:r>
                </w:p>
              </w:tc>
            </w:tr>
            <w:tr w14:paraId="7B5F8C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499" w:type="dxa"/>
                  <w:noWrap w:val="0"/>
                  <w:vAlign w:val="bottom"/>
                </w:tcPr>
                <w:p w14:paraId="133DCAE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110" w:type="dxa"/>
                  <w:noWrap w:val="0"/>
                  <w:vAlign w:val="bottom"/>
                </w:tcPr>
                <w:p w14:paraId="3E670E34">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生物质颗粒</w:t>
                  </w:r>
                </w:p>
              </w:tc>
              <w:tc>
                <w:tcPr>
                  <w:tcW w:w="1454" w:type="dxa"/>
                  <w:noWrap w:val="0"/>
                  <w:vAlign w:val="bottom"/>
                </w:tcPr>
                <w:p w14:paraId="05CBEB6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用于燃烧</w:t>
                  </w:r>
                </w:p>
              </w:tc>
              <w:tc>
                <w:tcPr>
                  <w:tcW w:w="1454" w:type="dxa"/>
                  <w:noWrap w:val="0"/>
                  <w:vAlign w:val="bottom"/>
                </w:tcPr>
                <w:p w14:paraId="06F722E4">
                  <w:pPr>
                    <w:jc w:val="center"/>
                    <w:rPr>
                      <w:rFonts w:hint="default" w:ascii="Times New Roman" w:hAnsi="Times New Roman" w:eastAsia="宋体" w:cs="Times New Roman"/>
                      <w:color w:val="auto"/>
                      <w:highlight w:val="none"/>
                      <w:lang w:val="en-US"/>
                    </w:rPr>
                  </w:pPr>
                  <w:r>
                    <w:rPr>
                      <w:rFonts w:hint="eastAsia" w:cs="Times New Roman"/>
                      <w:color w:val="auto"/>
                      <w:kern w:val="2"/>
                      <w:sz w:val="21"/>
                      <w:szCs w:val="21"/>
                      <w:highlight w:val="none"/>
                      <w:lang w:val="en-US" w:eastAsia="zh-CN" w:bidi="ar-SA"/>
                    </w:rPr>
                    <w:t>36461.6448</w:t>
                  </w:r>
                </w:p>
              </w:tc>
              <w:tc>
                <w:tcPr>
                  <w:tcW w:w="2646" w:type="dxa"/>
                  <w:noWrap w:val="0"/>
                  <w:vAlign w:val="bottom"/>
                </w:tcPr>
                <w:p w14:paraId="2B000632">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外购</w:t>
                  </w:r>
                </w:p>
              </w:tc>
            </w:tr>
            <w:tr w14:paraId="7AD276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27" w:hRule="atLeast"/>
              </w:trPr>
              <w:tc>
                <w:tcPr>
                  <w:tcW w:w="499" w:type="dxa"/>
                  <w:noWrap w:val="0"/>
                  <w:vAlign w:val="bottom"/>
                </w:tcPr>
                <w:p w14:paraId="60BC3EDF">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w:t>
                  </w:r>
                </w:p>
              </w:tc>
              <w:tc>
                <w:tcPr>
                  <w:tcW w:w="2110" w:type="dxa"/>
                  <w:noWrap w:val="0"/>
                  <w:vAlign w:val="bottom"/>
                </w:tcPr>
                <w:p w14:paraId="6AE99BF3">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石灰石粉（</w:t>
                  </w:r>
                  <w:r>
                    <w:rPr>
                      <w:rFonts w:hint="eastAsia" w:cs="Times New Roman"/>
                      <w:color w:val="auto"/>
                      <w:highlight w:val="none"/>
                      <w:lang w:val="en-US" w:eastAsia="zh-CN"/>
                    </w:rPr>
                    <w:t>300目</w:t>
                  </w:r>
                  <w:r>
                    <w:rPr>
                      <w:rFonts w:hint="eastAsia" w:cs="Times New Roman"/>
                      <w:color w:val="auto"/>
                      <w:highlight w:val="none"/>
                      <w:lang w:eastAsia="zh-CN"/>
                    </w:rPr>
                    <w:t>）</w:t>
                  </w:r>
                </w:p>
              </w:tc>
              <w:tc>
                <w:tcPr>
                  <w:tcW w:w="1454" w:type="dxa"/>
                  <w:noWrap w:val="0"/>
                  <w:vAlign w:val="bottom"/>
                </w:tcPr>
                <w:p w14:paraId="0D0B60CB">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用于烟气脱硫</w:t>
                  </w:r>
                </w:p>
              </w:tc>
              <w:tc>
                <w:tcPr>
                  <w:tcW w:w="1454" w:type="dxa"/>
                  <w:noWrap w:val="0"/>
                  <w:vAlign w:val="bottom"/>
                </w:tcPr>
                <w:p w14:paraId="3172A40F">
                  <w:pPr>
                    <w:jc w:val="center"/>
                    <w:rPr>
                      <w:rFonts w:hint="default"/>
                      <w:color w:val="auto"/>
                      <w:sz w:val="21"/>
                      <w:szCs w:val="21"/>
                      <w:highlight w:val="none"/>
                      <w:lang w:val="en-US" w:eastAsia="zh-CN"/>
                    </w:rPr>
                  </w:pPr>
                  <w:r>
                    <w:rPr>
                      <w:rFonts w:hint="eastAsia"/>
                      <w:color w:val="auto"/>
                      <w:sz w:val="21"/>
                      <w:szCs w:val="21"/>
                      <w:highlight w:val="none"/>
                      <w:lang w:val="en-US" w:eastAsia="zh-CN"/>
                    </w:rPr>
                    <w:t>195.2521</w:t>
                  </w:r>
                </w:p>
              </w:tc>
              <w:tc>
                <w:tcPr>
                  <w:tcW w:w="2646" w:type="dxa"/>
                  <w:noWrap w:val="0"/>
                  <w:vAlign w:val="bottom"/>
                </w:tcPr>
                <w:p w14:paraId="1E765800">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外购，储罐转运储存</w:t>
                  </w:r>
                </w:p>
              </w:tc>
            </w:tr>
            <w:tr w14:paraId="400E11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499" w:type="dxa"/>
                  <w:noWrap w:val="0"/>
                  <w:vAlign w:val="bottom"/>
                </w:tcPr>
                <w:p w14:paraId="5F99BEA5">
                  <w:pPr>
                    <w:jc w:val="center"/>
                    <w:rPr>
                      <w:rFonts w:hint="default" w:cs="Times New Roman"/>
                      <w:color w:val="auto"/>
                      <w:highlight w:val="none"/>
                      <w:lang w:val="en-US" w:eastAsia="zh-CN"/>
                    </w:rPr>
                  </w:pPr>
                  <w:r>
                    <w:rPr>
                      <w:rFonts w:hint="eastAsia" w:cs="Times New Roman"/>
                      <w:color w:val="auto"/>
                      <w:highlight w:val="none"/>
                      <w:lang w:val="en-US" w:eastAsia="zh-CN"/>
                    </w:rPr>
                    <w:t>4</w:t>
                  </w:r>
                </w:p>
              </w:tc>
              <w:tc>
                <w:tcPr>
                  <w:tcW w:w="2110" w:type="dxa"/>
                  <w:noWrap w:val="0"/>
                  <w:vAlign w:val="bottom"/>
                </w:tcPr>
                <w:p w14:paraId="58810045">
                  <w:pPr>
                    <w:jc w:val="center"/>
                    <w:rPr>
                      <w:rFonts w:hint="eastAsia" w:cs="Times New Roman"/>
                      <w:color w:val="auto"/>
                      <w:highlight w:val="none"/>
                      <w:lang w:eastAsia="zh-CN"/>
                    </w:rPr>
                  </w:pPr>
                  <w:r>
                    <w:rPr>
                      <w:rFonts w:hint="eastAsia" w:cs="Times New Roman"/>
                      <w:color w:val="auto"/>
                      <w:highlight w:val="none"/>
                      <w:lang w:eastAsia="zh-CN"/>
                    </w:rPr>
                    <w:t>氨水</w:t>
                  </w:r>
                </w:p>
              </w:tc>
              <w:tc>
                <w:tcPr>
                  <w:tcW w:w="1454" w:type="dxa"/>
                  <w:noWrap w:val="0"/>
                  <w:vAlign w:val="bottom"/>
                </w:tcPr>
                <w:p w14:paraId="49C8EF27">
                  <w:pPr>
                    <w:jc w:val="center"/>
                    <w:rPr>
                      <w:rFonts w:hint="eastAsia" w:cs="Times New Roman"/>
                      <w:color w:val="auto"/>
                      <w:highlight w:val="none"/>
                      <w:lang w:eastAsia="zh-CN"/>
                    </w:rPr>
                  </w:pPr>
                  <w:r>
                    <w:rPr>
                      <w:rFonts w:hint="eastAsia" w:cs="Times New Roman"/>
                      <w:color w:val="auto"/>
                      <w:highlight w:val="none"/>
                      <w:lang w:eastAsia="zh-CN"/>
                    </w:rPr>
                    <w:t>用于烟气脱硝</w:t>
                  </w:r>
                </w:p>
              </w:tc>
              <w:tc>
                <w:tcPr>
                  <w:tcW w:w="1454" w:type="dxa"/>
                  <w:noWrap w:val="0"/>
                  <w:vAlign w:val="bottom"/>
                </w:tcPr>
                <w:p w14:paraId="564C9D18">
                  <w:pPr>
                    <w:jc w:val="center"/>
                    <w:rPr>
                      <w:rFonts w:hint="default"/>
                      <w:color w:val="auto"/>
                      <w:sz w:val="21"/>
                      <w:szCs w:val="21"/>
                      <w:highlight w:val="none"/>
                      <w:lang w:val="en-US" w:eastAsia="zh-CN"/>
                    </w:rPr>
                  </w:pPr>
                  <w:r>
                    <w:rPr>
                      <w:rFonts w:hint="eastAsia"/>
                      <w:color w:val="auto"/>
                      <w:sz w:val="21"/>
                      <w:szCs w:val="21"/>
                      <w:highlight w:val="none"/>
                      <w:lang w:val="en-US" w:eastAsia="zh-CN"/>
                    </w:rPr>
                    <w:t>126.2688（18.79kg/h）</w:t>
                  </w:r>
                </w:p>
              </w:tc>
              <w:tc>
                <w:tcPr>
                  <w:tcW w:w="2646" w:type="dxa"/>
                  <w:noWrap w:val="0"/>
                  <w:vAlign w:val="bottom"/>
                </w:tcPr>
                <w:p w14:paraId="306130D4">
                  <w:pPr>
                    <w:jc w:val="center"/>
                    <w:rPr>
                      <w:rFonts w:hint="eastAsia" w:cs="Times New Roman"/>
                      <w:color w:val="auto"/>
                      <w:highlight w:val="none"/>
                      <w:lang w:eastAsia="zh-CN"/>
                    </w:rPr>
                  </w:pPr>
                  <w:r>
                    <w:rPr>
                      <w:rFonts w:hint="eastAsia" w:cs="Times New Roman"/>
                      <w:color w:val="auto"/>
                      <w:highlight w:val="none"/>
                      <w:lang w:eastAsia="zh-CN"/>
                    </w:rPr>
                    <w:t>氨水储罐</w:t>
                  </w:r>
                </w:p>
              </w:tc>
            </w:tr>
          </w:tbl>
          <w:p w14:paraId="585CF143">
            <w:pPr>
              <w:adjustRightInd w:val="0"/>
              <w:snapToGrid w:val="0"/>
              <w:spacing w:line="360" w:lineRule="auto"/>
              <w:ind w:firstLine="480" w:firstLineChars="200"/>
              <w:rPr>
                <w:color w:val="auto"/>
                <w:sz w:val="24"/>
                <w:highlight w:val="none"/>
              </w:rPr>
            </w:pPr>
            <w:r>
              <w:rPr>
                <w:rFonts w:hint="eastAsia"/>
                <w:color w:val="auto"/>
                <w:sz w:val="24"/>
                <w:highlight w:val="none"/>
              </w:rPr>
              <w:t>脱硫所需石灰石粉量采用下式计算：</w:t>
            </w:r>
          </w:p>
          <w:p w14:paraId="0484D393">
            <w:pPr>
              <w:adjustRightInd w:val="0"/>
              <w:snapToGrid w:val="0"/>
              <w:spacing w:line="360" w:lineRule="auto"/>
              <w:ind w:firstLine="480" w:firstLineChars="200"/>
              <w:jc w:val="center"/>
              <w:rPr>
                <w:color w:val="auto"/>
                <w:sz w:val="24"/>
                <w:highlight w:val="none"/>
              </w:rPr>
            </w:pPr>
            <w:r>
              <w:rPr>
                <w:rFonts w:hint="eastAsia"/>
                <w:color w:val="auto"/>
                <w:sz w:val="24"/>
                <w:highlight w:val="none"/>
              </w:rPr>
              <w:t>G</w:t>
            </w:r>
            <w:r>
              <w:rPr>
                <w:rFonts w:hint="eastAsia"/>
                <w:color w:val="auto"/>
                <w:sz w:val="24"/>
                <w:highlight w:val="none"/>
                <w:vertAlign w:val="subscript"/>
              </w:rPr>
              <w:t>石灰石</w:t>
            </w:r>
            <w:r>
              <w:rPr>
                <w:rFonts w:hint="eastAsia"/>
                <w:color w:val="auto"/>
                <w:sz w:val="24"/>
                <w:highlight w:val="none"/>
              </w:rPr>
              <w:t>=Ks×B×S×56×M/（32×X</w:t>
            </w:r>
            <w:r>
              <w:rPr>
                <w:rFonts w:hint="eastAsia"/>
                <w:color w:val="auto"/>
                <w:sz w:val="24"/>
                <w:highlight w:val="none"/>
                <w:vertAlign w:val="subscript"/>
              </w:rPr>
              <w:t>CaO</w:t>
            </w:r>
            <w:r>
              <w:rPr>
                <w:rFonts w:hint="eastAsia"/>
                <w:color w:val="auto"/>
                <w:sz w:val="24"/>
                <w:highlight w:val="none"/>
              </w:rPr>
              <w:t>）</w:t>
            </w:r>
          </w:p>
          <w:p w14:paraId="384B3044">
            <w:pPr>
              <w:adjustRightInd w:val="0"/>
              <w:snapToGrid w:val="0"/>
              <w:spacing w:line="360" w:lineRule="auto"/>
              <w:ind w:firstLine="480" w:firstLineChars="200"/>
              <w:rPr>
                <w:color w:val="auto"/>
                <w:sz w:val="24"/>
                <w:highlight w:val="none"/>
              </w:rPr>
            </w:pPr>
            <w:r>
              <w:rPr>
                <w:rFonts w:hint="eastAsia"/>
                <w:color w:val="auto"/>
                <w:sz w:val="24"/>
                <w:highlight w:val="none"/>
              </w:rPr>
              <w:t>式中：G</w:t>
            </w:r>
            <w:r>
              <w:rPr>
                <w:rFonts w:hint="eastAsia"/>
                <w:color w:val="auto"/>
                <w:sz w:val="24"/>
                <w:highlight w:val="none"/>
                <w:vertAlign w:val="subscript"/>
              </w:rPr>
              <w:t>石灰石</w:t>
            </w:r>
            <w:r>
              <w:rPr>
                <w:rFonts w:hint="eastAsia"/>
                <w:color w:val="auto"/>
                <w:sz w:val="24"/>
                <w:highlight w:val="none"/>
              </w:rPr>
              <w:t>——石灰石消耗量，t；</w:t>
            </w:r>
          </w:p>
          <w:p w14:paraId="6ADD5D6A">
            <w:pPr>
              <w:adjustRightInd w:val="0"/>
              <w:snapToGrid w:val="0"/>
              <w:spacing w:line="360" w:lineRule="auto"/>
              <w:ind w:firstLine="480" w:firstLineChars="200"/>
              <w:rPr>
                <w:color w:val="auto"/>
                <w:sz w:val="24"/>
                <w:highlight w:val="none"/>
              </w:rPr>
            </w:pPr>
            <w:r>
              <w:rPr>
                <w:rFonts w:hint="eastAsia"/>
                <w:color w:val="auto"/>
                <w:sz w:val="24"/>
                <w:highlight w:val="none"/>
              </w:rPr>
              <w:t xml:space="preserve">      B——耗</w:t>
            </w:r>
            <w:r>
              <w:rPr>
                <w:rFonts w:hint="eastAsia"/>
                <w:color w:val="auto"/>
                <w:sz w:val="24"/>
                <w:highlight w:val="none"/>
                <w:lang w:eastAsia="zh-CN"/>
              </w:rPr>
              <w:t>生物质颗粒</w:t>
            </w:r>
            <w:r>
              <w:rPr>
                <w:rFonts w:hint="eastAsia"/>
                <w:color w:val="auto"/>
                <w:sz w:val="24"/>
                <w:highlight w:val="none"/>
              </w:rPr>
              <w:t>量，t；</w:t>
            </w:r>
            <w:r>
              <w:rPr>
                <w:rFonts w:hint="default" w:ascii="Times New Roman" w:hAnsi="Times New Roman" w:eastAsia="宋体" w:cs="Times New Roman"/>
                <w:color w:val="auto"/>
                <w:kern w:val="2"/>
                <w:sz w:val="24"/>
                <w:szCs w:val="24"/>
                <w:highlight w:val="none"/>
                <w:lang w:val="en-US" w:eastAsia="zh-CN" w:bidi="ar-SA"/>
              </w:rPr>
              <w:t>根据业主提供</w:t>
            </w:r>
            <w:r>
              <w:rPr>
                <w:rFonts w:hint="default" w:ascii="Times New Roman" w:hAnsi="Times New Roman" w:cs="Times New Roman"/>
                <w:color w:val="auto"/>
                <w:kern w:val="2"/>
                <w:sz w:val="24"/>
                <w:szCs w:val="24"/>
                <w:highlight w:val="none"/>
                <w:lang w:val="en-US" w:eastAsia="zh-CN" w:bidi="ar-SA"/>
              </w:rPr>
              <w:t>的热平衡</w:t>
            </w:r>
            <w:r>
              <w:rPr>
                <w:rFonts w:hint="default" w:ascii="Times New Roman" w:hAnsi="Times New Roman" w:eastAsia="宋体" w:cs="Times New Roman"/>
                <w:color w:val="auto"/>
                <w:kern w:val="2"/>
                <w:sz w:val="24"/>
                <w:szCs w:val="24"/>
                <w:highlight w:val="none"/>
                <w:lang w:val="en-US" w:eastAsia="zh-CN" w:bidi="ar-SA"/>
              </w:rPr>
              <w:t>资料</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燃料年用量为36461.6448t</w:t>
            </w:r>
            <w:r>
              <w:rPr>
                <w:rFonts w:hint="eastAsia"/>
                <w:color w:val="auto"/>
                <w:sz w:val="24"/>
                <w:highlight w:val="none"/>
              </w:rPr>
              <w:t>；</w:t>
            </w:r>
          </w:p>
          <w:p w14:paraId="60383879">
            <w:pPr>
              <w:adjustRightInd w:val="0"/>
              <w:snapToGrid w:val="0"/>
              <w:spacing w:line="360" w:lineRule="auto"/>
              <w:ind w:firstLine="1200" w:firstLineChars="500"/>
              <w:rPr>
                <w:color w:val="auto"/>
                <w:sz w:val="24"/>
                <w:highlight w:val="none"/>
              </w:rPr>
            </w:pPr>
            <w:r>
              <w:rPr>
                <w:rFonts w:hint="eastAsia"/>
                <w:color w:val="auto"/>
                <w:sz w:val="24"/>
                <w:highlight w:val="none"/>
              </w:rPr>
              <w:t>S——含硫量；根据</w:t>
            </w:r>
            <w:r>
              <w:rPr>
                <w:rFonts w:hint="eastAsia"/>
                <w:color w:val="auto"/>
                <w:sz w:val="24"/>
                <w:highlight w:val="none"/>
                <w:lang w:eastAsia="zh-CN"/>
              </w:rPr>
              <w:t>生物质颗粒</w:t>
            </w:r>
            <w:r>
              <w:rPr>
                <w:rFonts w:hint="eastAsia"/>
                <w:color w:val="auto"/>
                <w:sz w:val="24"/>
                <w:highlight w:val="none"/>
              </w:rPr>
              <w:t>检测报告，</w:t>
            </w:r>
            <w:r>
              <w:rPr>
                <w:rFonts w:hint="eastAsia"/>
                <w:color w:val="auto"/>
                <w:sz w:val="24"/>
                <w:highlight w:val="none"/>
                <w:lang w:val="en-US" w:eastAsia="zh-CN"/>
              </w:rPr>
              <w:t>S=0.09</w:t>
            </w:r>
            <w:r>
              <w:rPr>
                <w:rFonts w:hint="eastAsia" w:cs="Times New Roman"/>
                <w:color w:val="auto"/>
                <w:sz w:val="24"/>
                <w:szCs w:val="24"/>
                <w:highlight w:val="none"/>
                <w:lang w:val="en-US" w:eastAsia="zh-CN"/>
              </w:rPr>
              <w:t>%；</w:t>
            </w:r>
          </w:p>
          <w:p w14:paraId="520F4B6C">
            <w:pPr>
              <w:adjustRightInd w:val="0"/>
              <w:snapToGrid w:val="0"/>
              <w:spacing w:line="360" w:lineRule="auto"/>
              <w:ind w:firstLine="480" w:firstLineChars="200"/>
              <w:rPr>
                <w:color w:val="auto"/>
                <w:sz w:val="24"/>
                <w:highlight w:val="none"/>
              </w:rPr>
            </w:pPr>
            <w:r>
              <w:rPr>
                <w:rFonts w:hint="eastAsia"/>
                <w:color w:val="auto"/>
                <w:sz w:val="24"/>
                <w:highlight w:val="none"/>
              </w:rPr>
              <w:t xml:space="preserve">      Ks——可燃硫占全硫量的百分比，%；取</w:t>
            </w:r>
            <w:r>
              <w:rPr>
                <w:color w:val="auto"/>
                <w:sz w:val="24"/>
                <w:highlight w:val="none"/>
              </w:rPr>
              <w:t>85</w:t>
            </w:r>
            <w:r>
              <w:rPr>
                <w:rFonts w:hint="eastAsia"/>
                <w:color w:val="auto"/>
                <w:sz w:val="24"/>
                <w:highlight w:val="none"/>
              </w:rPr>
              <w:t>%；</w:t>
            </w:r>
          </w:p>
          <w:p w14:paraId="79A837B9">
            <w:pPr>
              <w:adjustRightInd w:val="0"/>
              <w:snapToGrid w:val="0"/>
              <w:spacing w:line="360" w:lineRule="auto"/>
              <w:ind w:firstLine="480" w:firstLineChars="200"/>
              <w:rPr>
                <w:rFonts w:hint="default" w:eastAsia="宋体"/>
                <w:color w:val="auto"/>
                <w:sz w:val="24"/>
                <w:highlight w:val="none"/>
                <w:lang w:val="en-US" w:eastAsia="zh-CN"/>
              </w:rPr>
            </w:pPr>
            <w:r>
              <w:rPr>
                <w:rFonts w:hint="eastAsia"/>
                <w:color w:val="auto"/>
                <w:sz w:val="24"/>
                <w:highlight w:val="none"/>
              </w:rPr>
              <w:t xml:space="preserve">      M——钙硫比；取2；</w:t>
            </w:r>
          </w:p>
          <w:p w14:paraId="3A9678F6">
            <w:pPr>
              <w:adjustRightInd w:val="0"/>
              <w:snapToGrid w:val="0"/>
              <w:spacing w:line="360" w:lineRule="auto"/>
              <w:ind w:firstLine="1200" w:firstLineChars="500"/>
              <w:rPr>
                <w:rFonts w:hint="default" w:eastAsia="宋体"/>
                <w:color w:val="auto"/>
                <w:sz w:val="24"/>
                <w:highlight w:val="none"/>
                <w:lang w:val="en-US" w:eastAsia="zh-CN"/>
              </w:rPr>
            </w:pPr>
            <w:r>
              <w:rPr>
                <w:rFonts w:hint="eastAsia"/>
                <w:color w:val="auto"/>
                <w:sz w:val="24"/>
                <w:highlight w:val="none"/>
              </w:rPr>
              <w:t>X</w:t>
            </w:r>
            <w:r>
              <w:rPr>
                <w:rFonts w:hint="eastAsia"/>
                <w:color w:val="auto"/>
                <w:sz w:val="24"/>
                <w:highlight w:val="none"/>
                <w:vertAlign w:val="subscript"/>
              </w:rPr>
              <w:t>CaO</w:t>
            </w:r>
            <w:r>
              <w:rPr>
                <w:rFonts w:hint="eastAsia"/>
                <w:color w:val="auto"/>
                <w:sz w:val="24"/>
                <w:highlight w:val="none"/>
              </w:rPr>
              <w:t>——石灰石可生成氧化钙含量，取50%。</w:t>
            </w:r>
          </w:p>
          <w:p w14:paraId="4B9A0AFA">
            <w:pPr>
              <w:adjustRightInd w:val="0"/>
              <w:snapToGrid w:val="0"/>
              <w:spacing w:line="360" w:lineRule="auto"/>
              <w:ind w:firstLine="480" w:firstLineChars="200"/>
              <w:rPr>
                <w:rFonts w:hint="eastAsia" w:ascii="Times New Roman" w:hAnsi="Times New Roman" w:eastAsia="宋体" w:cs="Times New Roman"/>
                <w:b/>
                <w:bCs/>
                <w:color w:val="auto"/>
                <w:sz w:val="24"/>
                <w:highlight w:val="none"/>
                <w:lang w:val="en-US" w:eastAsia="zh-CN"/>
              </w:rPr>
            </w:pPr>
            <w:r>
              <w:rPr>
                <w:rFonts w:hint="eastAsia"/>
                <w:color w:val="auto"/>
                <w:sz w:val="24"/>
                <w:highlight w:val="none"/>
              </w:rPr>
              <w:t>经计算，项目热风炉炉内喷钙脱硫需消耗石灰石粉</w:t>
            </w:r>
            <w:r>
              <w:rPr>
                <w:rFonts w:hint="eastAsia"/>
                <w:color w:val="auto"/>
                <w:sz w:val="24"/>
                <w:szCs w:val="24"/>
                <w:highlight w:val="none"/>
                <w:lang w:val="en-US" w:eastAsia="zh-CN"/>
              </w:rPr>
              <w:t>195.2521</w:t>
            </w:r>
            <w:r>
              <w:rPr>
                <w:rFonts w:hint="eastAsia"/>
                <w:color w:val="auto"/>
                <w:sz w:val="24"/>
                <w:szCs w:val="24"/>
                <w:highlight w:val="none"/>
              </w:rPr>
              <w:t>t/a</w:t>
            </w:r>
            <w:r>
              <w:rPr>
                <w:rFonts w:hint="eastAsia"/>
                <w:color w:val="auto"/>
                <w:sz w:val="24"/>
                <w:highlight w:val="none"/>
                <w:lang w:eastAsia="zh-CN"/>
              </w:rPr>
              <w:t>。</w:t>
            </w:r>
          </w:p>
          <w:p w14:paraId="659D6B1D">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原</w:t>
            </w:r>
            <w:r>
              <w:rPr>
                <w:rFonts w:hint="default" w:ascii="Times New Roman" w:hAnsi="Times New Roman" w:eastAsia="宋体" w:cs="Times New Roman"/>
                <w:b/>
                <w:bCs/>
                <w:color w:val="auto"/>
                <w:sz w:val="24"/>
                <w:highlight w:val="none"/>
                <w:lang w:eastAsia="zh-CN"/>
              </w:rPr>
              <w:t>煤</w:t>
            </w:r>
            <w:r>
              <w:rPr>
                <w:rFonts w:hint="default" w:ascii="Times New Roman" w:hAnsi="Times New Roman" w:eastAsia="宋体" w:cs="Times New Roman"/>
                <w:b/>
                <w:bCs/>
                <w:color w:val="auto"/>
                <w:sz w:val="24"/>
                <w:highlight w:val="none"/>
              </w:rPr>
              <w:t>煤质分析</w:t>
            </w:r>
          </w:p>
          <w:p w14:paraId="44791399">
            <w:pPr>
              <w:spacing w:line="360" w:lineRule="auto"/>
              <w:ind w:firstLine="480" w:firstLineChars="200"/>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color w:val="auto"/>
                <w:sz w:val="24"/>
                <w:highlight w:val="none"/>
                <w:lang w:eastAsia="zh-CN"/>
              </w:rPr>
              <w:t>本项目的原料购买</w:t>
            </w:r>
            <w:r>
              <w:rPr>
                <w:rFonts w:hint="eastAsia" w:cs="Times New Roman"/>
                <w:color w:val="auto"/>
                <w:sz w:val="24"/>
                <w:szCs w:val="24"/>
                <w:highlight w:val="none"/>
                <w:lang w:eastAsia="zh-CN"/>
              </w:rPr>
              <w:t>寻甸金所矿、姚家村煤矿</w:t>
            </w:r>
            <w:r>
              <w:rPr>
                <w:rFonts w:hint="default" w:ascii="Times New Roman" w:hAnsi="Times New Roman" w:eastAsia="宋体" w:cs="Times New Roman"/>
                <w:color w:val="auto"/>
                <w:sz w:val="24"/>
                <w:szCs w:val="24"/>
                <w:highlight w:val="none"/>
                <w:lang w:eastAsia="zh-CN"/>
              </w:rPr>
              <w:t>的</w:t>
            </w:r>
            <w:r>
              <w:rPr>
                <w:rFonts w:hint="default" w:ascii="Times New Roman" w:hAnsi="Times New Roman" w:eastAsia="宋体" w:cs="Times New Roman"/>
                <w:color w:val="auto"/>
                <w:sz w:val="24"/>
                <w:highlight w:val="none"/>
              </w:rPr>
              <w:t>褐煤</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根据寻甸慧果能源开发有限公司</w:t>
            </w:r>
            <w:r>
              <w:rPr>
                <w:rFonts w:hint="eastAsia" w:cs="Times New Roman"/>
                <w:color w:val="auto"/>
                <w:sz w:val="24"/>
                <w:highlight w:val="none"/>
                <w:lang w:eastAsia="zh-CN"/>
              </w:rPr>
              <w:t>煤质分析报告（金所煤矿）和姚家村煤矿煤炭检测报告单</w:t>
            </w:r>
            <w:r>
              <w:rPr>
                <w:rFonts w:hint="eastAsia" w:ascii="Times New Roman" w:hAnsi="Times New Roman" w:eastAsia="宋体" w:cs="Times New Roman"/>
                <w:color w:val="auto"/>
                <w:sz w:val="24"/>
                <w:highlight w:val="none"/>
                <w:lang w:eastAsia="zh-CN"/>
              </w:rPr>
              <w:t>（详见附件</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，分析结果详见表</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14:paraId="54547B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表</w:t>
            </w:r>
            <w:r>
              <w:rPr>
                <w:rFonts w:hint="eastAsia"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lang w:val="en-US" w:eastAsia="zh-CN"/>
              </w:rPr>
              <w:t>-</w:t>
            </w:r>
            <w:r>
              <w:rPr>
                <w:rFonts w:hint="eastAsia" w:cs="Times New Roman"/>
                <w:b/>
                <w:color w:val="auto"/>
                <w:sz w:val="21"/>
                <w:szCs w:val="21"/>
                <w:highlight w:val="none"/>
                <w:lang w:val="en-US" w:eastAsia="zh-CN"/>
              </w:rPr>
              <w:t>7</w:t>
            </w:r>
            <w:r>
              <w:rPr>
                <w:rFonts w:hint="default" w:ascii="Times New Roman" w:hAnsi="Times New Roman" w:eastAsia="宋体" w:cs="Times New Roman"/>
                <w:b/>
                <w:color w:val="auto"/>
                <w:sz w:val="21"/>
                <w:szCs w:val="21"/>
                <w:highlight w:val="none"/>
              </w:rPr>
              <w:t xml:space="preserve">  煤质分析一览表</w:t>
            </w:r>
          </w:p>
          <w:tbl>
            <w:tblPr>
              <w:tblStyle w:val="27"/>
              <w:tblW w:w="8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887"/>
              <w:gridCol w:w="775"/>
              <w:gridCol w:w="905"/>
              <w:gridCol w:w="2028"/>
              <w:gridCol w:w="835"/>
              <w:gridCol w:w="953"/>
            </w:tblGrid>
            <w:tr w14:paraId="669A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787" w:type="dxa"/>
                  <w:noWrap w:val="0"/>
                  <w:vAlign w:val="center"/>
                </w:tcPr>
                <w:p w14:paraId="3AD6C91C">
                  <w:pPr>
                    <w:widowControl/>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分析项目</w:t>
                  </w:r>
                </w:p>
              </w:tc>
              <w:tc>
                <w:tcPr>
                  <w:tcW w:w="887" w:type="dxa"/>
                  <w:noWrap w:val="0"/>
                  <w:vAlign w:val="center"/>
                </w:tcPr>
                <w:p w14:paraId="0E20965F">
                  <w:pPr>
                    <w:widowControl/>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单位</w:t>
                  </w:r>
                </w:p>
              </w:tc>
              <w:tc>
                <w:tcPr>
                  <w:tcW w:w="775" w:type="dxa"/>
                  <w:noWrap w:val="0"/>
                  <w:vAlign w:val="center"/>
                </w:tcPr>
                <w:p w14:paraId="6EB87EF0">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3#油站</w:t>
                  </w:r>
                </w:p>
              </w:tc>
              <w:tc>
                <w:tcPr>
                  <w:tcW w:w="905" w:type="dxa"/>
                  <w:noWrap w:val="0"/>
                  <w:vAlign w:val="center"/>
                </w:tcPr>
                <w:p w14:paraId="6011524F">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3#水塘边</w:t>
                  </w:r>
                </w:p>
              </w:tc>
              <w:tc>
                <w:tcPr>
                  <w:tcW w:w="2028" w:type="dxa"/>
                  <w:noWrap w:val="0"/>
                  <w:vAlign w:val="center"/>
                </w:tcPr>
                <w:p w14:paraId="736A093A">
                  <w:pPr>
                    <w:widowControl/>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eastAsia="zh-CN"/>
                    </w:rPr>
                    <w:t>分析项目</w:t>
                  </w:r>
                </w:p>
              </w:tc>
              <w:tc>
                <w:tcPr>
                  <w:tcW w:w="835" w:type="dxa"/>
                  <w:noWrap w:val="0"/>
                  <w:vAlign w:val="center"/>
                </w:tcPr>
                <w:p w14:paraId="52BF30B9">
                  <w:pPr>
                    <w:widowControl/>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单位</w:t>
                  </w:r>
                </w:p>
              </w:tc>
              <w:tc>
                <w:tcPr>
                  <w:tcW w:w="953" w:type="dxa"/>
                  <w:noWrap w:val="0"/>
                  <w:vAlign w:val="center"/>
                </w:tcPr>
                <w:p w14:paraId="41AD8186">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煤矿西南角煤样</w:t>
                  </w:r>
                </w:p>
              </w:tc>
            </w:tr>
            <w:tr w14:paraId="7904E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787" w:type="dxa"/>
                  <w:noWrap w:val="0"/>
                  <w:vAlign w:val="center"/>
                </w:tcPr>
                <w:p w14:paraId="62ECFBDE">
                  <w:pPr>
                    <w:widowControl/>
                    <w:jc w:val="center"/>
                    <w:rPr>
                      <w:rFonts w:hint="eastAsia"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固定碳</w:t>
                  </w:r>
                  <w:r>
                    <w:rPr>
                      <w:rFonts w:hint="default"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kern w:val="0"/>
                      <w:szCs w:val="21"/>
                      <w:highlight w:val="none"/>
                      <w:lang w:val="en-US" w:eastAsia="zh-CN"/>
                    </w:rPr>
                    <w:t>FC</w:t>
                  </w:r>
                  <w:r>
                    <w:rPr>
                      <w:rFonts w:hint="default" w:ascii="Times New Roman" w:hAnsi="Times New Roman" w:eastAsia="宋体" w:cs="Times New Roman"/>
                      <w:color w:val="auto"/>
                      <w:kern w:val="0"/>
                      <w:szCs w:val="21"/>
                      <w:highlight w:val="none"/>
                    </w:rPr>
                    <w:t>a</w:t>
                  </w:r>
                  <w:r>
                    <w:rPr>
                      <w:rFonts w:hint="eastAsia" w:ascii="Times New Roman" w:hAnsi="Times New Roman" w:eastAsia="宋体" w:cs="Times New Roman"/>
                      <w:color w:val="auto"/>
                      <w:kern w:val="0"/>
                      <w:szCs w:val="21"/>
                      <w:highlight w:val="none"/>
                      <w:lang w:val="en-US" w:eastAsia="zh-CN"/>
                    </w:rPr>
                    <w:t>d</w:t>
                  </w:r>
                  <w:r>
                    <w:rPr>
                      <w:rFonts w:hint="default" w:ascii="Times New Roman" w:hAnsi="Times New Roman" w:eastAsia="宋体" w:cs="Times New Roman"/>
                      <w:color w:val="auto"/>
                      <w:kern w:val="0"/>
                      <w:szCs w:val="21"/>
                      <w:highlight w:val="none"/>
                    </w:rPr>
                    <w:t>)</w:t>
                  </w:r>
                </w:p>
              </w:tc>
              <w:tc>
                <w:tcPr>
                  <w:tcW w:w="887" w:type="dxa"/>
                  <w:noWrap w:val="0"/>
                  <w:vAlign w:val="center"/>
                </w:tcPr>
                <w:p w14:paraId="09330F98">
                  <w:pPr>
                    <w:widowControl/>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5" w:type="dxa"/>
                  <w:noWrap w:val="0"/>
                  <w:vAlign w:val="center"/>
                </w:tcPr>
                <w:p w14:paraId="28268D61">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23.65</w:t>
                  </w:r>
                </w:p>
              </w:tc>
              <w:tc>
                <w:tcPr>
                  <w:tcW w:w="905" w:type="dxa"/>
                  <w:noWrap w:val="0"/>
                  <w:vAlign w:val="center"/>
                </w:tcPr>
                <w:p w14:paraId="5C4AFB96">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24.40</w:t>
                  </w:r>
                </w:p>
              </w:tc>
              <w:tc>
                <w:tcPr>
                  <w:tcW w:w="2028" w:type="dxa"/>
                  <w:noWrap w:val="0"/>
                  <w:vAlign w:val="center"/>
                </w:tcPr>
                <w:p w14:paraId="376EC05E">
                  <w:pPr>
                    <w:widowControl/>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收到基</w:t>
                  </w:r>
                  <w:r>
                    <w:rPr>
                      <w:rFonts w:hint="default" w:ascii="Times New Roman" w:hAnsi="Times New Roman" w:eastAsia="宋体" w:cs="Times New Roman"/>
                      <w:color w:val="auto"/>
                      <w:kern w:val="0"/>
                      <w:szCs w:val="21"/>
                      <w:highlight w:val="none"/>
                    </w:rPr>
                    <w:t>水分(Ma</w:t>
                  </w:r>
                  <w:r>
                    <w:rPr>
                      <w:rFonts w:hint="eastAsia" w:ascii="Times New Roman" w:hAnsi="Times New Roman" w:eastAsia="宋体" w:cs="Times New Roman"/>
                      <w:color w:val="auto"/>
                      <w:kern w:val="0"/>
                      <w:szCs w:val="21"/>
                      <w:highlight w:val="none"/>
                      <w:lang w:val="en-US" w:eastAsia="zh-CN"/>
                    </w:rPr>
                    <w:t>r</w:t>
                  </w:r>
                  <w:r>
                    <w:rPr>
                      <w:rFonts w:hint="default" w:ascii="Times New Roman" w:hAnsi="Times New Roman" w:eastAsia="宋体" w:cs="Times New Roman"/>
                      <w:color w:val="auto"/>
                      <w:kern w:val="0"/>
                      <w:szCs w:val="21"/>
                      <w:highlight w:val="none"/>
                    </w:rPr>
                    <w:t>)</w:t>
                  </w:r>
                </w:p>
              </w:tc>
              <w:tc>
                <w:tcPr>
                  <w:tcW w:w="835" w:type="dxa"/>
                  <w:noWrap w:val="0"/>
                  <w:vAlign w:val="center"/>
                </w:tcPr>
                <w:p w14:paraId="64670A70">
                  <w:pPr>
                    <w:widowControl/>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953" w:type="dxa"/>
                  <w:noWrap w:val="0"/>
                  <w:vAlign w:val="center"/>
                </w:tcPr>
                <w:p w14:paraId="3CF22D6E">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61.00</w:t>
                  </w:r>
                </w:p>
              </w:tc>
            </w:tr>
            <w:tr w14:paraId="263E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787" w:type="dxa"/>
                  <w:noWrap w:val="0"/>
                  <w:vAlign w:val="center"/>
                </w:tcPr>
                <w:p w14:paraId="4B33B1A1">
                  <w:pPr>
                    <w:widowControl/>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挥发</w:t>
                  </w:r>
                  <w:r>
                    <w:rPr>
                      <w:rFonts w:hint="default" w:ascii="Times New Roman" w:hAnsi="Times New Roman" w:eastAsia="宋体" w:cs="Times New Roman"/>
                      <w:color w:val="auto"/>
                      <w:kern w:val="0"/>
                      <w:szCs w:val="21"/>
                      <w:highlight w:val="none"/>
                    </w:rPr>
                    <w:t>分(</w:t>
                  </w:r>
                  <w:r>
                    <w:rPr>
                      <w:rFonts w:hint="eastAsia" w:cs="Times New Roman"/>
                      <w:color w:val="auto"/>
                      <w:kern w:val="0"/>
                      <w:szCs w:val="21"/>
                      <w:highlight w:val="none"/>
                      <w:lang w:val="en-US" w:eastAsia="zh-CN"/>
                    </w:rPr>
                    <w:t>Va</w:t>
                  </w:r>
                  <w:r>
                    <w:rPr>
                      <w:rFonts w:hint="default" w:ascii="Times New Roman" w:hAnsi="Times New Roman" w:eastAsia="宋体" w:cs="Times New Roman"/>
                      <w:color w:val="auto"/>
                      <w:kern w:val="0"/>
                      <w:szCs w:val="21"/>
                      <w:highlight w:val="none"/>
                    </w:rPr>
                    <w:t>d)</w:t>
                  </w:r>
                </w:p>
              </w:tc>
              <w:tc>
                <w:tcPr>
                  <w:tcW w:w="887" w:type="dxa"/>
                  <w:noWrap w:val="0"/>
                  <w:vAlign w:val="center"/>
                </w:tcPr>
                <w:p w14:paraId="1C6E3EA3">
                  <w:pPr>
                    <w:widowControl/>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5" w:type="dxa"/>
                  <w:noWrap w:val="0"/>
                  <w:vAlign w:val="center"/>
                </w:tcPr>
                <w:p w14:paraId="149D4DF1">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34.03</w:t>
                  </w:r>
                </w:p>
              </w:tc>
              <w:tc>
                <w:tcPr>
                  <w:tcW w:w="905" w:type="dxa"/>
                  <w:noWrap w:val="0"/>
                  <w:vAlign w:val="center"/>
                </w:tcPr>
                <w:p w14:paraId="5DD7721E">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34.16</w:t>
                  </w:r>
                </w:p>
              </w:tc>
              <w:tc>
                <w:tcPr>
                  <w:tcW w:w="2028" w:type="dxa"/>
                  <w:noWrap w:val="0"/>
                  <w:vAlign w:val="center"/>
                </w:tcPr>
                <w:p w14:paraId="4730A449">
                  <w:pPr>
                    <w:widowControl/>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分析</w:t>
                  </w:r>
                  <w:r>
                    <w:rPr>
                      <w:rFonts w:hint="default" w:ascii="Times New Roman" w:hAnsi="Times New Roman" w:eastAsia="宋体" w:cs="Times New Roman"/>
                      <w:color w:val="auto"/>
                      <w:kern w:val="0"/>
                      <w:szCs w:val="21"/>
                      <w:highlight w:val="none"/>
                    </w:rPr>
                    <w:t>水分(Ma</w:t>
                  </w:r>
                  <w:r>
                    <w:rPr>
                      <w:rFonts w:hint="eastAsia" w:cs="Times New Roman"/>
                      <w:color w:val="auto"/>
                      <w:kern w:val="0"/>
                      <w:szCs w:val="21"/>
                      <w:highlight w:val="none"/>
                      <w:lang w:val="en-US" w:eastAsia="zh-CN"/>
                    </w:rPr>
                    <w:t>d</w:t>
                  </w:r>
                  <w:r>
                    <w:rPr>
                      <w:rFonts w:hint="default" w:ascii="Times New Roman" w:hAnsi="Times New Roman" w:eastAsia="宋体" w:cs="Times New Roman"/>
                      <w:color w:val="auto"/>
                      <w:kern w:val="0"/>
                      <w:szCs w:val="21"/>
                      <w:highlight w:val="none"/>
                    </w:rPr>
                    <w:t>)</w:t>
                  </w:r>
                </w:p>
              </w:tc>
              <w:tc>
                <w:tcPr>
                  <w:tcW w:w="835" w:type="dxa"/>
                  <w:noWrap w:val="0"/>
                  <w:vAlign w:val="center"/>
                </w:tcPr>
                <w:p w14:paraId="0129361F">
                  <w:pPr>
                    <w:widowControl/>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953" w:type="dxa"/>
                  <w:noWrap w:val="0"/>
                  <w:vAlign w:val="center"/>
                </w:tcPr>
                <w:p w14:paraId="6B706A9C">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2.78</w:t>
                  </w:r>
                </w:p>
              </w:tc>
            </w:tr>
            <w:tr w14:paraId="795C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787" w:type="dxa"/>
                  <w:noWrap w:val="0"/>
                  <w:vAlign w:val="center"/>
                </w:tcPr>
                <w:p w14:paraId="56A4298A">
                  <w:pPr>
                    <w:widowControl/>
                    <w:jc w:val="center"/>
                    <w:rPr>
                      <w:rFonts w:hint="eastAsia"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灰分(A</w:t>
                  </w:r>
                  <w:r>
                    <w:rPr>
                      <w:rFonts w:hint="eastAsia" w:cs="Times New Roman"/>
                      <w:color w:val="auto"/>
                      <w:kern w:val="0"/>
                      <w:szCs w:val="21"/>
                      <w:highlight w:val="none"/>
                      <w:lang w:val="en-US" w:eastAsia="zh-CN"/>
                    </w:rPr>
                    <w:t>a</w:t>
                  </w:r>
                  <w:r>
                    <w:rPr>
                      <w:rFonts w:hint="default" w:ascii="Times New Roman" w:hAnsi="Times New Roman" w:eastAsia="宋体" w:cs="Times New Roman"/>
                      <w:color w:val="auto"/>
                      <w:kern w:val="0"/>
                      <w:szCs w:val="21"/>
                      <w:highlight w:val="none"/>
                    </w:rPr>
                    <w:t>d)</w:t>
                  </w:r>
                </w:p>
              </w:tc>
              <w:tc>
                <w:tcPr>
                  <w:tcW w:w="887" w:type="dxa"/>
                  <w:noWrap w:val="0"/>
                  <w:vAlign w:val="center"/>
                </w:tcPr>
                <w:p w14:paraId="2C1A27DD">
                  <w:pPr>
                    <w:widowControl/>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5" w:type="dxa"/>
                  <w:noWrap w:val="0"/>
                  <w:vAlign w:val="center"/>
                </w:tcPr>
                <w:p w14:paraId="7CEBA132">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37.23</w:t>
                  </w:r>
                </w:p>
              </w:tc>
              <w:tc>
                <w:tcPr>
                  <w:tcW w:w="905" w:type="dxa"/>
                  <w:noWrap w:val="0"/>
                  <w:vAlign w:val="center"/>
                </w:tcPr>
                <w:p w14:paraId="14C71810">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38.23</w:t>
                  </w:r>
                </w:p>
              </w:tc>
              <w:tc>
                <w:tcPr>
                  <w:tcW w:w="2028" w:type="dxa"/>
                  <w:noWrap w:val="0"/>
                  <w:vAlign w:val="center"/>
                </w:tcPr>
                <w:p w14:paraId="02B16A51">
                  <w:pPr>
                    <w:widowControl/>
                    <w:jc w:val="center"/>
                    <w:rPr>
                      <w:rFonts w:hint="eastAsia" w:ascii="Times New Roman" w:hAnsi="Times New Roman" w:eastAsia="宋体" w:cs="Times New Roman"/>
                      <w:color w:val="auto"/>
                      <w:kern w:val="0"/>
                      <w:szCs w:val="21"/>
                      <w:highlight w:val="none"/>
                      <w:lang w:eastAsia="zh-CN"/>
                    </w:rPr>
                  </w:pPr>
                  <w:r>
                    <w:rPr>
                      <w:rFonts w:hint="eastAsia" w:eastAsia="宋体" w:cs="Times New Roman"/>
                      <w:color w:val="auto"/>
                      <w:kern w:val="0"/>
                      <w:szCs w:val="21"/>
                      <w:highlight w:val="none"/>
                      <w:lang w:eastAsia="zh-CN"/>
                    </w:rPr>
                    <w:t>空</w:t>
                  </w:r>
                  <w:r>
                    <w:rPr>
                      <w:rFonts w:hint="eastAsia" w:ascii="Times New Roman" w:hAnsi="Times New Roman" w:eastAsia="宋体" w:cs="Times New Roman"/>
                      <w:color w:val="auto"/>
                      <w:kern w:val="0"/>
                      <w:szCs w:val="21"/>
                      <w:highlight w:val="none"/>
                      <w:lang w:eastAsia="zh-CN"/>
                    </w:rPr>
                    <w:t>干基</w:t>
                  </w:r>
                  <w:r>
                    <w:rPr>
                      <w:rFonts w:hint="default" w:ascii="Times New Roman" w:hAnsi="Times New Roman" w:eastAsia="宋体" w:cs="Times New Roman"/>
                      <w:color w:val="auto"/>
                      <w:kern w:val="0"/>
                      <w:szCs w:val="21"/>
                      <w:highlight w:val="none"/>
                    </w:rPr>
                    <w:t>灰分(A</w:t>
                  </w:r>
                  <w:r>
                    <w:rPr>
                      <w:rFonts w:hint="eastAsia" w:eastAsia="宋体" w:cs="Times New Roman"/>
                      <w:color w:val="auto"/>
                      <w:kern w:val="0"/>
                      <w:szCs w:val="21"/>
                      <w:highlight w:val="none"/>
                      <w:lang w:val="en-US" w:eastAsia="zh-CN"/>
                    </w:rPr>
                    <w:t>a</w:t>
                  </w:r>
                  <w:r>
                    <w:rPr>
                      <w:rFonts w:hint="default" w:ascii="Times New Roman" w:hAnsi="Times New Roman" w:eastAsia="宋体" w:cs="Times New Roman"/>
                      <w:color w:val="auto"/>
                      <w:kern w:val="0"/>
                      <w:szCs w:val="21"/>
                      <w:highlight w:val="none"/>
                    </w:rPr>
                    <w:t>d)</w:t>
                  </w:r>
                </w:p>
              </w:tc>
              <w:tc>
                <w:tcPr>
                  <w:tcW w:w="835" w:type="dxa"/>
                  <w:noWrap w:val="0"/>
                  <w:vAlign w:val="center"/>
                </w:tcPr>
                <w:p w14:paraId="01CE85E1">
                  <w:pPr>
                    <w:widowControl/>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953" w:type="dxa"/>
                  <w:noWrap w:val="0"/>
                  <w:vAlign w:val="center"/>
                </w:tcPr>
                <w:p w14:paraId="77CFA263">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16.96</w:t>
                  </w:r>
                </w:p>
              </w:tc>
            </w:tr>
            <w:tr w14:paraId="69271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787" w:type="dxa"/>
                  <w:noWrap w:val="0"/>
                  <w:vAlign w:val="center"/>
                </w:tcPr>
                <w:p w14:paraId="24D8A59B">
                  <w:pPr>
                    <w:widowControl/>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全水分（</w:t>
                  </w:r>
                  <w:r>
                    <w:rPr>
                      <w:rFonts w:hint="eastAsia" w:cs="Times New Roman"/>
                      <w:color w:val="auto"/>
                      <w:kern w:val="0"/>
                      <w:szCs w:val="21"/>
                      <w:highlight w:val="none"/>
                      <w:lang w:val="en-US" w:eastAsia="zh-CN"/>
                    </w:rPr>
                    <w:t>Mt</w:t>
                  </w:r>
                  <w:r>
                    <w:rPr>
                      <w:rFonts w:hint="eastAsia" w:cs="Times New Roman"/>
                      <w:color w:val="auto"/>
                      <w:kern w:val="0"/>
                      <w:szCs w:val="21"/>
                      <w:highlight w:val="none"/>
                      <w:lang w:eastAsia="zh-CN"/>
                    </w:rPr>
                    <w:t>）</w:t>
                  </w:r>
                </w:p>
              </w:tc>
              <w:tc>
                <w:tcPr>
                  <w:tcW w:w="887" w:type="dxa"/>
                  <w:noWrap w:val="0"/>
                  <w:vAlign w:val="center"/>
                </w:tcPr>
                <w:p w14:paraId="33DF5D0C">
                  <w:pPr>
                    <w:widowControl/>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5" w:type="dxa"/>
                  <w:noWrap w:val="0"/>
                  <w:vAlign w:val="center"/>
                </w:tcPr>
                <w:p w14:paraId="1E3C3B52">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39.04</w:t>
                  </w:r>
                </w:p>
              </w:tc>
              <w:tc>
                <w:tcPr>
                  <w:tcW w:w="905" w:type="dxa"/>
                  <w:noWrap w:val="0"/>
                  <w:vAlign w:val="center"/>
                </w:tcPr>
                <w:p w14:paraId="6CC3A6DF">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41.65</w:t>
                  </w:r>
                </w:p>
              </w:tc>
              <w:tc>
                <w:tcPr>
                  <w:tcW w:w="2028" w:type="dxa"/>
                  <w:noWrap w:val="0"/>
                  <w:vAlign w:val="center"/>
                </w:tcPr>
                <w:p w14:paraId="151E97EB">
                  <w:pPr>
                    <w:widowControl/>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干燥基</w:t>
                  </w:r>
                  <w:r>
                    <w:rPr>
                      <w:rFonts w:hint="default" w:ascii="Times New Roman" w:hAnsi="Times New Roman" w:eastAsia="宋体" w:cs="Times New Roman"/>
                      <w:color w:val="auto"/>
                      <w:kern w:val="0"/>
                      <w:szCs w:val="21"/>
                      <w:highlight w:val="none"/>
                    </w:rPr>
                    <w:t>灰分(Ad)</w:t>
                  </w:r>
                </w:p>
              </w:tc>
              <w:tc>
                <w:tcPr>
                  <w:tcW w:w="835" w:type="dxa"/>
                  <w:noWrap w:val="0"/>
                  <w:vAlign w:val="center"/>
                </w:tcPr>
                <w:p w14:paraId="22EA1D41">
                  <w:pPr>
                    <w:widowControl/>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953" w:type="dxa"/>
                  <w:noWrap w:val="0"/>
                  <w:vAlign w:val="center"/>
                </w:tcPr>
                <w:p w14:paraId="75F59D07">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17.44</w:t>
                  </w:r>
                </w:p>
              </w:tc>
            </w:tr>
            <w:tr w14:paraId="1D14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787" w:type="dxa"/>
                  <w:noWrap w:val="0"/>
                  <w:vAlign w:val="center"/>
                </w:tcPr>
                <w:p w14:paraId="24180485">
                  <w:pPr>
                    <w:widowControl/>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分析</w:t>
                  </w:r>
                  <w:r>
                    <w:rPr>
                      <w:rFonts w:hint="eastAsia" w:ascii="Times New Roman" w:hAnsi="Times New Roman" w:eastAsia="宋体" w:cs="Times New Roman"/>
                      <w:color w:val="auto"/>
                      <w:kern w:val="0"/>
                      <w:szCs w:val="21"/>
                      <w:highlight w:val="none"/>
                      <w:lang w:eastAsia="zh-CN"/>
                    </w:rPr>
                    <w:t>基</w:t>
                  </w:r>
                  <w:r>
                    <w:rPr>
                      <w:rFonts w:hint="default" w:ascii="Times New Roman" w:hAnsi="Times New Roman" w:eastAsia="宋体" w:cs="Times New Roman"/>
                      <w:color w:val="auto"/>
                      <w:kern w:val="0"/>
                      <w:szCs w:val="21"/>
                      <w:highlight w:val="none"/>
                    </w:rPr>
                    <w:t>水分(Ma</w:t>
                  </w:r>
                  <w:r>
                    <w:rPr>
                      <w:rFonts w:hint="eastAsia" w:cs="Times New Roman"/>
                      <w:color w:val="auto"/>
                      <w:kern w:val="0"/>
                      <w:szCs w:val="21"/>
                      <w:highlight w:val="none"/>
                      <w:lang w:val="en-US" w:eastAsia="zh-CN"/>
                    </w:rPr>
                    <w:t>d</w:t>
                  </w:r>
                  <w:r>
                    <w:rPr>
                      <w:rFonts w:hint="default" w:ascii="Times New Roman" w:hAnsi="Times New Roman" w:eastAsia="宋体" w:cs="Times New Roman"/>
                      <w:color w:val="auto"/>
                      <w:kern w:val="0"/>
                      <w:szCs w:val="21"/>
                      <w:highlight w:val="none"/>
                    </w:rPr>
                    <w:t>)</w:t>
                  </w:r>
                </w:p>
              </w:tc>
              <w:tc>
                <w:tcPr>
                  <w:tcW w:w="887" w:type="dxa"/>
                  <w:noWrap w:val="0"/>
                  <w:vAlign w:val="center"/>
                </w:tcPr>
                <w:p w14:paraId="11F66170">
                  <w:pPr>
                    <w:widowControl/>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5" w:type="dxa"/>
                  <w:noWrap w:val="0"/>
                  <w:vAlign w:val="center"/>
                </w:tcPr>
                <w:p w14:paraId="68A52144">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5.09</w:t>
                  </w:r>
                </w:p>
              </w:tc>
              <w:tc>
                <w:tcPr>
                  <w:tcW w:w="905" w:type="dxa"/>
                  <w:noWrap w:val="0"/>
                  <w:vAlign w:val="center"/>
                </w:tcPr>
                <w:p w14:paraId="2E398F75">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3.21</w:t>
                  </w:r>
                </w:p>
              </w:tc>
              <w:tc>
                <w:tcPr>
                  <w:tcW w:w="2028" w:type="dxa"/>
                  <w:noWrap w:val="0"/>
                  <w:vAlign w:val="center"/>
                </w:tcPr>
                <w:p w14:paraId="420B6AE3">
                  <w:pPr>
                    <w:widowControl/>
                    <w:jc w:val="center"/>
                    <w:rPr>
                      <w:rFonts w:hint="default" w:ascii="Times New Roman" w:hAnsi="Times New Roman" w:eastAsia="宋体" w:cs="Times New Roman"/>
                      <w:color w:val="auto"/>
                      <w:kern w:val="0"/>
                      <w:szCs w:val="21"/>
                      <w:highlight w:val="none"/>
                    </w:rPr>
                  </w:pPr>
                  <w:r>
                    <w:rPr>
                      <w:rFonts w:hint="eastAsia" w:eastAsia="宋体" w:cs="Times New Roman"/>
                      <w:color w:val="auto"/>
                      <w:kern w:val="0"/>
                      <w:szCs w:val="21"/>
                      <w:highlight w:val="none"/>
                      <w:lang w:eastAsia="zh-CN"/>
                    </w:rPr>
                    <w:t>空</w:t>
                  </w:r>
                  <w:r>
                    <w:rPr>
                      <w:rFonts w:hint="eastAsia" w:ascii="Times New Roman" w:hAnsi="Times New Roman" w:eastAsia="宋体" w:cs="Times New Roman"/>
                      <w:color w:val="auto"/>
                      <w:kern w:val="0"/>
                      <w:szCs w:val="21"/>
                      <w:highlight w:val="none"/>
                      <w:lang w:eastAsia="zh-CN"/>
                    </w:rPr>
                    <w:t>干基</w:t>
                  </w:r>
                  <w:r>
                    <w:rPr>
                      <w:rFonts w:hint="default" w:ascii="Times New Roman" w:hAnsi="Times New Roman" w:eastAsia="宋体" w:cs="Times New Roman"/>
                      <w:color w:val="auto"/>
                      <w:kern w:val="0"/>
                      <w:szCs w:val="21"/>
                      <w:highlight w:val="none"/>
                    </w:rPr>
                    <w:t>挥发分(</w:t>
                  </w:r>
                  <w:r>
                    <w:rPr>
                      <w:rFonts w:hint="eastAsia" w:cs="Times New Roman"/>
                      <w:color w:val="auto"/>
                      <w:kern w:val="0"/>
                      <w:szCs w:val="21"/>
                      <w:highlight w:val="none"/>
                      <w:lang w:val="en-US" w:eastAsia="zh-CN"/>
                    </w:rPr>
                    <w:t>Va</w:t>
                  </w:r>
                  <w:r>
                    <w:rPr>
                      <w:rFonts w:hint="default" w:ascii="Times New Roman" w:hAnsi="Times New Roman" w:eastAsia="宋体" w:cs="Times New Roman"/>
                      <w:color w:val="auto"/>
                      <w:kern w:val="0"/>
                      <w:szCs w:val="21"/>
                      <w:highlight w:val="none"/>
                    </w:rPr>
                    <w:t>d)</w:t>
                  </w:r>
                </w:p>
              </w:tc>
              <w:tc>
                <w:tcPr>
                  <w:tcW w:w="835" w:type="dxa"/>
                  <w:noWrap w:val="0"/>
                  <w:vAlign w:val="center"/>
                </w:tcPr>
                <w:p w14:paraId="7C86C2FB">
                  <w:pPr>
                    <w:widowControl/>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MJ/kg</w:t>
                  </w:r>
                </w:p>
              </w:tc>
              <w:tc>
                <w:tcPr>
                  <w:tcW w:w="953" w:type="dxa"/>
                  <w:noWrap w:val="0"/>
                  <w:vAlign w:val="center"/>
                </w:tcPr>
                <w:p w14:paraId="28C98423">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47.86</w:t>
                  </w:r>
                </w:p>
              </w:tc>
            </w:tr>
            <w:tr w14:paraId="5B09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787" w:type="dxa"/>
                  <w:noWrap w:val="0"/>
                  <w:vAlign w:val="center"/>
                </w:tcPr>
                <w:p w14:paraId="5B6555DD">
                  <w:pPr>
                    <w:widowControl/>
                    <w:jc w:val="center"/>
                    <w:rPr>
                      <w:rFonts w:hint="eastAsia"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全</w:t>
                  </w:r>
                  <w:r>
                    <w:rPr>
                      <w:rFonts w:hint="default" w:ascii="Times New Roman" w:hAnsi="Times New Roman" w:eastAsia="宋体" w:cs="Times New Roman"/>
                      <w:color w:val="auto"/>
                      <w:kern w:val="0"/>
                      <w:szCs w:val="21"/>
                      <w:highlight w:val="none"/>
                    </w:rPr>
                    <w:t>硫（S</w:t>
                  </w:r>
                  <w:r>
                    <w:rPr>
                      <w:rFonts w:hint="eastAsia" w:ascii="Times New Roman" w:hAnsi="Times New Roman" w:eastAsia="宋体" w:cs="Times New Roman"/>
                      <w:color w:val="auto"/>
                      <w:kern w:val="0"/>
                      <w:szCs w:val="21"/>
                      <w:highlight w:val="none"/>
                      <w:lang w:val="en-US" w:eastAsia="zh-CN"/>
                    </w:rPr>
                    <w:t>t,ad</w:t>
                  </w:r>
                  <w:r>
                    <w:rPr>
                      <w:rFonts w:hint="default" w:ascii="Times New Roman" w:hAnsi="Times New Roman" w:eastAsia="宋体" w:cs="Times New Roman"/>
                      <w:color w:val="auto"/>
                      <w:kern w:val="0"/>
                      <w:szCs w:val="21"/>
                      <w:highlight w:val="none"/>
                    </w:rPr>
                    <w:t>）</w:t>
                  </w:r>
                </w:p>
              </w:tc>
              <w:tc>
                <w:tcPr>
                  <w:tcW w:w="887" w:type="dxa"/>
                  <w:noWrap w:val="0"/>
                  <w:vAlign w:val="center"/>
                </w:tcPr>
                <w:p w14:paraId="4DC98624">
                  <w:pPr>
                    <w:widowControl/>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5" w:type="dxa"/>
                  <w:noWrap w:val="0"/>
                  <w:vAlign w:val="center"/>
                </w:tcPr>
                <w:p w14:paraId="2362D3AB">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0.36</w:t>
                  </w:r>
                </w:p>
              </w:tc>
              <w:tc>
                <w:tcPr>
                  <w:tcW w:w="905" w:type="dxa"/>
                  <w:noWrap w:val="0"/>
                  <w:vAlign w:val="center"/>
                </w:tcPr>
                <w:p w14:paraId="75AB9074">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0.38</w:t>
                  </w:r>
                </w:p>
              </w:tc>
              <w:tc>
                <w:tcPr>
                  <w:tcW w:w="2028" w:type="dxa"/>
                  <w:noWrap w:val="0"/>
                  <w:vAlign w:val="center"/>
                </w:tcPr>
                <w:p w14:paraId="47B07E36">
                  <w:pPr>
                    <w:widowControl/>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固定碳</w:t>
                  </w:r>
                </w:p>
              </w:tc>
              <w:tc>
                <w:tcPr>
                  <w:tcW w:w="835" w:type="dxa"/>
                  <w:noWrap w:val="0"/>
                  <w:vAlign w:val="center"/>
                </w:tcPr>
                <w:p w14:paraId="1735786E">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w:t>
                  </w:r>
                </w:p>
              </w:tc>
              <w:tc>
                <w:tcPr>
                  <w:tcW w:w="953" w:type="dxa"/>
                  <w:noWrap w:val="0"/>
                  <w:vAlign w:val="center"/>
                </w:tcPr>
                <w:p w14:paraId="7FEABD7F">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32.4</w:t>
                  </w:r>
                </w:p>
              </w:tc>
            </w:tr>
            <w:tr w14:paraId="6625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87" w:type="dxa"/>
                  <w:noWrap w:val="0"/>
                  <w:vAlign w:val="center"/>
                </w:tcPr>
                <w:p w14:paraId="6127777A">
                  <w:pPr>
                    <w:widowControl/>
                    <w:jc w:val="center"/>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eastAsia="zh-CN"/>
                    </w:rPr>
                    <w:t>分析基高位发热量</w:t>
                  </w:r>
                  <w:r>
                    <w:rPr>
                      <w:rFonts w:hint="default" w:ascii="Times New Roman" w:hAnsi="Times New Roman" w:eastAsia="宋体" w:cs="Times New Roman"/>
                      <w:color w:val="auto"/>
                      <w:kern w:val="0"/>
                      <w:szCs w:val="21"/>
                      <w:highlight w:val="none"/>
                    </w:rPr>
                    <w:t>(</w:t>
                  </w:r>
                  <w:r>
                    <w:rPr>
                      <w:rFonts w:hint="eastAsia" w:cs="Times New Roman"/>
                      <w:color w:val="auto"/>
                      <w:kern w:val="0"/>
                      <w:szCs w:val="21"/>
                      <w:highlight w:val="none"/>
                      <w:lang w:val="en-US" w:eastAsia="zh-CN"/>
                    </w:rPr>
                    <w:t>Kcal/kg</w:t>
                  </w:r>
                  <w:r>
                    <w:rPr>
                      <w:rFonts w:hint="default" w:ascii="Times New Roman" w:hAnsi="Times New Roman" w:eastAsia="宋体" w:cs="Times New Roman"/>
                      <w:color w:val="auto"/>
                      <w:kern w:val="0"/>
                      <w:szCs w:val="21"/>
                      <w:highlight w:val="none"/>
                    </w:rPr>
                    <w:t>)</w:t>
                  </w:r>
                </w:p>
              </w:tc>
              <w:tc>
                <w:tcPr>
                  <w:tcW w:w="887" w:type="dxa"/>
                  <w:noWrap w:val="0"/>
                  <w:vAlign w:val="center"/>
                </w:tcPr>
                <w:p w14:paraId="7A31530B">
                  <w:pPr>
                    <w:widowControl/>
                    <w:jc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Kcal/kg</w:t>
                  </w:r>
                </w:p>
              </w:tc>
              <w:tc>
                <w:tcPr>
                  <w:tcW w:w="775" w:type="dxa"/>
                  <w:noWrap w:val="0"/>
                  <w:vAlign w:val="center"/>
                </w:tcPr>
                <w:p w14:paraId="7092810D">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3609</w:t>
                  </w:r>
                </w:p>
              </w:tc>
              <w:tc>
                <w:tcPr>
                  <w:tcW w:w="905" w:type="dxa"/>
                  <w:noWrap w:val="0"/>
                  <w:vAlign w:val="center"/>
                </w:tcPr>
                <w:p w14:paraId="294CDED6">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3613</w:t>
                  </w:r>
                </w:p>
              </w:tc>
              <w:tc>
                <w:tcPr>
                  <w:tcW w:w="2028" w:type="dxa"/>
                  <w:noWrap w:val="0"/>
                  <w:vAlign w:val="center"/>
                </w:tcPr>
                <w:p w14:paraId="2CBF307F">
                  <w:pPr>
                    <w:widowControl/>
                    <w:jc w:val="center"/>
                    <w:rPr>
                      <w:rFonts w:hint="default" w:ascii="Times New Roman" w:hAnsi="Times New Roman" w:eastAsia="宋体" w:cs="Times New Roman"/>
                      <w:color w:val="auto"/>
                      <w:kern w:val="0"/>
                      <w:szCs w:val="21"/>
                      <w:highlight w:val="none"/>
                      <w:lang w:val="en-US"/>
                    </w:rPr>
                  </w:pPr>
                  <w:r>
                    <w:rPr>
                      <w:rFonts w:hint="eastAsia" w:ascii="Times New Roman" w:hAnsi="Times New Roman" w:eastAsia="宋体" w:cs="Times New Roman"/>
                      <w:color w:val="auto"/>
                      <w:kern w:val="0"/>
                      <w:szCs w:val="21"/>
                      <w:highlight w:val="none"/>
                      <w:lang w:eastAsia="zh-CN"/>
                    </w:rPr>
                    <w:t>弹筒热</w:t>
                  </w:r>
                  <w:r>
                    <w:rPr>
                      <w:rFonts w:hint="eastAsia" w:cs="Times New Roman"/>
                      <w:color w:val="auto"/>
                      <w:kern w:val="0"/>
                      <w:szCs w:val="21"/>
                      <w:highlight w:val="none"/>
                      <w:lang w:eastAsia="zh-CN"/>
                    </w:rPr>
                    <w:t>值</w:t>
                  </w:r>
                  <w:r>
                    <w:rPr>
                      <w:rFonts w:hint="default" w:ascii="Times New Roman" w:hAnsi="Times New Roman" w:eastAsia="宋体" w:cs="Times New Roman"/>
                      <w:color w:val="auto"/>
                      <w:kern w:val="0"/>
                      <w:szCs w:val="21"/>
                      <w:highlight w:val="none"/>
                    </w:rPr>
                    <w:t>(</w:t>
                  </w:r>
                  <w:r>
                    <w:rPr>
                      <w:rFonts w:hint="eastAsia" w:ascii="Arial" w:hAnsi="Arial" w:eastAsia="宋体" w:cs="Arial"/>
                      <w:i w:val="0"/>
                      <w:caps w:val="0"/>
                      <w:color w:val="auto"/>
                      <w:spacing w:val="0"/>
                      <w:sz w:val="21"/>
                      <w:szCs w:val="21"/>
                      <w:highlight w:val="none"/>
                      <w:shd w:val="clear" w:color="auto" w:fill="FFFFFF"/>
                    </w:rPr>
                    <w:t>Qb</w:t>
                  </w:r>
                  <w:r>
                    <w:rPr>
                      <w:rFonts w:hint="default" w:ascii="Times New Roman" w:hAnsi="Times New Roman" w:eastAsia="宋体" w:cs="Times New Roman"/>
                      <w:color w:val="auto"/>
                      <w:kern w:val="0"/>
                      <w:szCs w:val="21"/>
                      <w:highlight w:val="none"/>
                    </w:rPr>
                    <w:t>)</w:t>
                  </w:r>
                </w:p>
              </w:tc>
              <w:tc>
                <w:tcPr>
                  <w:tcW w:w="835" w:type="dxa"/>
                  <w:noWrap w:val="0"/>
                  <w:vAlign w:val="center"/>
                </w:tcPr>
                <w:p w14:paraId="76B2AC8F">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w:t>
                  </w:r>
                </w:p>
              </w:tc>
              <w:tc>
                <w:tcPr>
                  <w:tcW w:w="953" w:type="dxa"/>
                  <w:noWrap w:val="0"/>
                  <w:vAlign w:val="center"/>
                </w:tcPr>
                <w:p w14:paraId="68538951">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22.56</w:t>
                  </w:r>
                </w:p>
              </w:tc>
            </w:tr>
            <w:tr w14:paraId="1569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87" w:type="dxa"/>
                  <w:noWrap w:val="0"/>
                  <w:vAlign w:val="center"/>
                </w:tcPr>
                <w:p w14:paraId="5C6350AB">
                  <w:pPr>
                    <w:widowControl/>
                    <w:jc w:val="center"/>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eastAsia="zh-CN"/>
                    </w:rPr>
                    <w:t>收到基低位发热量</w:t>
                  </w:r>
                  <w:r>
                    <w:rPr>
                      <w:rFonts w:hint="default" w:ascii="Times New Roman" w:hAnsi="Times New Roman" w:eastAsia="宋体" w:cs="Times New Roman"/>
                      <w:color w:val="auto"/>
                      <w:kern w:val="0"/>
                      <w:szCs w:val="21"/>
                      <w:highlight w:val="none"/>
                    </w:rPr>
                    <w:t>(</w:t>
                  </w:r>
                  <w:r>
                    <w:rPr>
                      <w:rFonts w:hint="eastAsia" w:cs="Times New Roman"/>
                      <w:color w:val="auto"/>
                      <w:kern w:val="0"/>
                      <w:szCs w:val="21"/>
                      <w:highlight w:val="none"/>
                      <w:lang w:val="en-US" w:eastAsia="zh-CN"/>
                    </w:rPr>
                    <w:t>Kcal/kg</w:t>
                  </w:r>
                  <w:r>
                    <w:rPr>
                      <w:rFonts w:hint="default" w:ascii="Times New Roman" w:hAnsi="Times New Roman" w:eastAsia="宋体" w:cs="Times New Roman"/>
                      <w:color w:val="auto"/>
                      <w:kern w:val="0"/>
                      <w:szCs w:val="21"/>
                      <w:highlight w:val="none"/>
                    </w:rPr>
                    <w:t>)</w:t>
                  </w:r>
                </w:p>
              </w:tc>
              <w:tc>
                <w:tcPr>
                  <w:tcW w:w="887" w:type="dxa"/>
                  <w:noWrap w:val="0"/>
                  <w:vAlign w:val="center"/>
                </w:tcPr>
                <w:p w14:paraId="580A87A2">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Kcal/kg</w:t>
                  </w:r>
                </w:p>
              </w:tc>
              <w:tc>
                <w:tcPr>
                  <w:tcW w:w="775" w:type="dxa"/>
                  <w:noWrap w:val="0"/>
                  <w:vAlign w:val="center"/>
                </w:tcPr>
                <w:p w14:paraId="4C2F20B3">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1961</w:t>
                  </w:r>
                </w:p>
              </w:tc>
              <w:tc>
                <w:tcPr>
                  <w:tcW w:w="905" w:type="dxa"/>
                  <w:noWrap w:val="0"/>
                  <w:vAlign w:val="center"/>
                </w:tcPr>
                <w:p w14:paraId="6627414B">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1815</w:t>
                  </w:r>
                </w:p>
              </w:tc>
              <w:tc>
                <w:tcPr>
                  <w:tcW w:w="2028" w:type="dxa"/>
                  <w:noWrap w:val="0"/>
                  <w:vAlign w:val="center"/>
                </w:tcPr>
                <w:p w14:paraId="0C546BD7">
                  <w:pPr>
                    <w:widowControl/>
                    <w:jc w:val="center"/>
                    <w:rPr>
                      <w:rFonts w:hint="default" w:ascii="Times New Roman" w:hAnsi="Times New Roman" w:eastAsia="宋体" w:cs="Times New Roman"/>
                      <w:color w:val="auto"/>
                      <w:kern w:val="0"/>
                      <w:szCs w:val="21"/>
                      <w:highlight w:val="none"/>
                      <w:lang w:val="en-US"/>
                    </w:rPr>
                  </w:pPr>
                  <w:r>
                    <w:rPr>
                      <w:rFonts w:hint="eastAsia" w:ascii="Times New Roman" w:hAnsi="Times New Roman" w:eastAsia="宋体" w:cs="Times New Roman"/>
                      <w:color w:val="auto"/>
                      <w:kern w:val="0"/>
                      <w:szCs w:val="21"/>
                      <w:highlight w:val="none"/>
                      <w:lang w:eastAsia="zh-CN"/>
                    </w:rPr>
                    <w:t>干基高位发热量</w:t>
                  </w:r>
                  <w:r>
                    <w:rPr>
                      <w:rFonts w:hint="eastAsia" w:ascii="Times New Roman" w:hAnsi="Times New Roman" w:eastAsia="宋体" w:cs="Times New Roman"/>
                      <w:color w:val="auto"/>
                      <w:kern w:val="0"/>
                      <w:szCs w:val="21"/>
                      <w:highlight w:val="none"/>
                      <w:lang w:val="en-US" w:eastAsia="zh-CN"/>
                    </w:rPr>
                    <w:t>(</w:t>
                  </w:r>
                  <w:r>
                    <w:rPr>
                      <w:rFonts w:hint="eastAsia" w:ascii="Arial" w:hAnsi="Arial" w:eastAsia="宋体" w:cs="Arial"/>
                      <w:i w:val="0"/>
                      <w:caps w:val="0"/>
                      <w:color w:val="auto"/>
                      <w:spacing w:val="0"/>
                      <w:sz w:val="21"/>
                      <w:szCs w:val="21"/>
                      <w:highlight w:val="none"/>
                      <w:shd w:val="clear" w:color="auto" w:fill="FFFFFF"/>
                    </w:rPr>
                    <w:t>Qgr,</w:t>
                  </w:r>
                  <w:r>
                    <w:rPr>
                      <w:rFonts w:hint="eastAsia" w:ascii="Arial" w:hAnsi="Arial" w:cs="Arial"/>
                      <w:i w:val="0"/>
                      <w:caps w:val="0"/>
                      <w:color w:val="auto"/>
                      <w:spacing w:val="0"/>
                      <w:sz w:val="21"/>
                      <w:szCs w:val="21"/>
                      <w:highlight w:val="none"/>
                      <w:shd w:val="clear" w:color="auto" w:fill="FFFFFF"/>
                      <w:lang w:val="en-US" w:eastAsia="zh-CN"/>
                    </w:rPr>
                    <w:t>a</w:t>
                  </w:r>
                  <w:r>
                    <w:rPr>
                      <w:rFonts w:hint="eastAsia" w:ascii="Arial" w:hAnsi="Arial" w:eastAsia="宋体" w:cs="Arial"/>
                      <w:i w:val="0"/>
                      <w:caps w:val="0"/>
                      <w:color w:val="auto"/>
                      <w:spacing w:val="0"/>
                      <w:sz w:val="21"/>
                      <w:szCs w:val="21"/>
                      <w:highlight w:val="none"/>
                      <w:shd w:val="clear" w:color="auto" w:fill="FFFFFF"/>
                    </w:rPr>
                    <w:t>d</w:t>
                  </w:r>
                  <w:r>
                    <w:rPr>
                      <w:rFonts w:hint="eastAsia" w:ascii="Times New Roman" w:hAnsi="Times New Roman" w:eastAsia="宋体" w:cs="Times New Roman"/>
                      <w:color w:val="auto"/>
                      <w:kern w:val="0"/>
                      <w:szCs w:val="21"/>
                      <w:highlight w:val="none"/>
                      <w:lang w:val="en-US" w:eastAsia="zh-CN"/>
                    </w:rPr>
                    <w:t>)</w:t>
                  </w:r>
                </w:p>
              </w:tc>
              <w:tc>
                <w:tcPr>
                  <w:tcW w:w="835" w:type="dxa"/>
                  <w:noWrap w:val="0"/>
                  <w:vAlign w:val="center"/>
                </w:tcPr>
                <w:p w14:paraId="384E1B19">
                  <w:pPr>
                    <w:widowControl/>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MJ/kg</w:t>
                  </w:r>
                </w:p>
              </w:tc>
              <w:tc>
                <w:tcPr>
                  <w:tcW w:w="953" w:type="dxa"/>
                  <w:noWrap w:val="0"/>
                  <w:vAlign w:val="center"/>
                </w:tcPr>
                <w:p w14:paraId="7396EBBB">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23.04</w:t>
                  </w:r>
                </w:p>
              </w:tc>
            </w:tr>
            <w:tr w14:paraId="0478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787" w:type="dxa"/>
                  <w:vMerge w:val="restart"/>
                  <w:noWrap w:val="0"/>
                  <w:vAlign w:val="center"/>
                </w:tcPr>
                <w:p w14:paraId="666E3AE6">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887" w:type="dxa"/>
                  <w:vMerge w:val="restart"/>
                  <w:noWrap w:val="0"/>
                  <w:vAlign w:val="center"/>
                </w:tcPr>
                <w:p w14:paraId="215BCCAD">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775" w:type="dxa"/>
                  <w:vMerge w:val="restart"/>
                  <w:noWrap w:val="0"/>
                  <w:vAlign w:val="center"/>
                </w:tcPr>
                <w:p w14:paraId="2FD873B6">
                  <w:pPr>
                    <w:widowControl/>
                    <w:jc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905" w:type="dxa"/>
                  <w:vMerge w:val="restart"/>
                  <w:noWrap w:val="0"/>
                  <w:vAlign w:val="center"/>
                </w:tcPr>
                <w:p w14:paraId="1C1BD6DB">
                  <w:pPr>
                    <w:widowControl/>
                    <w:jc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2028" w:type="dxa"/>
                  <w:vMerge w:val="restart"/>
                  <w:noWrap w:val="0"/>
                  <w:vAlign w:val="center"/>
                </w:tcPr>
                <w:p w14:paraId="4A4A0C59">
                  <w:pPr>
                    <w:widowControl/>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收到基低位发热量</w:t>
                  </w:r>
                  <w:r>
                    <w:rPr>
                      <w:rFonts w:hint="eastAsia" w:ascii="Times New Roman" w:hAnsi="Times New Roman" w:eastAsia="宋体" w:cs="Times New Roman"/>
                      <w:color w:val="auto"/>
                      <w:kern w:val="0"/>
                      <w:szCs w:val="21"/>
                      <w:highlight w:val="none"/>
                      <w:lang w:val="en-US" w:eastAsia="zh-CN"/>
                    </w:rPr>
                    <w:t>(</w:t>
                  </w:r>
                  <w:r>
                    <w:rPr>
                      <w:rFonts w:hint="eastAsia" w:ascii="Arial" w:hAnsi="Arial" w:eastAsia="宋体" w:cs="Arial"/>
                      <w:i w:val="0"/>
                      <w:caps w:val="0"/>
                      <w:color w:val="auto"/>
                      <w:spacing w:val="0"/>
                      <w:sz w:val="21"/>
                      <w:szCs w:val="21"/>
                      <w:highlight w:val="none"/>
                      <w:shd w:val="clear" w:color="auto" w:fill="FFFFFF"/>
                    </w:rPr>
                    <w:t>Qnet,ar</w:t>
                  </w:r>
                  <w:r>
                    <w:rPr>
                      <w:rFonts w:hint="eastAsia" w:ascii="Times New Roman" w:hAnsi="Times New Roman" w:eastAsia="宋体" w:cs="Times New Roman"/>
                      <w:color w:val="auto"/>
                      <w:kern w:val="0"/>
                      <w:szCs w:val="21"/>
                      <w:highlight w:val="none"/>
                      <w:lang w:val="en-US" w:eastAsia="zh-CN"/>
                    </w:rPr>
                    <w:t>)</w:t>
                  </w:r>
                </w:p>
              </w:tc>
              <w:tc>
                <w:tcPr>
                  <w:tcW w:w="835" w:type="dxa"/>
                  <w:noWrap w:val="0"/>
                  <w:vAlign w:val="center"/>
                </w:tcPr>
                <w:p w14:paraId="6A5CBC84">
                  <w:pPr>
                    <w:widowControl/>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MJ/kg</w:t>
                  </w:r>
                </w:p>
              </w:tc>
              <w:tc>
                <w:tcPr>
                  <w:tcW w:w="953" w:type="dxa"/>
                  <w:noWrap w:val="0"/>
                  <w:vAlign w:val="center"/>
                </w:tcPr>
                <w:p w14:paraId="1C365E73">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7.25</w:t>
                  </w:r>
                </w:p>
              </w:tc>
            </w:tr>
            <w:tr w14:paraId="6869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787" w:type="dxa"/>
                  <w:vMerge w:val="continue"/>
                  <w:noWrap w:val="0"/>
                  <w:vAlign w:val="center"/>
                </w:tcPr>
                <w:p w14:paraId="560FAD52">
                  <w:pPr>
                    <w:widowControl/>
                    <w:jc w:val="center"/>
                    <w:rPr>
                      <w:color w:val="auto"/>
                      <w:highlight w:val="none"/>
                    </w:rPr>
                  </w:pPr>
                </w:p>
              </w:tc>
              <w:tc>
                <w:tcPr>
                  <w:tcW w:w="887" w:type="dxa"/>
                  <w:vMerge w:val="continue"/>
                  <w:noWrap w:val="0"/>
                  <w:vAlign w:val="center"/>
                </w:tcPr>
                <w:p w14:paraId="14E9F428">
                  <w:pPr>
                    <w:widowControl/>
                    <w:jc w:val="center"/>
                    <w:rPr>
                      <w:color w:val="auto"/>
                      <w:highlight w:val="none"/>
                    </w:rPr>
                  </w:pPr>
                </w:p>
              </w:tc>
              <w:tc>
                <w:tcPr>
                  <w:tcW w:w="775" w:type="dxa"/>
                  <w:vMerge w:val="continue"/>
                  <w:noWrap w:val="0"/>
                  <w:vAlign w:val="center"/>
                </w:tcPr>
                <w:p w14:paraId="0CE60491">
                  <w:pPr>
                    <w:widowControl/>
                    <w:jc w:val="center"/>
                    <w:rPr>
                      <w:color w:val="auto"/>
                      <w:highlight w:val="none"/>
                    </w:rPr>
                  </w:pPr>
                </w:p>
              </w:tc>
              <w:tc>
                <w:tcPr>
                  <w:tcW w:w="905" w:type="dxa"/>
                  <w:vMerge w:val="continue"/>
                  <w:noWrap w:val="0"/>
                  <w:vAlign w:val="center"/>
                </w:tcPr>
                <w:p w14:paraId="10F0D125">
                  <w:pPr>
                    <w:widowControl/>
                    <w:jc w:val="center"/>
                    <w:rPr>
                      <w:color w:val="auto"/>
                      <w:highlight w:val="none"/>
                    </w:rPr>
                  </w:pPr>
                </w:p>
              </w:tc>
              <w:tc>
                <w:tcPr>
                  <w:tcW w:w="2028" w:type="dxa"/>
                  <w:vMerge w:val="continue"/>
                  <w:noWrap w:val="0"/>
                  <w:vAlign w:val="center"/>
                </w:tcPr>
                <w:p w14:paraId="0C6B0439">
                  <w:pPr>
                    <w:widowControl/>
                    <w:jc w:val="center"/>
                    <w:rPr>
                      <w:color w:val="auto"/>
                      <w:highlight w:val="none"/>
                    </w:rPr>
                  </w:pPr>
                </w:p>
              </w:tc>
              <w:tc>
                <w:tcPr>
                  <w:tcW w:w="835" w:type="dxa"/>
                  <w:noWrap w:val="0"/>
                  <w:vAlign w:val="center"/>
                </w:tcPr>
                <w:p w14:paraId="56F25E63">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Cal/g</w:t>
                  </w:r>
                </w:p>
              </w:tc>
              <w:tc>
                <w:tcPr>
                  <w:tcW w:w="953" w:type="dxa"/>
                  <w:noWrap w:val="0"/>
                  <w:vAlign w:val="center"/>
                </w:tcPr>
                <w:p w14:paraId="3A22BC5D">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1734</w:t>
                  </w:r>
                </w:p>
              </w:tc>
            </w:tr>
            <w:tr w14:paraId="076D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87" w:type="dxa"/>
                  <w:noWrap w:val="0"/>
                  <w:vAlign w:val="center"/>
                </w:tcPr>
                <w:p w14:paraId="343414B9">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887" w:type="dxa"/>
                  <w:noWrap w:val="0"/>
                  <w:vAlign w:val="center"/>
                </w:tcPr>
                <w:p w14:paraId="6B7C07F9">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775" w:type="dxa"/>
                  <w:noWrap w:val="0"/>
                  <w:vAlign w:val="center"/>
                </w:tcPr>
                <w:p w14:paraId="74F17FE3">
                  <w:pPr>
                    <w:widowControl/>
                    <w:jc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905" w:type="dxa"/>
                  <w:noWrap w:val="0"/>
                  <w:vAlign w:val="center"/>
                </w:tcPr>
                <w:p w14:paraId="586E94DB">
                  <w:pPr>
                    <w:widowControl/>
                    <w:jc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2028" w:type="dxa"/>
                  <w:noWrap w:val="0"/>
                  <w:vAlign w:val="center"/>
                </w:tcPr>
                <w:p w14:paraId="4AB6E30F">
                  <w:pPr>
                    <w:widowControl/>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全硫（</w:t>
                  </w:r>
                  <w:r>
                    <w:rPr>
                      <w:rFonts w:hint="eastAsia" w:cs="Times New Roman"/>
                      <w:color w:val="auto"/>
                      <w:kern w:val="0"/>
                      <w:szCs w:val="21"/>
                      <w:highlight w:val="none"/>
                      <w:lang w:val="en-US" w:eastAsia="zh-CN"/>
                    </w:rPr>
                    <w:t>S</w:t>
                  </w:r>
                  <w:r>
                    <w:rPr>
                      <w:rFonts w:hint="eastAsia" w:cs="Times New Roman"/>
                      <w:color w:val="auto"/>
                      <w:kern w:val="0"/>
                      <w:szCs w:val="21"/>
                      <w:highlight w:val="none"/>
                      <w:vertAlign w:val="baseline"/>
                      <w:lang w:val="en-US" w:eastAsia="zh-CN"/>
                    </w:rPr>
                    <w:t>t，d</w:t>
                  </w:r>
                  <w:r>
                    <w:rPr>
                      <w:rFonts w:hint="eastAsia" w:cs="Times New Roman"/>
                      <w:color w:val="auto"/>
                      <w:kern w:val="0"/>
                      <w:szCs w:val="21"/>
                      <w:highlight w:val="none"/>
                      <w:lang w:eastAsia="zh-CN"/>
                    </w:rPr>
                    <w:t>）</w:t>
                  </w:r>
                </w:p>
              </w:tc>
              <w:tc>
                <w:tcPr>
                  <w:tcW w:w="835" w:type="dxa"/>
                  <w:noWrap w:val="0"/>
                  <w:vAlign w:val="center"/>
                </w:tcPr>
                <w:p w14:paraId="6318E519">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953" w:type="dxa"/>
                  <w:noWrap w:val="0"/>
                  <w:vAlign w:val="center"/>
                </w:tcPr>
                <w:p w14:paraId="26F025F5">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1.45</w:t>
                  </w:r>
                </w:p>
              </w:tc>
            </w:tr>
            <w:tr w14:paraId="7EB3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87" w:type="dxa"/>
                  <w:noWrap w:val="0"/>
                  <w:vAlign w:val="center"/>
                </w:tcPr>
                <w:p w14:paraId="1910A555">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887" w:type="dxa"/>
                  <w:noWrap w:val="0"/>
                  <w:vAlign w:val="center"/>
                </w:tcPr>
                <w:p w14:paraId="0D22046D">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775" w:type="dxa"/>
                  <w:noWrap w:val="0"/>
                  <w:vAlign w:val="center"/>
                </w:tcPr>
                <w:p w14:paraId="22672368">
                  <w:pPr>
                    <w:widowControl/>
                    <w:jc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905" w:type="dxa"/>
                  <w:noWrap w:val="0"/>
                  <w:vAlign w:val="center"/>
                </w:tcPr>
                <w:p w14:paraId="0AB46DA5">
                  <w:pPr>
                    <w:widowControl/>
                    <w:jc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2028" w:type="dxa"/>
                  <w:noWrap w:val="0"/>
                  <w:vAlign w:val="center"/>
                </w:tcPr>
                <w:p w14:paraId="4B9B866A">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有机质</w:t>
                  </w:r>
                </w:p>
              </w:tc>
              <w:tc>
                <w:tcPr>
                  <w:tcW w:w="835" w:type="dxa"/>
                  <w:noWrap w:val="0"/>
                  <w:vAlign w:val="center"/>
                </w:tcPr>
                <w:p w14:paraId="7FCF6454">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953" w:type="dxa"/>
                  <w:noWrap w:val="0"/>
                  <w:vAlign w:val="center"/>
                </w:tcPr>
                <w:p w14:paraId="62CFB165">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79.78</w:t>
                  </w:r>
                </w:p>
              </w:tc>
            </w:tr>
            <w:tr w14:paraId="6682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170" w:type="dxa"/>
                  <w:gridSpan w:val="7"/>
                  <w:noWrap w:val="0"/>
                  <w:vAlign w:val="center"/>
                </w:tcPr>
                <w:p w14:paraId="53F3C313">
                  <w:pPr>
                    <w:widowControl/>
                    <w:jc w:val="center"/>
                    <w:rPr>
                      <w:rFonts w:hint="eastAsia" w:cs="Times New Roman"/>
                      <w:color w:val="auto"/>
                      <w:kern w:val="0"/>
                      <w:szCs w:val="21"/>
                      <w:highlight w:val="none"/>
                      <w:lang w:val="en-US" w:eastAsia="zh-CN"/>
                    </w:rPr>
                  </w:pPr>
                </w:p>
              </w:tc>
            </w:tr>
            <w:tr w14:paraId="271F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87" w:type="dxa"/>
                  <w:noWrap w:val="0"/>
                  <w:vAlign w:val="center"/>
                </w:tcPr>
                <w:p w14:paraId="276D7D34">
                  <w:pPr>
                    <w:widowControl/>
                    <w:jc w:val="center"/>
                    <w:rPr>
                      <w:rFonts w:hint="eastAsia"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eastAsia="zh-CN"/>
                    </w:rPr>
                    <w:t>分析项目</w:t>
                  </w:r>
                </w:p>
              </w:tc>
              <w:tc>
                <w:tcPr>
                  <w:tcW w:w="887" w:type="dxa"/>
                  <w:noWrap w:val="0"/>
                  <w:vAlign w:val="center"/>
                </w:tcPr>
                <w:p w14:paraId="7C750FB1">
                  <w:pPr>
                    <w:widowControl/>
                    <w:jc w:val="center"/>
                    <w:rPr>
                      <w:rFonts w:hint="eastAsia"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单位</w:t>
                  </w:r>
                </w:p>
              </w:tc>
              <w:tc>
                <w:tcPr>
                  <w:tcW w:w="775" w:type="dxa"/>
                  <w:noWrap w:val="0"/>
                  <w:vAlign w:val="center"/>
                </w:tcPr>
                <w:p w14:paraId="4027743E">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3号新出</w:t>
                  </w:r>
                </w:p>
              </w:tc>
              <w:tc>
                <w:tcPr>
                  <w:tcW w:w="905" w:type="dxa"/>
                  <w:noWrap w:val="0"/>
                  <w:vAlign w:val="center"/>
                </w:tcPr>
                <w:p w14:paraId="235CAEF5">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水塘边3号</w:t>
                  </w:r>
                </w:p>
              </w:tc>
              <w:tc>
                <w:tcPr>
                  <w:tcW w:w="2028" w:type="dxa"/>
                  <w:noWrap w:val="0"/>
                  <w:vAlign w:val="center"/>
                </w:tcPr>
                <w:p w14:paraId="61F312EF">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山顶3号</w:t>
                  </w:r>
                </w:p>
              </w:tc>
              <w:tc>
                <w:tcPr>
                  <w:tcW w:w="835" w:type="dxa"/>
                  <w:noWrap w:val="0"/>
                  <w:vAlign w:val="center"/>
                </w:tcPr>
                <w:p w14:paraId="62900B25">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水塘边1点</w:t>
                  </w:r>
                </w:p>
              </w:tc>
              <w:tc>
                <w:tcPr>
                  <w:tcW w:w="953" w:type="dxa"/>
                  <w:noWrap w:val="0"/>
                  <w:vAlign w:val="center"/>
                </w:tcPr>
                <w:p w14:paraId="1ED11046">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水塘边2点</w:t>
                  </w:r>
                </w:p>
              </w:tc>
            </w:tr>
            <w:tr w14:paraId="458B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87" w:type="dxa"/>
                  <w:noWrap w:val="0"/>
                  <w:vAlign w:val="center"/>
                </w:tcPr>
                <w:p w14:paraId="3BC32947">
                  <w:pPr>
                    <w:widowControl/>
                    <w:jc w:val="center"/>
                    <w:rPr>
                      <w:rFonts w:hint="eastAsia"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eastAsia="zh-CN"/>
                    </w:rPr>
                    <w:t>固定碳</w:t>
                  </w:r>
                  <w:r>
                    <w:rPr>
                      <w:rFonts w:hint="default"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kern w:val="0"/>
                      <w:szCs w:val="21"/>
                      <w:highlight w:val="none"/>
                      <w:lang w:val="en-US" w:eastAsia="zh-CN"/>
                    </w:rPr>
                    <w:t>FC</w:t>
                  </w:r>
                  <w:r>
                    <w:rPr>
                      <w:rFonts w:hint="default" w:ascii="Times New Roman" w:hAnsi="Times New Roman" w:eastAsia="宋体" w:cs="Times New Roman"/>
                      <w:color w:val="auto"/>
                      <w:kern w:val="0"/>
                      <w:szCs w:val="21"/>
                      <w:highlight w:val="none"/>
                    </w:rPr>
                    <w:t>a</w:t>
                  </w:r>
                  <w:r>
                    <w:rPr>
                      <w:rFonts w:hint="eastAsia" w:ascii="Times New Roman" w:hAnsi="Times New Roman" w:eastAsia="宋体" w:cs="Times New Roman"/>
                      <w:color w:val="auto"/>
                      <w:kern w:val="0"/>
                      <w:szCs w:val="21"/>
                      <w:highlight w:val="none"/>
                      <w:lang w:val="en-US" w:eastAsia="zh-CN"/>
                    </w:rPr>
                    <w:t>d</w:t>
                  </w:r>
                  <w:r>
                    <w:rPr>
                      <w:rFonts w:hint="default" w:ascii="Times New Roman" w:hAnsi="Times New Roman" w:eastAsia="宋体" w:cs="Times New Roman"/>
                      <w:color w:val="auto"/>
                      <w:kern w:val="0"/>
                      <w:szCs w:val="21"/>
                      <w:highlight w:val="none"/>
                    </w:rPr>
                    <w:t>)</w:t>
                  </w:r>
                </w:p>
              </w:tc>
              <w:tc>
                <w:tcPr>
                  <w:tcW w:w="887" w:type="dxa"/>
                  <w:noWrap w:val="0"/>
                  <w:vAlign w:val="center"/>
                </w:tcPr>
                <w:p w14:paraId="4F2C1B7A">
                  <w:pPr>
                    <w:widowControl/>
                    <w:jc w:val="center"/>
                    <w:rPr>
                      <w:rFonts w:hint="eastAsia"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5" w:type="dxa"/>
                  <w:noWrap w:val="0"/>
                  <w:vAlign w:val="center"/>
                </w:tcPr>
                <w:p w14:paraId="24C5E53F">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21.87</w:t>
                  </w:r>
                </w:p>
              </w:tc>
              <w:tc>
                <w:tcPr>
                  <w:tcW w:w="905" w:type="dxa"/>
                  <w:noWrap w:val="0"/>
                  <w:vAlign w:val="center"/>
                </w:tcPr>
                <w:p w14:paraId="5291E3A7">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20.00</w:t>
                  </w:r>
                </w:p>
              </w:tc>
              <w:tc>
                <w:tcPr>
                  <w:tcW w:w="2028" w:type="dxa"/>
                  <w:noWrap w:val="0"/>
                  <w:vAlign w:val="center"/>
                </w:tcPr>
                <w:p w14:paraId="64DBC6DC">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19.19</w:t>
                  </w:r>
                </w:p>
              </w:tc>
              <w:tc>
                <w:tcPr>
                  <w:tcW w:w="835" w:type="dxa"/>
                  <w:noWrap w:val="0"/>
                  <w:vAlign w:val="center"/>
                </w:tcPr>
                <w:p w14:paraId="569DE72C">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20.47</w:t>
                  </w:r>
                </w:p>
              </w:tc>
              <w:tc>
                <w:tcPr>
                  <w:tcW w:w="953" w:type="dxa"/>
                  <w:noWrap w:val="0"/>
                  <w:vAlign w:val="center"/>
                </w:tcPr>
                <w:p w14:paraId="4A6D5014">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20.18</w:t>
                  </w:r>
                </w:p>
              </w:tc>
            </w:tr>
            <w:tr w14:paraId="77C6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87" w:type="dxa"/>
                  <w:noWrap w:val="0"/>
                  <w:vAlign w:val="center"/>
                </w:tcPr>
                <w:p w14:paraId="4E59CBFA">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eastAsia="zh-CN"/>
                    </w:rPr>
                    <w:t>挥发</w:t>
                  </w:r>
                  <w:r>
                    <w:rPr>
                      <w:rFonts w:hint="default" w:ascii="Times New Roman" w:hAnsi="Times New Roman" w:eastAsia="宋体" w:cs="Times New Roman"/>
                      <w:color w:val="auto"/>
                      <w:kern w:val="0"/>
                      <w:szCs w:val="21"/>
                      <w:highlight w:val="none"/>
                    </w:rPr>
                    <w:t>分(</w:t>
                  </w:r>
                  <w:r>
                    <w:rPr>
                      <w:rFonts w:hint="eastAsia" w:cs="Times New Roman"/>
                      <w:color w:val="auto"/>
                      <w:kern w:val="0"/>
                      <w:szCs w:val="21"/>
                      <w:highlight w:val="none"/>
                      <w:lang w:val="en-US" w:eastAsia="zh-CN"/>
                    </w:rPr>
                    <w:t>Va</w:t>
                  </w:r>
                  <w:r>
                    <w:rPr>
                      <w:rFonts w:hint="default" w:ascii="Times New Roman" w:hAnsi="Times New Roman" w:eastAsia="宋体" w:cs="Times New Roman"/>
                      <w:color w:val="auto"/>
                      <w:kern w:val="0"/>
                      <w:szCs w:val="21"/>
                      <w:highlight w:val="none"/>
                    </w:rPr>
                    <w:t>d)</w:t>
                  </w:r>
                </w:p>
              </w:tc>
              <w:tc>
                <w:tcPr>
                  <w:tcW w:w="887" w:type="dxa"/>
                  <w:noWrap w:val="0"/>
                  <w:vAlign w:val="center"/>
                </w:tcPr>
                <w:p w14:paraId="3C8518BC">
                  <w:pPr>
                    <w:widowControl/>
                    <w:jc w:val="center"/>
                    <w:rPr>
                      <w:rFonts w:hint="eastAsia"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5" w:type="dxa"/>
                  <w:noWrap w:val="0"/>
                  <w:vAlign w:val="center"/>
                </w:tcPr>
                <w:p w14:paraId="0D2F3E59">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31.54</w:t>
                  </w:r>
                </w:p>
              </w:tc>
              <w:tc>
                <w:tcPr>
                  <w:tcW w:w="905" w:type="dxa"/>
                  <w:noWrap w:val="0"/>
                  <w:vAlign w:val="center"/>
                </w:tcPr>
                <w:p w14:paraId="1C638F61">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30.82</w:t>
                  </w:r>
                </w:p>
              </w:tc>
              <w:tc>
                <w:tcPr>
                  <w:tcW w:w="2028" w:type="dxa"/>
                  <w:noWrap w:val="0"/>
                  <w:vAlign w:val="center"/>
                </w:tcPr>
                <w:p w14:paraId="0FF575D5">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30.74</w:t>
                  </w:r>
                </w:p>
              </w:tc>
              <w:tc>
                <w:tcPr>
                  <w:tcW w:w="835" w:type="dxa"/>
                  <w:noWrap w:val="0"/>
                  <w:vAlign w:val="center"/>
                </w:tcPr>
                <w:p w14:paraId="7630F431">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30.54</w:t>
                  </w:r>
                </w:p>
              </w:tc>
              <w:tc>
                <w:tcPr>
                  <w:tcW w:w="953" w:type="dxa"/>
                  <w:noWrap w:val="0"/>
                  <w:vAlign w:val="center"/>
                </w:tcPr>
                <w:p w14:paraId="42EB2515">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29.07</w:t>
                  </w:r>
                </w:p>
              </w:tc>
            </w:tr>
            <w:tr w14:paraId="375B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87" w:type="dxa"/>
                  <w:noWrap w:val="0"/>
                  <w:vAlign w:val="center"/>
                </w:tcPr>
                <w:p w14:paraId="28376006">
                  <w:pPr>
                    <w:widowControl/>
                    <w:jc w:val="center"/>
                    <w:rPr>
                      <w:rFonts w:hint="eastAsia"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rPr>
                    <w:t>灰分(A</w:t>
                  </w:r>
                  <w:r>
                    <w:rPr>
                      <w:rFonts w:hint="eastAsia" w:cs="Times New Roman"/>
                      <w:color w:val="auto"/>
                      <w:kern w:val="0"/>
                      <w:szCs w:val="21"/>
                      <w:highlight w:val="none"/>
                      <w:lang w:val="en-US" w:eastAsia="zh-CN"/>
                    </w:rPr>
                    <w:t>a</w:t>
                  </w:r>
                  <w:r>
                    <w:rPr>
                      <w:rFonts w:hint="default" w:ascii="Times New Roman" w:hAnsi="Times New Roman" w:eastAsia="宋体" w:cs="Times New Roman"/>
                      <w:color w:val="auto"/>
                      <w:kern w:val="0"/>
                      <w:szCs w:val="21"/>
                      <w:highlight w:val="none"/>
                    </w:rPr>
                    <w:t>d)</w:t>
                  </w:r>
                </w:p>
              </w:tc>
              <w:tc>
                <w:tcPr>
                  <w:tcW w:w="887" w:type="dxa"/>
                  <w:noWrap w:val="0"/>
                  <w:vAlign w:val="center"/>
                </w:tcPr>
                <w:p w14:paraId="5390E21E">
                  <w:pPr>
                    <w:widowControl/>
                    <w:jc w:val="center"/>
                    <w:rPr>
                      <w:rFonts w:hint="eastAsia"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5" w:type="dxa"/>
                  <w:noWrap w:val="0"/>
                  <w:vAlign w:val="center"/>
                </w:tcPr>
                <w:p w14:paraId="70705FF0">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43.57</w:t>
                  </w:r>
                </w:p>
              </w:tc>
              <w:tc>
                <w:tcPr>
                  <w:tcW w:w="905" w:type="dxa"/>
                  <w:noWrap w:val="0"/>
                  <w:vAlign w:val="center"/>
                </w:tcPr>
                <w:p w14:paraId="7A96192D">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45.74</w:t>
                  </w:r>
                </w:p>
              </w:tc>
              <w:tc>
                <w:tcPr>
                  <w:tcW w:w="2028" w:type="dxa"/>
                  <w:noWrap w:val="0"/>
                  <w:vAlign w:val="center"/>
                </w:tcPr>
                <w:p w14:paraId="2A774F19">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46.07</w:t>
                  </w:r>
                </w:p>
              </w:tc>
              <w:tc>
                <w:tcPr>
                  <w:tcW w:w="835" w:type="dxa"/>
                  <w:noWrap w:val="0"/>
                  <w:vAlign w:val="center"/>
                </w:tcPr>
                <w:p w14:paraId="5905ECB0">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43.80</w:t>
                  </w:r>
                </w:p>
              </w:tc>
              <w:tc>
                <w:tcPr>
                  <w:tcW w:w="953" w:type="dxa"/>
                  <w:noWrap w:val="0"/>
                  <w:vAlign w:val="center"/>
                </w:tcPr>
                <w:p w14:paraId="22F0C34A">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45.11</w:t>
                  </w:r>
                </w:p>
              </w:tc>
            </w:tr>
            <w:tr w14:paraId="3BDA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87" w:type="dxa"/>
                  <w:noWrap w:val="0"/>
                  <w:vAlign w:val="center"/>
                </w:tcPr>
                <w:p w14:paraId="7685BC0D">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eastAsia="zh-CN"/>
                    </w:rPr>
                    <w:t>全水分（</w:t>
                  </w:r>
                  <w:r>
                    <w:rPr>
                      <w:rFonts w:hint="eastAsia" w:cs="Times New Roman"/>
                      <w:color w:val="auto"/>
                      <w:kern w:val="0"/>
                      <w:szCs w:val="21"/>
                      <w:highlight w:val="none"/>
                      <w:lang w:val="en-US" w:eastAsia="zh-CN"/>
                    </w:rPr>
                    <w:t>Mt</w:t>
                  </w:r>
                  <w:r>
                    <w:rPr>
                      <w:rFonts w:hint="eastAsia" w:cs="Times New Roman"/>
                      <w:color w:val="auto"/>
                      <w:kern w:val="0"/>
                      <w:szCs w:val="21"/>
                      <w:highlight w:val="none"/>
                      <w:lang w:eastAsia="zh-CN"/>
                    </w:rPr>
                    <w:t>）</w:t>
                  </w:r>
                </w:p>
              </w:tc>
              <w:tc>
                <w:tcPr>
                  <w:tcW w:w="887" w:type="dxa"/>
                  <w:noWrap w:val="0"/>
                  <w:vAlign w:val="center"/>
                </w:tcPr>
                <w:p w14:paraId="11941F4C">
                  <w:pPr>
                    <w:widowControl/>
                    <w:jc w:val="center"/>
                    <w:rPr>
                      <w:rFonts w:hint="eastAsia"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5" w:type="dxa"/>
                  <w:noWrap w:val="0"/>
                  <w:vAlign w:val="center"/>
                </w:tcPr>
                <w:p w14:paraId="7C17D306">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39.47</w:t>
                  </w:r>
                </w:p>
              </w:tc>
              <w:tc>
                <w:tcPr>
                  <w:tcW w:w="905" w:type="dxa"/>
                  <w:noWrap w:val="0"/>
                  <w:vAlign w:val="center"/>
                </w:tcPr>
                <w:p w14:paraId="719B0299">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39.06</w:t>
                  </w:r>
                </w:p>
              </w:tc>
              <w:tc>
                <w:tcPr>
                  <w:tcW w:w="2028" w:type="dxa"/>
                  <w:noWrap w:val="0"/>
                  <w:vAlign w:val="center"/>
                </w:tcPr>
                <w:p w14:paraId="66B6D21A">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37.01</w:t>
                  </w:r>
                </w:p>
              </w:tc>
              <w:tc>
                <w:tcPr>
                  <w:tcW w:w="835" w:type="dxa"/>
                  <w:noWrap w:val="0"/>
                  <w:vAlign w:val="center"/>
                </w:tcPr>
                <w:p w14:paraId="557811AD">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37.51</w:t>
                  </w:r>
                </w:p>
              </w:tc>
              <w:tc>
                <w:tcPr>
                  <w:tcW w:w="953" w:type="dxa"/>
                  <w:noWrap w:val="0"/>
                  <w:vAlign w:val="center"/>
                </w:tcPr>
                <w:p w14:paraId="0ECB3679">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38.50</w:t>
                  </w:r>
                </w:p>
              </w:tc>
            </w:tr>
            <w:tr w14:paraId="555C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87" w:type="dxa"/>
                  <w:noWrap w:val="0"/>
                  <w:vAlign w:val="center"/>
                </w:tcPr>
                <w:p w14:paraId="3680DA64">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eastAsia="zh-CN"/>
                    </w:rPr>
                    <w:t>分析</w:t>
                  </w:r>
                  <w:r>
                    <w:rPr>
                      <w:rFonts w:hint="eastAsia" w:ascii="Times New Roman" w:hAnsi="Times New Roman" w:eastAsia="宋体" w:cs="Times New Roman"/>
                      <w:color w:val="auto"/>
                      <w:kern w:val="0"/>
                      <w:szCs w:val="21"/>
                      <w:highlight w:val="none"/>
                      <w:lang w:eastAsia="zh-CN"/>
                    </w:rPr>
                    <w:t>基</w:t>
                  </w:r>
                  <w:r>
                    <w:rPr>
                      <w:rFonts w:hint="default" w:ascii="Times New Roman" w:hAnsi="Times New Roman" w:eastAsia="宋体" w:cs="Times New Roman"/>
                      <w:color w:val="auto"/>
                      <w:kern w:val="0"/>
                      <w:szCs w:val="21"/>
                      <w:highlight w:val="none"/>
                    </w:rPr>
                    <w:t>水分(Ma</w:t>
                  </w:r>
                  <w:r>
                    <w:rPr>
                      <w:rFonts w:hint="eastAsia" w:cs="Times New Roman"/>
                      <w:color w:val="auto"/>
                      <w:kern w:val="0"/>
                      <w:szCs w:val="21"/>
                      <w:highlight w:val="none"/>
                      <w:lang w:val="en-US" w:eastAsia="zh-CN"/>
                    </w:rPr>
                    <w:t>d</w:t>
                  </w:r>
                  <w:r>
                    <w:rPr>
                      <w:rFonts w:hint="default" w:ascii="Times New Roman" w:hAnsi="Times New Roman" w:eastAsia="宋体" w:cs="Times New Roman"/>
                      <w:color w:val="auto"/>
                      <w:kern w:val="0"/>
                      <w:szCs w:val="21"/>
                      <w:highlight w:val="none"/>
                    </w:rPr>
                    <w:t>)</w:t>
                  </w:r>
                </w:p>
              </w:tc>
              <w:tc>
                <w:tcPr>
                  <w:tcW w:w="887" w:type="dxa"/>
                  <w:noWrap w:val="0"/>
                  <w:vAlign w:val="center"/>
                </w:tcPr>
                <w:p w14:paraId="3F143687">
                  <w:pPr>
                    <w:widowControl/>
                    <w:jc w:val="center"/>
                    <w:rPr>
                      <w:rFonts w:hint="eastAsia"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5" w:type="dxa"/>
                  <w:noWrap w:val="0"/>
                  <w:vAlign w:val="center"/>
                </w:tcPr>
                <w:p w14:paraId="70EF57D0">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3.02</w:t>
                  </w:r>
                </w:p>
              </w:tc>
              <w:tc>
                <w:tcPr>
                  <w:tcW w:w="905" w:type="dxa"/>
                  <w:noWrap w:val="0"/>
                  <w:vAlign w:val="center"/>
                </w:tcPr>
                <w:p w14:paraId="10E093CB">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3.44</w:t>
                  </w:r>
                </w:p>
              </w:tc>
              <w:tc>
                <w:tcPr>
                  <w:tcW w:w="2028" w:type="dxa"/>
                  <w:noWrap w:val="0"/>
                  <w:vAlign w:val="center"/>
                </w:tcPr>
                <w:p w14:paraId="0482617C">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4.00</w:t>
                  </w:r>
                </w:p>
              </w:tc>
              <w:tc>
                <w:tcPr>
                  <w:tcW w:w="835" w:type="dxa"/>
                  <w:noWrap w:val="0"/>
                  <w:vAlign w:val="center"/>
                </w:tcPr>
                <w:p w14:paraId="203A006C">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5.19</w:t>
                  </w:r>
                </w:p>
              </w:tc>
              <w:tc>
                <w:tcPr>
                  <w:tcW w:w="953" w:type="dxa"/>
                  <w:noWrap w:val="0"/>
                  <w:vAlign w:val="center"/>
                </w:tcPr>
                <w:p w14:paraId="756A436F">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5.64</w:t>
                  </w:r>
                </w:p>
              </w:tc>
            </w:tr>
            <w:tr w14:paraId="20E7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787" w:type="dxa"/>
                  <w:noWrap w:val="0"/>
                  <w:vAlign w:val="center"/>
                </w:tcPr>
                <w:p w14:paraId="2BFF6641">
                  <w:pPr>
                    <w:widowControl/>
                    <w:jc w:val="center"/>
                    <w:rPr>
                      <w:rFonts w:hint="eastAsia"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eastAsia="zh-CN"/>
                    </w:rPr>
                    <w:t>全</w:t>
                  </w:r>
                  <w:r>
                    <w:rPr>
                      <w:rFonts w:hint="default" w:ascii="Times New Roman" w:hAnsi="Times New Roman" w:eastAsia="宋体" w:cs="Times New Roman"/>
                      <w:color w:val="auto"/>
                      <w:kern w:val="0"/>
                      <w:szCs w:val="21"/>
                      <w:highlight w:val="none"/>
                    </w:rPr>
                    <w:t>硫（S</w:t>
                  </w:r>
                  <w:r>
                    <w:rPr>
                      <w:rFonts w:hint="eastAsia" w:ascii="Times New Roman" w:hAnsi="Times New Roman" w:eastAsia="宋体" w:cs="Times New Roman"/>
                      <w:color w:val="auto"/>
                      <w:kern w:val="0"/>
                      <w:szCs w:val="21"/>
                      <w:highlight w:val="none"/>
                      <w:lang w:val="en-US" w:eastAsia="zh-CN"/>
                    </w:rPr>
                    <w:t>t,ad</w:t>
                  </w:r>
                  <w:r>
                    <w:rPr>
                      <w:rFonts w:hint="default" w:ascii="Times New Roman" w:hAnsi="Times New Roman" w:eastAsia="宋体" w:cs="Times New Roman"/>
                      <w:color w:val="auto"/>
                      <w:kern w:val="0"/>
                      <w:szCs w:val="21"/>
                      <w:highlight w:val="none"/>
                    </w:rPr>
                    <w:t>）</w:t>
                  </w:r>
                </w:p>
              </w:tc>
              <w:tc>
                <w:tcPr>
                  <w:tcW w:w="887" w:type="dxa"/>
                  <w:noWrap w:val="0"/>
                  <w:vAlign w:val="center"/>
                </w:tcPr>
                <w:p w14:paraId="4C61891D">
                  <w:pPr>
                    <w:widowControl/>
                    <w:jc w:val="center"/>
                    <w:rPr>
                      <w:rFonts w:hint="eastAsia"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5" w:type="dxa"/>
                  <w:noWrap w:val="0"/>
                  <w:vAlign w:val="center"/>
                </w:tcPr>
                <w:p w14:paraId="005DB023">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905" w:type="dxa"/>
                  <w:noWrap w:val="0"/>
                  <w:vAlign w:val="center"/>
                </w:tcPr>
                <w:p w14:paraId="7534F535">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2028" w:type="dxa"/>
                  <w:noWrap w:val="0"/>
                  <w:vAlign w:val="center"/>
                </w:tcPr>
                <w:p w14:paraId="36E53CE1">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835" w:type="dxa"/>
                  <w:noWrap w:val="0"/>
                  <w:vAlign w:val="center"/>
                </w:tcPr>
                <w:p w14:paraId="088A1F7E">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953" w:type="dxa"/>
                  <w:noWrap w:val="0"/>
                  <w:vAlign w:val="center"/>
                </w:tcPr>
                <w:p w14:paraId="5A9DCEA8">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r>
            <w:tr w14:paraId="570D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87" w:type="dxa"/>
                  <w:noWrap w:val="0"/>
                  <w:vAlign w:val="center"/>
                </w:tcPr>
                <w:p w14:paraId="2FA5BCFC">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eastAsia="zh-CN"/>
                    </w:rPr>
                    <w:t>分析基高位发热量</w:t>
                  </w:r>
                  <w:r>
                    <w:rPr>
                      <w:rFonts w:hint="default" w:ascii="Times New Roman" w:hAnsi="Times New Roman" w:eastAsia="宋体" w:cs="Times New Roman"/>
                      <w:color w:val="auto"/>
                      <w:kern w:val="0"/>
                      <w:szCs w:val="21"/>
                      <w:highlight w:val="none"/>
                    </w:rPr>
                    <w:t>(</w:t>
                  </w:r>
                  <w:r>
                    <w:rPr>
                      <w:rFonts w:hint="eastAsia" w:cs="Times New Roman"/>
                      <w:color w:val="auto"/>
                      <w:kern w:val="0"/>
                      <w:szCs w:val="21"/>
                      <w:highlight w:val="none"/>
                      <w:lang w:val="en-US" w:eastAsia="zh-CN"/>
                    </w:rPr>
                    <w:t>Kcal/kg</w:t>
                  </w:r>
                  <w:r>
                    <w:rPr>
                      <w:rFonts w:hint="default" w:ascii="Times New Roman" w:hAnsi="Times New Roman" w:eastAsia="宋体" w:cs="Times New Roman"/>
                      <w:color w:val="auto"/>
                      <w:kern w:val="0"/>
                      <w:szCs w:val="21"/>
                      <w:highlight w:val="none"/>
                    </w:rPr>
                    <w:t>)</w:t>
                  </w:r>
                </w:p>
              </w:tc>
              <w:tc>
                <w:tcPr>
                  <w:tcW w:w="887" w:type="dxa"/>
                  <w:noWrap w:val="0"/>
                  <w:vAlign w:val="center"/>
                </w:tcPr>
                <w:p w14:paraId="0FB6B3BC">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Kcal/kg</w:t>
                  </w:r>
                </w:p>
              </w:tc>
              <w:tc>
                <w:tcPr>
                  <w:tcW w:w="775" w:type="dxa"/>
                  <w:noWrap w:val="0"/>
                  <w:vAlign w:val="center"/>
                </w:tcPr>
                <w:p w14:paraId="17A52F34">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3528</w:t>
                  </w:r>
                </w:p>
              </w:tc>
              <w:tc>
                <w:tcPr>
                  <w:tcW w:w="905" w:type="dxa"/>
                  <w:noWrap w:val="0"/>
                  <w:vAlign w:val="center"/>
                </w:tcPr>
                <w:p w14:paraId="360B60EE">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3069</w:t>
                  </w:r>
                </w:p>
              </w:tc>
              <w:tc>
                <w:tcPr>
                  <w:tcW w:w="2028" w:type="dxa"/>
                  <w:noWrap w:val="0"/>
                  <w:vAlign w:val="center"/>
                </w:tcPr>
                <w:p w14:paraId="3F7CBFAE">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2979</w:t>
                  </w:r>
                </w:p>
              </w:tc>
              <w:tc>
                <w:tcPr>
                  <w:tcW w:w="835" w:type="dxa"/>
                  <w:noWrap w:val="0"/>
                  <w:vAlign w:val="center"/>
                </w:tcPr>
                <w:p w14:paraId="1199BB6D">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3110</w:t>
                  </w:r>
                </w:p>
              </w:tc>
              <w:tc>
                <w:tcPr>
                  <w:tcW w:w="953" w:type="dxa"/>
                  <w:noWrap w:val="0"/>
                  <w:vAlign w:val="center"/>
                </w:tcPr>
                <w:p w14:paraId="57D562FC">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3088</w:t>
                  </w:r>
                </w:p>
              </w:tc>
            </w:tr>
            <w:tr w14:paraId="4733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87" w:type="dxa"/>
                  <w:noWrap w:val="0"/>
                  <w:vAlign w:val="center"/>
                </w:tcPr>
                <w:p w14:paraId="3C23E6DC">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eastAsia="zh-CN"/>
                    </w:rPr>
                    <w:t>收到基低位发热量</w:t>
                  </w:r>
                  <w:r>
                    <w:rPr>
                      <w:rFonts w:hint="default" w:ascii="Times New Roman" w:hAnsi="Times New Roman" w:eastAsia="宋体" w:cs="Times New Roman"/>
                      <w:color w:val="auto"/>
                      <w:kern w:val="0"/>
                      <w:szCs w:val="21"/>
                      <w:highlight w:val="none"/>
                    </w:rPr>
                    <w:t>(</w:t>
                  </w:r>
                  <w:r>
                    <w:rPr>
                      <w:rFonts w:hint="eastAsia" w:cs="Times New Roman"/>
                      <w:color w:val="auto"/>
                      <w:kern w:val="0"/>
                      <w:szCs w:val="21"/>
                      <w:highlight w:val="none"/>
                      <w:lang w:val="en-US" w:eastAsia="zh-CN"/>
                    </w:rPr>
                    <w:t>Kcal/kg</w:t>
                  </w:r>
                  <w:r>
                    <w:rPr>
                      <w:rFonts w:hint="default" w:ascii="Times New Roman" w:hAnsi="Times New Roman" w:eastAsia="宋体" w:cs="Times New Roman"/>
                      <w:color w:val="auto"/>
                      <w:kern w:val="0"/>
                      <w:szCs w:val="21"/>
                      <w:highlight w:val="none"/>
                    </w:rPr>
                    <w:t>)</w:t>
                  </w:r>
                </w:p>
              </w:tc>
              <w:tc>
                <w:tcPr>
                  <w:tcW w:w="887" w:type="dxa"/>
                  <w:noWrap w:val="0"/>
                  <w:vAlign w:val="center"/>
                </w:tcPr>
                <w:p w14:paraId="58A61FC6">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Kcal/kg</w:t>
                  </w:r>
                </w:p>
              </w:tc>
              <w:tc>
                <w:tcPr>
                  <w:tcW w:w="775" w:type="dxa"/>
                  <w:noWrap w:val="0"/>
                  <w:vAlign w:val="center"/>
                </w:tcPr>
                <w:p w14:paraId="7F376410">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1787</w:t>
                  </w:r>
                </w:p>
              </w:tc>
              <w:tc>
                <w:tcPr>
                  <w:tcW w:w="905" w:type="dxa"/>
                  <w:noWrap w:val="0"/>
                  <w:vAlign w:val="center"/>
                </w:tcPr>
                <w:p w14:paraId="5B958143">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1564</w:t>
                  </w:r>
                </w:p>
              </w:tc>
              <w:tc>
                <w:tcPr>
                  <w:tcW w:w="2028" w:type="dxa"/>
                  <w:noWrap w:val="0"/>
                  <w:vAlign w:val="center"/>
                </w:tcPr>
                <w:p w14:paraId="52AB154E">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1606</w:t>
                  </w:r>
                </w:p>
              </w:tc>
              <w:tc>
                <w:tcPr>
                  <w:tcW w:w="835" w:type="dxa"/>
                  <w:noWrap w:val="0"/>
                  <w:vAlign w:val="center"/>
                </w:tcPr>
                <w:p w14:paraId="06858670">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1719</w:t>
                  </w:r>
                </w:p>
              </w:tc>
              <w:tc>
                <w:tcPr>
                  <w:tcW w:w="953" w:type="dxa"/>
                  <w:noWrap w:val="0"/>
                  <w:vAlign w:val="center"/>
                </w:tcPr>
                <w:p w14:paraId="306C5477">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1657</w:t>
                  </w:r>
                </w:p>
              </w:tc>
            </w:tr>
            <w:tr w14:paraId="0D40C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170" w:type="dxa"/>
                  <w:gridSpan w:val="7"/>
                  <w:noWrap w:val="0"/>
                  <w:vAlign w:val="center"/>
                </w:tcPr>
                <w:p w14:paraId="03350C5C">
                  <w:pPr>
                    <w:widowControl/>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注：热量单位换算系数为：1MJ/kg（兆焦耳/千克）=239.14</w:t>
                  </w:r>
                  <w:r>
                    <w:rPr>
                      <w:rFonts w:hint="default" w:ascii="Times New Roman" w:hAnsi="Times New Roman" w:eastAsia="宋体" w:cs="Times New Roman"/>
                      <w:color w:val="auto"/>
                      <w:kern w:val="0"/>
                      <w:sz w:val="21"/>
                      <w:szCs w:val="21"/>
                      <w:highlight w:val="none"/>
                    </w:rPr>
                    <w:t>Kcal/kg</w:t>
                  </w:r>
                  <w:r>
                    <w:rPr>
                      <w:rFonts w:hint="eastAsia" w:ascii="Times New Roman" w:hAnsi="Times New Roman" w:eastAsia="宋体" w:cs="Times New Roman"/>
                      <w:color w:val="auto"/>
                      <w:kern w:val="0"/>
                      <w:sz w:val="21"/>
                      <w:szCs w:val="21"/>
                      <w:highlight w:val="none"/>
                      <w:lang w:eastAsia="zh-CN"/>
                    </w:rPr>
                    <w:t>（千卡</w:t>
                  </w:r>
                  <w:r>
                    <w:rPr>
                      <w:rFonts w:hint="eastAsia" w:ascii="Times New Roman" w:hAnsi="Times New Roman" w:eastAsia="宋体" w:cs="Times New Roman"/>
                      <w:color w:val="auto"/>
                      <w:kern w:val="0"/>
                      <w:sz w:val="21"/>
                      <w:szCs w:val="21"/>
                      <w:highlight w:val="none"/>
                      <w:lang w:val="en-US" w:eastAsia="zh-CN"/>
                    </w:rPr>
                    <w:t>/千克</w:t>
                  </w:r>
                  <w:r>
                    <w:rPr>
                      <w:rFonts w:hint="eastAsia" w:ascii="Times New Roman" w:hAnsi="Times New Roman" w:eastAsia="宋体" w:cs="Times New Roman"/>
                      <w:color w:val="auto"/>
                      <w:kern w:val="0"/>
                      <w:sz w:val="21"/>
                      <w:szCs w:val="21"/>
                      <w:highlight w:val="none"/>
                      <w:lang w:eastAsia="zh-CN"/>
                    </w:rPr>
                    <w:t>）</w:t>
                  </w:r>
                </w:p>
              </w:tc>
            </w:tr>
          </w:tbl>
          <w:p w14:paraId="3EC849A8">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cs="Times New Roman"/>
                <w:color w:val="auto"/>
                <w:sz w:val="24"/>
                <w:szCs w:val="24"/>
                <w:highlight w:val="none"/>
                <w:lang w:eastAsia="zh-CN"/>
              </w:rPr>
              <w:t>根据相关资料寻甸金所矿</w:t>
            </w:r>
            <w:r>
              <w:rPr>
                <w:rFonts w:hint="default" w:ascii="Times New Roman" w:hAnsi="Times New Roman" w:cs="Times New Roman"/>
                <w:color w:val="auto"/>
                <w:sz w:val="24"/>
                <w:szCs w:val="24"/>
                <w:highlight w:val="none"/>
                <w:lang w:val="en-US" w:eastAsia="zh-CN"/>
              </w:rPr>
              <w:t>的褐煤平均水平值A约为38.23%，S约为1.5%；</w:t>
            </w:r>
            <w:r>
              <w:rPr>
                <w:rFonts w:hint="default" w:ascii="Times New Roman" w:hAnsi="Times New Roman" w:cs="Times New Roman"/>
                <w:color w:val="auto"/>
                <w:sz w:val="24"/>
                <w:szCs w:val="24"/>
                <w:highlight w:val="none"/>
                <w:lang w:eastAsia="zh-CN"/>
              </w:rPr>
              <w:t>姚家村煤矿</w:t>
            </w:r>
            <w:r>
              <w:rPr>
                <w:rFonts w:hint="default" w:ascii="Times New Roman" w:hAnsi="Times New Roman" w:cs="Times New Roman"/>
                <w:color w:val="auto"/>
                <w:sz w:val="24"/>
                <w:szCs w:val="24"/>
                <w:highlight w:val="none"/>
                <w:lang w:val="en-US" w:eastAsia="zh-CN"/>
              </w:rPr>
              <w:t>的褐煤A约为17.44%，S约为0.4%。</w:t>
            </w:r>
          </w:p>
          <w:p w14:paraId="7CDD7AC8">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5、主要设备</w:t>
            </w:r>
          </w:p>
          <w:p w14:paraId="475E8BF1">
            <w:pPr>
              <w:adjustRightInd w:val="0"/>
              <w:snapToGrid w:val="0"/>
              <w:spacing w:line="360" w:lineRule="auto"/>
              <w:ind w:firstLine="480" w:firstLineChars="20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highlight w:val="none"/>
              </w:rPr>
              <w:t>项目主要设备详见表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w:t>
            </w:r>
          </w:p>
          <w:p w14:paraId="5A62ED9E">
            <w:pPr>
              <w:keepNext w:val="0"/>
              <w:keepLines w:val="0"/>
              <w:pageBreakBefore w:val="0"/>
              <w:widowControl w:val="0"/>
              <w:numPr>
                <w:ilvl w:val="0"/>
                <w:numId w:val="0"/>
              </w:numPr>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w:t>
            </w:r>
            <w:r>
              <w:rPr>
                <w:rFonts w:hint="eastAsia"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项目</w:t>
            </w:r>
            <w:r>
              <w:rPr>
                <w:rFonts w:hint="default" w:ascii="Times New Roman" w:hAnsi="Times New Roman" w:eastAsia="宋体" w:cs="Times New Roman"/>
                <w:b/>
                <w:color w:val="auto"/>
                <w:sz w:val="21"/>
                <w:szCs w:val="21"/>
                <w:highlight w:val="none"/>
              </w:rPr>
              <w:t>主要设备</w:t>
            </w:r>
            <w:r>
              <w:rPr>
                <w:rFonts w:hint="default" w:ascii="Times New Roman" w:hAnsi="Times New Roman" w:eastAsia="宋体" w:cs="Times New Roman"/>
                <w:b/>
                <w:color w:val="auto"/>
                <w:sz w:val="21"/>
                <w:szCs w:val="21"/>
                <w:highlight w:val="none"/>
                <w:lang w:val="en-US" w:eastAsia="zh-CN"/>
              </w:rPr>
              <w:t>一览</w:t>
            </w:r>
            <w:r>
              <w:rPr>
                <w:rFonts w:hint="default" w:ascii="Times New Roman" w:hAnsi="Times New Roman" w:eastAsia="宋体" w:cs="Times New Roman"/>
                <w:b/>
                <w:color w:val="auto"/>
                <w:sz w:val="21"/>
                <w:szCs w:val="21"/>
                <w:highlight w:val="none"/>
              </w:rPr>
              <w:t>表</w:t>
            </w:r>
          </w:p>
          <w:tbl>
            <w:tblPr>
              <w:tblStyle w:val="27"/>
              <w:tblW w:w="8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959"/>
              <w:gridCol w:w="2942"/>
              <w:gridCol w:w="809"/>
              <w:gridCol w:w="1884"/>
            </w:tblGrid>
            <w:tr w14:paraId="47C4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6046011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959" w:type="dxa"/>
                  <w:vAlign w:val="center"/>
                </w:tcPr>
                <w:p w14:paraId="7187B81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设备名称</w:t>
                  </w:r>
                </w:p>
              </w:tc>
              <w:tc>
                <w:tcPr>
                  <w:tcW w:w="2942" w:type="dxa"/>
                  <w:vAlign w:val="center"/>
                </w:tcPr>
                <w:p w14:paraId="1093F9A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型号</w:t>
                  </w:r>
                </w:p>
              </w:tc>
              <w:tc>
                <w:tcPr>
                  <w:tcW w:w="809" w:type="dxa"/>
                  <w:vAlign w:val="center"/>
                </w:tcPr>
                <w:p w14:paraId="1EB500F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数量</w:t>
                  </w:r>
                </w:p>
              </w:tc>
              <w:tc>
                <w:tcPr>
                  <w:tcW w:w="1884" w:type="dxa"/>
                  <w:vAlign w:val="center"/>
                </w:tcPr>
                <w:p w14:paraId="1ACD7FAF">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7E9E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82" w:type="dxa"/>
                  <w:vAlign w:val="center"/>
                </w:tcPr>
                <w:p w14:paraId="16C567A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959" w:type="dxa"/>
                  <w:vAlign w:val="center"/>
                </w:tcPr>
                <w:p w14:paraId="633ACB1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板式喂料机</w:t>
                  </w:r>
                </w:p>
              </w:tc>
              <w:tc>
                <w:tcPr>
                  <w:tcW w:w="2942" w:type="dxa"/>
                  <w:vAlign w:val="center"/>
                </w:tcPr>
                <w:p w14:paraId="193C6AED">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型号：B1400x8190mm</w:t>
                  </w:r>
                </w:p>
              </w:tc>
              <w:tc>
                <w:tcPr>
                  <w:tcW w:w="809" w:type="dxa"/>
                  <w:vAlign w:val="center"/>
                </w:tcPr>
                <w:p w14:paraId="4E761E5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84" w:type="dxa"/>
                  <w:vAlign w:val="center"/>
                </w:tcPr>
                <w:p w14:paraId="48F8F38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原煤卸车</w:t>
                  </w:r>
                </w:p>
              </w:tc>
            </w:tr>
            <w:tr w14:paraId="7BC6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630B02B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959" w:type="dxa"/>
                  <w:vAlign w:val="center"/>
                </w:tcPr>
                <w:p w14:paraId="649D60BD">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胶带输送机</w:t>
                  </w:r>
                </w:p>
              </w:tc>
              <w:tc>
                <w:tcPr>
                  <w:tcW w:w="2942" w:type="dxa"/>
                  <w:vAlign w:val="center"/>
                </w:tcPr>
                <w:p w14:paraId="3ACFBF85">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型号：B1200x123296mm</w:t>
                  </w:r>
                </w:p>
              </w:tc>
              <w:tc>
                <w:tcPr>
                  <w:tcW w:w="809" w:type="dxa"/>
                  <w:vAlign w:val="center"/>
                </w:tcPr>
                <w:p w14:paraId="4A94659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84" w:type="dxa"/>
                  <w:vAlign w:val="center"/>
                </w:tcPr>
                <w:p w14:paraId="08C7BDF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原煤卸车</w:t>
                  </w:r>
                </w:p>
              </w:tc>
            </w:tr>
            <w:tr w14:paraId="02E5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568EECB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959" w:type="dxa"/>
                </w:tcPr>
                <w:p w14:paraId="7C0D6DBF">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双齿辊式破碎机</w:t>
                  </w:r>
                </w:p>
              </w:tc>
              <w:tc>
                <w:tcPr>
                  <w:tcW w:w="2942" w:type="dxa"/>
                  <w:vAlign w:val="top"/>
                </w:tcPr>
                <w:p w14:paraId="78F02EC0">
                  <w:pPr>
                    <w:tabs>
                      <w:tab w:val="left" w:pos="420"/>
                    </w:tabs>
                    <w:adjustRightInd w:val="0"/>
                    <w:snapToGrid w:val="0"/>
                    <w:spacing w:line="360" w:lineRule="auto"/>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color w:val="auto"/>
                      <w:szCs w:val="21"/>
                      <w:highlight w:val="none"/>
                    </w:rPr>
                    <w:t>型号：LPG14.16</w:t>
                  </w:r>
                </w:p>
              </w:tc>
              <w:tc>
                <w:tcPr>
                  <w:tcW w:w="809" w:type="dxa"/>
                </w:tcPr>
                <w:p w14:paraId="1EC8AC7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84" w:type="dxa"/>
                </w:tcPr>
                <w:p w14:paraId="70AD33F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破碎工段</w:t>
                  </w:r>
                </w:p>
              </w:tc>
            </w:tr>
            <w:tr w14:paraId="5780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3FD69D1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959" w:type="dxa"/>
                </w:tcPr>
                <w:p w14:paraId="7B70D53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侧式悬臂堆料机</w:t>
                  </w:r>
                </w:p>
              </w:tc>
              <w:tc>
                <w:tcPr>
                  <w:tcW w:w="2942" w:type="dxa"/>
                  <w:vAlign w:val="top"/>
                </w:tcPr>
                <w:p w14:paraId="73C4ABD0">
                  <w:pPr>
                    <w:keepNext w:val="0"/>
                    <w:keepLines w:val="0"/>
                    <w:pageBreakBefore w:val="0"/>
                    <w:widowControl w:val="0"/>
                    <w:tabs>
                      <w:tab w:val="left" w:pos="420"/>
                    </w:tabs>
                    <w:kinsoku/>
                    <w:wordWrap/>
                    <w:overflowPunct/>
                    <w:topLinePunct w:val="0"/>
                    <w:bidi w:val="0"/>
                    <w:adjustRightInd w:val="0"/>
                    <w:snapToGrid w:val="0"/>
                    <w:spacing w:line="36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DCX400/18.5</w:t>
                  </w:r>
                </w:p>
              </w:tc>
              <w:tc>
                <w:tcPr>
                  <w:tcW w:w="809" w:type="dxa"/>
                </w:tcPr>
                <w:p w14:paraId="4BA93D9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84" w:type="dxa"/>
                </w:tcPr>
                <w:p w14:paraId="755F201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预均化堆场</w:t>
                  </w:r>
                </w:p>
              </w:tc>
            </w:tr>
            <w:tr w14:paraId="7E53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496C93F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959" w:type="dxa"/>
                </w:tcPr>
                <w:p w14:paraId="295A49D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桥式刮板取料机</w:t>
                  </w:r>
                </w:p>
              </w:tc>
              <w:tc>
                <w:tcPr>
                  <w:tcW w:w="2942" w:type="dxa"/>
                  <w:vAlign w:val="top"/>
                </w:tcPr>
                <w:p w14:paraId="007E04A5">
                  <w:pPr>
                    <w:keepNext w:val="0"/>
                    <w:keepLines w:val="0"/>
                    <w:pageBreakBefore w:val="0"/>
                    <w:widowControl w:val="0"/>
                    <w:tabs>
                      <w:tab w:val="left" w:pos="420"/>
                    </w:tabs>
                    <w:kinsoku/>
                    <w:wordWrap/>
                    <w:overflowPunct/>
                    <w:topLinePunct w:val="0"/>
                    <w:bidi w:val="0"/>
                    <w:adjustRightInd w:val="0"/>
                    <w:snapToGrid w:val="0"/>
                    <w:spacing w:line="36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QQG300/29.5</w:t>
                  </w:r>
                </w:p>
              </w:tc>
              <w:tc>
                <w:tcPr>
                  <w:tcW w:w="809" w:type="dxa"/>
                </w:tcPr>
                <w:p w14:paraId="2DDD6FC5">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84" w:type="dxa"/>
                </w:tcPr>
                <w:p w14:paraId="005B413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预均化堆场</w:t>
                  </w:r>
                </w:p>
              </w:tc>
            </w:tr>
            <w:tr w14:paraId="543D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6118B58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959" w:type="dxa"/>
                  <w:vAlign w:val="center"/>
                </w:tcPr>
                <w:p w14:paraId="6DFAD1DD">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胶带输送机</w:t>
                  </w:r>
                </w:p>
              </w:tc>
              <w:tc>
                <w:tcPr>
                  <w:tcW w:w="2942" w:type="dxa"/>
                  <w:vAlign w:val="center"/>
                </w:tcPr>
                <w:p w14:paraId="4F9BEEA3">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型号：B1000x167290mm</w:t>
                  </w:r>
                </w:p>
              </w:tc>
              <w:tc>
                <w:tcPr>
                  <w:tcW w:w="809" w:type="dxa"/>
                  <w:vAlign w:val="center"/>
                </w:tcPr>
                <w:p w14:paraId="6B65801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84" w:type="dxa"/>
                </w:tcPr>
                <w:p w14:paraId="551C880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预均化堆场</w:t>
                  </w:r>
                </w:p>
              </w:tc>
            </w:tr>
            <w:tr w14:paraId="5EC0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439A8C6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959" w:type="dxa"/>
                  <w:vAlign w:val="center"/>
                </w:tcPr>
                <w:p w14:paraId="3C894FC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胶带输送机</w:t>
                  </w:r>
                </w:p>
              </w:tc>
              <w:tc>
                <w:tcPr>
                  <w:tcW w:w="2942" w:type="dxa"/>
                  <w:vAlign w:val="center"/>
                </w:tcPr>
                <w:p w14:paraId="3146247F">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型号：B1000x159497mm</w:t>
                  </w:r>
                </w:p>
              </w:tc>
              <w:tc>
                <w:tcPr>
                  <w:tcW w:w="809" w:type="dxa"/>
                  <w:vAlign w:val="center"/>
                </w:tcPr>
                <w:p w14:paraId="70B051F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84" w:type="dxa"/>
                </w:tcPr>
                <w:p w14:paraId="2184C1D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预均化堆场</w:t>
                  </w:r>
                </w:p>
              </w:tc>
            </w:tr>
            <w:tr w14:paraId="0F4A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09CF02F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959" w:type="dxa"/>
                  <w:vAlign w:val="center"/>
                </w:tcPr>
                <w:p w14:paraId="252C291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胶带输送机</w:t>
                  </w:r>
                </w:p>
              </w:tc>
              <w:tc>
                <w:tcPr>
                  <w:tcW w:w="2942" w:type="dxa"/>
                  <w:vAlign w:val="center"/>
                </w:tcPr>
                <w:p w14:paraId="46209A43">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型号：B1000x108828mm</w:t>
                  </w:r>
                </w:p>
              </w:tc>
              <w:tc>
                <w:tcPr>
                  <w:tcW w:w="809" w:type="dxa"/>
                  <w:vAlign w:val="center"/>
                </w:tcPr>
                <w:p w14:paraId="55D3680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84" w:type="dxa"/>
                </w:tcPr>
                <w:p w14:paraId="17958C0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预均化堆场</w:t>
                  </w:r>
                </w:p>
              </w:tc>
            </w:tr>
            <w:tr w14:paraId="7436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34440409">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1959" w:type="dxa"/>
                  <w:vAlign w:val="center"/>
                </w:tcPr>
                <w:p w14:paraId="2664026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胶带输送机</w:t>
                  </w:r>
                </w:p>
              </w:tc>
              <w:tc>
                <w:tcPr>
                  <w:tcW w:w="2942" w:type="dxa"/>
                  <w:vAlign w:val="center"/>
                </w:tcPr>
                <w:p w14:paraId="17FA78C7">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型号：B800x8950mm</w:t>
                  </w:r>
                </w:p>
              </w:tc>
              <w:tc>
                <w:tcPr>
                  <w:tcW w:w="809" w:type="dxa"/>
                  <w:vAlign w:val="center"/>
                </w:tcPr>
                <w:p w14:paraId="4F3EC6A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w:t>
                  </w:r>
                </w:p>
              </w:tc>
              <w:tc>
                <w:tcPr>
                  <w:tcW w:w="1884" w:type="dxa"/>
                </w:tcPr>
                <w:p w14:paraId="523B44F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烘干工段</w:t>
                  </w:r>
                </w:p>
              </w:tc>
            </w:tr>
            <w:tr w14:paraId="06DB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0D57703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959" w:type="dxa"/>
                  <w:vAlign w:val="center"/>
                </w:tcPr>
                <w:p w14:paraId="38E63077">
                  <w:pPr>
                    <w:tabs>
                      <w:tab w:val="left" w:pos="420"/>
                    </w:tabs>
                    <w:adjustRightInd w:val="0"/>
                    <w:snapToGrid w:val="0"/>
                    <w:spacing w:line="360" w:lineRule="auto"/>
                    <w:jc w:val="center"/>
                    <w:rPr>
                      <w:rFonts w:hint="default" w:ascii="Times New Roman" w:hAnsi="Times New Roman"/>
                      <w:color w:val="auto"/>
                      <w:szCs w:val="21"/>
                      <w:highlight w:val="none"/>
                    </w:rPr>
                  </w:pPr>
                  <w:r>
                    <w:rPr>
                      <w:rFonts w:ascii="Times New Roman" w:hAnsi="Times New Roman"/>
                      <w:color w:val="auto"/>
                      <w:szCs w:val="21"/>
                      <w:highlight w:val="none"/>
                    </w:rPr>
                    <w:t>胶带输送机</w:t>
                  </w:r>
                </w:p>
              </w:tc>
              <w:tc>
                <w:tcPr>
                  <w:tcW w:w="2942" w:type="dxa"/>
                  <w:vAlign w:val="center"/>
                </w:tcPr>
                <w:p w14:paraId="16CE77E2">
                  <w:pPr>
                    <w:tabs>
                      <w:tab w:val="left" w:pos="420"/>
                    </w:tabs>
                    <w:adjustRightInd w:val="0"/>
                    <w:snapToGrid w:val="0"/>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型号：B1000x44950mm</w:t>
                  </w:r>
                </w:p>
              </w:tc>
              <w:tc>
                <w:tcPr>
                  <w:tcW w:w="809" w:type="dxa"/>
                  <w:vAlign w:val="center"/>
                </w:tcPr>
                <w:p w14:paraId="47014FF8">
                  <w:pPr>
                    <w:tabs>
                      <w:tab w:val="left" w:pos="420"/>
                    </w:tabs>
                    <w:adjustRightInd w:val="0"/>
                    <w:snapToGrid w:val="0"/>
                    <w:spacing w:line="360" w:lineRule="auto"/>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rPr>
                    <w:t>1</w:t>
                  </w:r>
                </w:p>
              </w:tc>
              <w:tc>
                <w:tcPr>
                  <w:tcW w:w="1884" w:type="dxa"/>
                  <w:vAlign w:val="top"/>
                </w:tcPr>
                <w:p w14:paraId="39793A34">
                  <w:pPr>
                    <w:tabs>
                      <w:tab w:val="left" w:pos="420"/>
                    </w:tabs>
                    <w:adjustRightInd w:val="0"/>
                    <w:snapToGrid w:val="0"/>
                    <w:spacing w:line="360" w:lineRule="auto"/>
                    <w:jc w:val="center"/>
                    <w:rPr>
                      <w:rFonts w:hint="default" w:ascii="Times New Roman" w:hAnsi="Times New Roman"/>
                      <w:color w:val="auto"/>
                      <w:szCs w:val="21"/>
                      <w:highlight w:val="none"/>
                    </w:rPr>
                  </w:pPr>
                  <w:r>
                    <w:rPr>
                      <w:rFonts w:ascii="Times New Roman" w:hAnsi="Times New Roman"/>
                      <w:color w:val="auto"/>
                      <w:szCs w:val="21"/>
                      <w:highlight w:val="none"/>
                    </w:rPr>
                    <w:t>烘干工段</w:t>
                  </w:r>
                </w:p>
              </w:tc>
            </w:tr>
            <w:tr w14:paraId="7AFE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2ED1AAE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1959" w:type="dxa"/>
                  <w:vAlign w:val="center"/>
                </w:tcPr>
                <w:p w14:paraId="2764209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定量给料机</w:t>
                  </w:r>
                </w:p>
              </w:tc>
              <w:tc>
                <w:tcPr>
                  <w:tcW w:w="2942" w:type="dxa"/>
                  <w:vAlign w:val="center"/>
                </w:tcPr>
                <w:p w14:paraId="692F87C0">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B1200X2880mm</w:t>
                  </w:r>
                </w:p>
              </w:tc>
              <w:tc>
                <w:tcPr>
                  <w:tcW w:w="809" w:type="dxa"/>
                  <w:vAlign w:val="center"/>
                </w:tcPr>
                <w:p w14:paraId="09FCAB41">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884" w:type="dxa"/>
                  <w:vAlign w:val="center"/>
                </w:tcPr>
                <w:p w14:paraId="2293EE3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烘干工段</w:t>
                  </w:r>
                </w:p>
              </w:tc>
            </w:tr>
            <w:tr w14:paraId="5BD4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38033DF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eastAsia" w:cs="Times New Roman"/>
                      <w:color w:val="auto"/>
                      <w:sz w:val="21"/>
                      <w:szCs w:val="21"/>
                      <w:highlight w:val="none"/>
                      <w:lang w:val="en-US" w:eastAsia="zh-CN"/>
                    </w:rPr>
                    <w:t>2</w:t>
                  </w:r>
                </w:p>
              </w:tc>
              <w:tc>
                <w:tcPr>
                  <w:tcW w:w="1959" w:type="dxa"/>
                </w:tcPr>
                <w:p w14:paraId="1BBD3A89">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篦式烘干机</w:t>
                  </w:r>
                </w:p>
              </w:tc>
              <w:tc>
                <w:tcPr>
                  <w:tcW w:w="2942" w:type="dxa"/>
                  <w:vAlign w:val="center"/>
                </w:tcPr>
                <w:p w14:paraId="5BEA0562">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SCLW4-10X8+10X8-HH</w:t>
                  </w:r>
                </w:p>
              </w:tc>
              <w:tc>
                <w:tcPr>
                  <w:tcW w:w="809" w:type="dxa"/>
                  <w:vAlign w:val="center"/>
                </w:tcPr>
                <w:p w14:paraId="75242270">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84" w:type="dxa"/>
                  <w:vAlign w:val="center"/>
                </w:tcPr>
                <w:p w14:paraId="4E68A5F9">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烘干工段</w:t>
                  </w:r>
                </w:p>
              </w:tc>
            </w:tr>
            <w:tr w14:paraId="3928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6133DCD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13</w:t>
                  </w:r>
                </w:p>
              </w:tc>
              <w:tc>
                <w:tcPr>
                  <w:tcW w:w="1959" w:type="dxa"/>
                </w:tcPr>
                <w:p w14:paraId="70639A1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烘干排风机</w:t>
                  </w:r>
                </w:p>
              </w:tc>
              <w:tc>
                <w:tcPr>
                  <w:tcW w:w="2942" w:type="dxa"/>
                  <w:vAlign w:val="center"/>
                </w:tcPr>
                <w:p w14:paraId="389D1306">
                  <w:pPr>
                    <w:keepNext w:val="0"/>
                    <w:keepLines w:val="0"/>
                    <w:pageBreakBefore w:val="0"/>
                    <w:widowControl w:val="0"/>
                    <w:tabs>
                      <w:tab w:val="left" w:pos="420"/>
                    </w:tabs>
                    <w:kinsoku/>
                    <w:wordWrap/>
                    <w:overflowPunct/>
                    <w:topLinePunct w:val="0"/>
                    <w:bidi w:val="0"/>
                    <w:adjustRightInd w:val="0"/>
                    <w:snapToGrid w:val="0"/>
                    <w:spacing w:line="36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W</w:t>
                  </w:r>
                  <w:r>
                    <w:rPr>
                      <w:rFonts w:hint="default" w:ascii="Times New Roman" w:hAnsi="Times New Roman" w:eastAsia="宋体" w:cs="Times New Roman"/>
                      <w:color w:val="auto"/>
                      <w:sz w:val="21"/>
                      <w:szCs w:val="21"/>
                      <w:highlight w:val="none"/>
                    </w:rPr>
                    <w:t>YGX2HG1317-1679F</w:t>
                  </w:r>
                </w:p>
              </w:tc>
              <w:tc>
                <w:tcPr>
                  <w:tcW w:w="809" w:type="dxa"/>
                  <w:vAlign w:val="center"/>
                </w:tcPr>
                <w:p w14:paraId="5028F61F">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84" w:type="dxa"/>
                  <w:vAlign w:val="center"/>
                </w:tcPr>
                <w:p w14:paraId="08083A61">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烘干工段</w:t>
                  </w:r>
                </w:p>
              </w:tc>
            </w:tr>
            <w:tr w14:paraId="4B4B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133AE81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1959" w:type="dxa"/>
                </w:tcPr>
                <w:p w14:paraId="5F508C0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F1烘干风机</w:t>
                  </w:r>
                </w:p>
              </w:tc>
              <w:tc>
                <w:tcPr>
                  <w:tcW w:w="2942" w:type="dxa"/>
                  <w:vAlign w:val="center"/>
                </w:tcPr>
                <w:p w14:paraId="793A5A03">
                  <w:pPr>
                    <w:keepNext w:val="0"/>
                    <w:keepLines w:val="0"/>
                    <w:pageBreakBefore w:val="0"/>
                    <w:widowControl w:val="0"/>
                    <w:tabs>
                      <w:tab w:val="left" w:pos="420"/>
                    </w:tabs>
                    <w:kinsoku/>
                    <w:wordWrap/>
                    <w:overflowPunct/>
                    <w:topLinePunct w:val="0"/>
                    <w:bidi w:val="0"/>
                    <w:adjustRightInd w:val="0"/>
                    <w:snapToGrid w:val="0"/>
                    <w:spacing w:line="36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W</w:t>
                  </w:r>
                  <w:r>
                    <w:rPr>
                      <w:rFonts w:hint="default" w:ascii="Times New Roman" w:hAnsi="Times New Roman" w:eastAsia="宋体" w:cs="Times New Roman"/>
                      <w:color w:val="auto"/>
                      <w:sz w:val="21"/>
                      <w:szCs w:val="21"/>
                      <w:highlight w:val="none"/>
                    </w:rPr>
                    <w:t>YGXHG523-1119D</w:t>
                  </w:r>
                </w:p>
              </w:tc>
              <w:tc>
                <w:tcPr>
                  <w:tcW w:w="809" w:type="dxa"/>
                  <w:vAlign w:val="center"/>
                </w:tcPr>
                <w:p w14:paraId="28133CA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84" w:type="dxa"/>
                  <w:vAlign w:val="center"/>
                </w:tcPr>
                <w:p w14:paraId="03DF7EA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烘干工段</w:t>
                  </w:r>
                </w:p>
              </w:tc>
            </w:tr>
            <w:tr w14:paraId="29BE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63DFB835">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959" w:type="dxa"/>
                </w:tcPr>
                <w:p w14:paraId="24D58A0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F2~F5烘干风机</w:t>
                  </w:r>
                </w:p>
              </w:tc>
              <w:tc>
                <w:tcPr>
                  <w:tcW w:w="2942" w:type="dxa"/>
                  <w:vAlign w:val="center"/>
                </w:tcPr>
                <w:p w14:paraId="5C0FD150">
                  <w:pPr>
                    <w:keepNext w:val="0"/>
                    <w:keepLines w:val="0"/>
                    <w:pageBreakBefore w:val="0"/>
                    <w:widowControl w:val="0"/>
                    <w:tabs>
                      <w:tab w:val="left" w:pos="420"/>
                    </w:tabs>
                    <w:kinsoku/>
                    <w:wordWrap/>
                    <w:overflowPunct/>
                    <w:topLinePunct w:val="0"/>
                    <w:bidi w:val="0"/>
                    <w:adjustRightInd w:val="0"/>
                    <w:snapToGrid w:val="0"/>
                    <w:spacing w:line="36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W</w:t>
                  </w:r>
                  <w:r>
                    <w:rPr>
                      <w:rFonts w:hint="default" w:ascii="Times New Roman" w:hAnsi="Times New Roman" w:eastAsia="宋体" w:cs="Times New Roman"/>
                      <w:color w:val="auto"/>
                      <w:sz w:val="21"/>
                      <w:szCs w:val="21"/>
                      <w:highlight w:val="none"/>
                    </w:rPr>
                    <w:t>YGXHG523-1193D</w:t>
                  </w:r>
                </w:p>
              </w:tc>
              <w:tc>
                <w:tcPr>
                  <w:tcW w:w="809" w:type="dxa"/>
                  <w:vAlign w:val="center"/>
                </w:tcPr>
                <w:p w14:paraId="10A8D85F">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884" w:type="dxa"/>
                </w:tcPr>
                <w:p w14:paraId="28AACA6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烘干工段</w:t>
                  </w:r>
                </w:p>
              </w:tc>
            </w:tr>
            <w:tr w14:paraId="0A14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6802CB7D">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eastAsia" w:cs="Times New Roman"/>
                      <w:color w:val="auto"/>
                      <w:sz w:val="21"/>
                      <w:szCs w:val="21"/>
                      <w:highlight w:val="none"/>
                      <w:lang w:val="en-US" w:eastAsia="zh-CN"/>
                    </w:rPr>
                    <w:t>6</w:t>
                  </w:r>
                </w:p>
              </w:tc>
              <w:tc>
                <w:tcPr>
                  <w:tcW w:w="1959" w:type="dxa"/>
                </w:tcPr>
                <w:p w14:paraId="6AC5420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F6~F9烘干风机</w:t>
                  </w:r>
                </w:p>
              </w:tc>
              <w:tc>
                <w:tcPr>
                  <w:tcW w:w="2942" w:type="dxa"/>
                  <w:vAlign w:val="center"/>
                </w:tcPr>
                <w:p w14:paraId="352C9055">
                  <w:pPr>
                    <w:keepNext w:val="0"/>
                    <w:keepLines w:val="0"/>
                    <w:pageBreakBefore w:val="0"/>
                    <w:widowControl w:val="0"/>
                    <w:tabs>
                      <w:tab w:val="left" w:pos="420"/>
                    </w:tabs>
                    <w:kinsoku/>
                    <w:wordWrap/>
                    <w:overflowPunct/>
                    <w:topLinePunct w:val="0"/>
                    <w:bidi w:val="0"/>
                    <w:adjustRightInd w:val="0"/>
                    <w:snapToGrid w:val="0"/>
                    <w:spacing w:line="36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W</w:t>
                  </w:r>
                  <w:r>
                    <w:rPr>
                      <w:rFonts w:hint="default" w:ascii="Times New Roman" w:hAnsi="Times New Roman" w:eastAsia="宋体" w:cs="Times New Roman"/>
                      <w:color w:val="auto"/>
                      <w:sz w:val="21"/>
                      <w:szCs w:val="21"/>
                      <w:highlight w:val="none"/>
                    </w:rPr>
                    <w:t>YGXHG523-1167D</w:t>
                  </w:r>
                </w:p>
              </w:tc>
              <w:tc>
                <w:tcPr>
                  <w:tcW w:w="809" w:type="dxa"/>
                  <w:vAlign w:val="center"/>
                </w:tcPr>
                <w:p w14:paraId="3FDC0BA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884" w:type="dxa"/>
                </w:tcPr>
                <w:p w14:paraId="6E0E45D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烘干工段</w:t>
                  </w:r>
                </w:p>
              </w:tc>
            </w:tr>
            <w:tr w14:paraId="04FB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780D3080">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1959" w:type="dxa"/>
                  <w:vAlign w:val="top"/>
                </w:tcPr>
                <w:p w14:paraId="06158647">
                  <w:pPr>
                    <w:autoSpaceDE w:val="0"/>
                    <w:autoSpaceDN w:val="0"/>
                    <w:adjustRightInd w:val="0"/>
                    <w:snapToGrid w:val="0"/>
                    <w:spacing w:line="360" w:lineRule="auto"/>
                    <w:jc w:val="both"/>
                    <w:rPr>
                      <w:rFonts w:hint="eastAsia" w:ascii="Times New Roman" w:hAnsi="Times New Roman" w:eastAsia="宋体" w:cs="Times New Roman"/>
                      <w:color w:val="auto"/>
                      <w:sz w:val="21"/>
                      <w:szCs w:val="21"/>
                      <w:highlight w:val="none"/>
                      <w:lang w:eastAsia="zh-CN"/>
                    </w:rPr>
                  </w:pPr>
                  <w:r>
                    <w:rPr>
                      <w:rFonts w:hint="eastAsia" w:ascii="Times New Roman" w:hAnsi="Times New Roman"/>
                      <w:color w:val="auto"/>
                      <w:szCs w:val="21"/>
                      <w:highlight w:val="none"/>
                    </w:rPr>
                    <w:t>平衡风机</w:t>
                  </w:r>
                  <w:r>
                    <w:rPr>
                      <w:rFonts w:hint="eastAsia"/>
                      <w:color w:val="auto"/>
                      <w:szCs w:val="21"/>
                      <w:highlight w:val="none"/>
                      <w:lang w:eastAsia="zh-CN"/>
                    </w:rPr>
                    <w:t>（</w:t>
                  </w:r>
                  <w:r>
                    <w:rPr>
                      <w:rFonts w:hint="eastAsia" w:ascii="Times New Roman" w:hAnsi="Times New Roman"/>
                      <w:color w:val="auto"/>
                      <w:szCs w:val="21"/>
                      <w:highlight w:val="none"/>
                    </w:rPr>
                    <w:t>EP1风机</w:t>
                  </w:r>
                  <w:r>
                    <w:rPr>
                      <w:rFonts w:hint="eastAsia"/>
                      <w:color w:val="auto"/>
                      <w:szCs w:val="21"/>
                      <w:highlight w:val="none"/>
                      <w:lang w:eastAsia="zh-CN"/>
                    </w:rPr>
                    <w:t>）</w:t>
                  </w:r>
                </w:p>
              </w:tc>
              <w:tc>
                <w:tcPr>
                  <w:tcW w:w="2942" w:type="dxa"/>
                  <w:vAlign w:val="center"/>
                </w:tcPr>
                <w:p w14:paraId="7D1232EA">
                  <w:pPr>
                    <w:tabs>
                      <w:tab w:val="left" w:pos="420"/>
                    </w:tabs>
                    <w:adjustRightInd w:val="0"/>
                    <w:snapToGrid w:val="0"/>
                    <w:spacing w:line="360" w:lineRule="auto"/>
                    <w:jc w:val="center"/>
                    <w:rPr>
                      <w:rFonts w:hint="eastAsia" w:ascii="Times New Roman" w:hAnsi="Times New Roman" w:eastAsia="宋体" w:cs="Times New Roman"/>
                      <w:color w:val="auto"/>
                      <w:sz w:val="21"/>
                      <w:szCs w:val="21"/>
                      <w:highlight w:val="none"/>
                    </w:rPr>
                  </w:pPr>
                  <w:r>
                    <w:rPr>
                      <w:rFonts w:ascii="Times New Roman" w:hAnsi="Times New Roman"/>
                      <w:color w:val="auto"/>
                      <w:szCs w:val="21"/>
                      <w:highlight w:val="none"/>
                    </w:rPr>
                    <w:t>WYGXBLF433-366A</w:t>
                  </w:r>
                </w:p>
              </w:tc>
              <w:tc>
                <w:tcPr>
                  <w:tcW w:w="809" w:type="dxa"/>
                  <w:vAlign w:val="center"/>
                </w:tcPr>
                <w:p w14:paraId="5F175C10">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szCs w:val="21"/>
                      <w:highlight w:val="none"/>
                    </w:rPr>
                    <w:t>1</w:t>
                  </w:r>
                </w:p>
              </w:tc>
              <w:tc>
                <w:tcPr>
                  <w:tcW w:w="1884" w:type="dxa"/>
                </w:tcPr>
                <w:p w14:paraId="7757C37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烘干工段</w:t>
                  </w:r>
                </w:p>
              </w:tc>
            </w:tr>
            <w:tr w14:paraId="3055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4A05260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959" w:type="dxa"/>
                  <w:vAlign w:val="top"/>
                </w:tcPr>
                <w:p w14:paraId="39EF5672">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szCs w:val="21"/>
                      <w:highlight w:val="none"/>
                    </w:rPr>
                    <w:t>平衡风机(EP2风机)</w:t>
                  </w:r>
                </w:p>
              </w:tc>
              <w:tc>
                <w:tcPr>
                  <w:tcW w:w="2942" w:type="dxa"/>
                  <w:vAlign w:val="center"/>
                </w:tcPr>
                <w:p w14:paraId="6C753892">
                  <w:pPr>
                    <w:tabs>
                      <w:tab w:val="left" w:pos="420"/>
                    </w:tabs>
                    <w:adjustRightInd w:val="0"/>
                    <w:snapToGrid w:val="0"/>
                    <w:spacing w:line="360" w:lineRule="auto"/>
                    <w:jc w:val="center"/>
                    <w:rPr>
                      <w:rFonts w:hint="eastAsia" w:ascii="Times New Roman" w:hAnsi="Times New Roman" w:eastAsia="宋体" w:cs="Times New Roman"/>
                      <w:color w:val="auto"/>
                      <w:sz w:val="21"/>
                      <w:szCs w:val="21"/>
                      <w:highlight w:val="none"/>
                    </w:rPr>
                  </w:pPr>
                  <w:r>
                    <w:rPr>
                      <w:rFonts w:ascii="Times New Roman" w:hAnsi="Times New Roman"/>
                      <w:color w:val="auto"/>
                      <w:szCs w:val="21"/>
                      <w:highlight w:val="none"/>
                    </w:rPr>
                    <w:t>WYGXBLF433-366A</w:t>
                  </w:r>
                </w:p>
              </w:tc>
              <w:tc>
                <w:tcPr>
                  <w:tcW w:w="809" w:type="dxa"/>
                  <w:vAlign w:val="center"/>
                </w:tcPr>
                <w:p w14:paraId="4343AFE6">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szCs w:val="21"/>
                      <w:highlight w:val="none"/>
                    </w:rPr>
                    <w:t>1</w:t>
                  </w:r>
                </w:p>
              </w:tc>
              <w:tc>
                <w:tcPr>
                  <w:tcW w:w="1884" w:type="dxa"/>
                </w:tcPr>
                <w:p w14:paraId="1C42633F">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烘干工段</w:t>
                  </w:r>
                </w:p>
              </w:tc>
            </w:tr>
            <w:tr w14:paraId="0E91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45940FB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Fonts w:hint="eastAsia" w:cs="Times New Roman"/>
                      <w:color w:val="auto"/>
                      <w:sz w:val="21"/>
                      <w:szCs w:val="21"/>
                      <w:highlight w:val="none"/>
                      <w:lang w:val="en-US" w:eastAsia="zh-CN"/>
                    </w:rPr>
                    <w:t>9</w:t>
                  </w:r>
                </w:p>
              </w:tc>
              <w:tc>
                <w:tcPr>
                  <w:tcW w:w="1959" w:type="dxa"/>
                </w:tcPr>
                <w:p w14:paraId="6E6959AD">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热风炉</w:t>
                  </w:r>
                </w:p>
              </w:tc>
              <w:tc>
                <w:tcPr>
                  <w:tcW w:w="2942" w:type="dxa"/>
                  <w:vAlign w:val="center"/>
                </w:tcPr>
                <w:p w14:paraId="2F083DAD">
                  <w:pPr>
                    <w:keepNext w:val="0"/>
                    <w:keepLines w:val="0"/>
                    <w:pageBreakBefore w:val="0"/>
                    <w:widowControl w:val="0"/>
                    <w:tabs>
                      <w:tab w:val="left" w:pos="420"/>
                    </w:tabs>
                    <w:kinsoku/>
                    <w:wordWrap/>
                    <w:overflowPunct/>
                    <w:topLinePunct w:val="0"/>
                    <w:bidi w:val="0"/>
                    <w:adjustRightInd w:val="0"/>
                    <w:snapToGrid w:val="0"/>
                    <w:spacing w:line="36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rPr>
                    <w:t>R-5300HM</w:t>
                  </w:r>
                </w:p>
              </w:tc>
              <w:tc>
                <w:tcPr>
                  <w:tcW w:w="809" w:type="dxa"/>
                  <w:vAlign w:val="center"/>
                </w:tcPr>
                <w:p w14:paraId="0044BF11">
                  <w:pPr>
                    <w:keepNext w:val="0"/>
                    <w:keepLines w:val="0"/>
                    <w:pageBreakBefore w:val="0"/>
                    <w:widowControl w:val="0"/>
                    <w:tabs>
                      <w:tab w:val="left" w:pos="420"/>
                    </w:tabs>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84" w:type="dxa"/>
                </w:tcPr>
                <w:p w14:paraId="4045F08F">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烘干工段</w:t>
                  </w:r>
                </w:p>
              </w:tc>
            </w:tr>
            <w:tr w14:paraId="6B33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2" w:type="dxa"/>
                  <w:vAlign w:val="center"/>
                </w:tcPr>
                <w:p w14:paraId="34F0167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959" w:type="dxa"/>
                  <w:vAlign w:val="center"/>
                </w:tcPr>
                <w:p w14:paraId="750F5641">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胶带输送机</w:t>
                  </w:r>
                </w:p>
              </w:tc>
              <w:tc>
                <w:tcPr>
                  <w:tcW w:w="2942" w:type="dxa"/>
                  <w:vAlign w:val="center"/>
                </w:tcPr>
                <w:p w14:paraId="5A8F4473">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B800x43896mm</w:t>
                  </w:r>
                </w:p>
              </w:tc>
              <w:tc>
                <w:tcPr>
                  <w:tcW w:w="809" w:type="dxa"/>
                  <w:vAlign w:val="center"/>
                </w:tcPr>
                <w:p w14:paraId="3F7AEA15">
                  <w:pPr>
                    <w:autoSpaceDE w:val="0"/>
                    <w:autoSpaceDN w:val="0"/>
                    <w:adjustRightInd w:val="0"/>
                    <w:snapToGrid w:val="0"/>
                    <w:spacing w:line="360" w:lineRule="auto"/>
                    <w:jc w:val="center"/>
                    <w:rPr>
                      <w:rFonts w:hint="eastAsia" w:ascii="Times New Roman" w:hAnsi="Times New Roman" w:eastAsia="宋体" w:cs="Times New Roman"/>
                      <w:color w:val="auto"/>
                      <w:sz w:val="21"/>
                      <w:szCs w:val="21"/>
                      <w:highlight w:val="none"/>
                      <w:lang w:eastAsia="zh-CN"/>
                    </w:rPr>
                  </w:pPr>
                  <w:r>
                    <w:rPr>
                      <w:rFonts w:ascii="Times New Roman" w:hAnsi="Times New Roman"/>
                      <w:color w:val="auto"/>
                      <w:szCs w:val="21"/>
                      <w:highlight w:val="none"/>
                    </w:rPr>
                    <w:t>1</w:t>
                  </w:r>
                </w:p>
              </w:tc>
              <w:tc>
                <w:tcPr>
                  <w:tcW w:w="1884" w:type="dxa"/>
                </w:tcPr>
                <w:p w14:paraId="6FDDB69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烘干工段</w:t>
                  </w:r>
                </w:p>
              </w:tc>
            </w:tr>
            <w:tr w14:paraId="5DDA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2" w:type="dxa"/>
                  <w:vAlign w:val="center"/>
                </w:tcPr>
                <w:p w14:paraId="00010CC0">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w:t>
                  </w:r>
                </w:p>
              </w:tc>
              <w:tc>
                <w:tcPr>
                  <w:tcW w:w="1959" w:type="dxa"/>
                  <w:vAlign w:val="center"/>
                </w:tcPr>
                <w:p w14:paraId="2B191327">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胶带输送机</w:t>
                  </w:r>
                </w:p>
              </w:tc>
              <w:tc>
                <w:tcPr>
                  <w:tcW w:w="2942" w:type="dxa"/>
                  <w:vAlign w:val="center"/>
                </w:tcPr>
                <w:p w14:paraId="74CB7659">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B800x50050mm</w:t>
                  </w:r>
                </w:p>
              </w:tc>
              <w:tc>
                <w:tcPr>
                  <w:tcW w:w="809" w:type="dxa"/>
                  <w:vAlign w:val="center"/>
                </w:tcPr>
                <w:p w14:paraId="27FC84BE">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1</w:t>
                  </w:r>
                </w:p>
              </w:tc>
              <w:tc>
                <w:tcPr>
                  <w:tcW w:w="1884" w:type="dxa"/>
                </w:tcPr>
                <w:p w14:paraId="3A48C4A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烘干工段</w:t>
                  </w:r>
                </w:p>
              </w:tc>
            </w:tr>
            <w:tr w14:paraId="4D57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64614CF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c>
                <w:tcPr>
                  <w:tcW w:w="1959" w:type="dxa"/>
                  <w:vAlign w:val="center"/>
                </w:tcPr>
                <w:p w14:paraId="5DF71F06">
                  <w:pPr>
                    <w:tabs>
                      <w:tab w:val="left" w:pos="420"/>
                    </w:tabs>
                    <w:adjustRightInd w:val="0"/>
                    <w:snapToGrid w:val="0"/>
                    <w:spacing w:line="360" w:lineRule="auto"/>
                    <w:jc w:val="center"/>
                    <w:rPr>
                      <w:rFonts w:hint="default" w:ascii="Times New Roman" w:hAnsi="Times New Roman"/>
                      <w:color w:val="auto"/>
                      <w:szCs w:val="21"/>
                      <w:highlight w:val="none"/>
                    </w:rPr>
                  </w:pPr>
                  <w:r>
                    <w:rPr>
                      <w:rFonts w:ascii="Times New Roman" w:hAnsi="Times New Roman"/>
                      <w:color w:val="auto"/>
                      <w:szCs w:val="21"/>
                      <w:highlight w:val="none"/>
                    </w:rPr>
                    <w:t>拉链机</w:t>
                  </w:r>
                </w:p>
              </w:tc>
              <w:tc>
                <w:tcPr>
                  <w:tcW w:w="2942" w:type="dxa"/>
                  <w:vAlign w:val="center"/>
                </w:tcPr>
                <w:p w14:paraId="5785E5EE">
                  <w:pPr>
                    <w:tabs>
                      <w:tab w:val="left" w:pos="420"/>
                    </w:tabs>
                    <w:adjustRightInd w:val="0"/>
                    <w:snapToGrid w:val="0"/>
                    <w:spacing w:line="360" w:lineRule="auto"/>
                    <w:jc w:val="center"/>
                    <w:rPr>
                      <w:rFonts w:hint="default" w:ascii="Times New Roman" w:hAnsi="Times New Roman"/>
                      <w:color w:val="auto"/>
                      <w:szCs w:val="21"/>
                      <w:highlight w:val="none"/>
                    </w:rPr>
                  </w:pPr>
                  <w:r>
                    <w:rPr>
                      <w:rFonts w:ascii="Times New Roman" w:hAnsi="Times New Roman"/>
                      <w:color w:val="auto"/>
                      <w:szCs w:val="21"/>
                      <w:highlight w:val="none"/>
                    </w:rPr>
                    <w:t>型号：LU270X24800mm</w:t>
                  </w:r>
                </w:p>
              </w:tc>
              <w:tc>
                <w:tcPr>
                  <w:tcW w:w="809" w:type="dxa"/>
                  <w:vAlign w:val="center"/>
                </w:tcPr>
                <w:p w14:paraId="2AD76748">
                  <w:pPr>
                    <w:tabs>
                      <w:tab w:val="left" w:pos="420"/>
                    </w:tabs>
                    <w:adjustRightInd w:val="0"/>
                    <w:snapToGrid w:val="0"/>
                    <w:spacing w:line="360" w:lineRule="auto"/>
                    <w:jc w:val="center"/>
                    <w:rPr>
                      <w:rFonts w:hint="default" w:ascii="Times New Roman" w:hAnsi="Times New Roman"/>
                      <w:color w:val="auto"/>
                      <w:szCs w:val="21"/>
                      <w:highlight w:val="none"/>
                    </w:rPr>
                  </w:pPr>
                  <w:r>
                    <w:rPr>
                      <w:rFonts w:ascii="Times New Roman" w:hAnsi="Times New Roman"/>
                      <w:color w:val="auto"/>
                      <w:szCs w:val="21"/>
                      <w:highlight w:val="none"/>
                    </w:rPr>
                    <w:t>4</w:t>
                  </w:r>
                </w:p>
              </w:tc>
              <w:tc>
                <w:tcPr>
                  <w:tcW w:w="1884" w:type="dxa"/>
                </w:tcPr>
                <w:p w14:paraId="55210D32">
                  <w:pPr>
                    <w:tabs>
                      <w:tab w:val="left" w:pos="420"/>
                    </w:tabs>
                    <w:adjustRightInd w:val="0"/>
                    <w:snapToGrid w:val="0"/>
                    <w:spacing w:line="360" w:lineRule="auto"/>
                    <w:jc w:val="center"/>
                    <w:rPr>
                      <w:rFonts w:hint="default" w:ascii="Times New Roman" w:hAnsi="Times New Roman"/>
                      <w:color w:val="auto"/>
                      <w:szCs w:val="21"/>
                      <w:highlight w:val="none"/>
                    </w:rPr>
                  </w:pPr>
                  <w:r>
                    <w:rPr>
                      <w:rFonts w:hint="default" w:ascii="Times New Roman" w:hAnsi="Times New Roman"/>
                      <w:color w:val="auto"/>
                      <w:szCs w:val="21"/>
                      <w:highlight w:val="none"/>
                    </w:rPr>
                    <w:t>烘干工段</w:t>
                  </w:r>
                </w:p>
              </w:tc>
            </w:tr>
            <w:tr w14:paraId="4203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561B867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1959" w:type="dxa"/>
                  <w:vAlign w:val="center"/>
                </w:tcPr>
                <w:p w14:paraId="556E25B3">
                  <w:pPr>
                    <w:tabs>
                      <w:tab w:val="left" w:pos="420"/>
                    </w:tabs>
                    <w:adjustRightInd w:val="0"/>
                    <w:snapToGrid w:val="0"/>
                    <w:spacing w:line="360" w:lineRule="auto"/>
                    <w:jc w:val="center"/>
                    <w:rPr>
                      <w:rFonts w:hint="default" w:ascii="Times New Roman" w:hAnsi="Times New Roman"/>
                      <w:color w:val="auto"/>
                      <w:szCs w:val="21"/>
                      <w:highlight w:val="none"/>
                    </w:rPr>
                  </w:pPr>
                  <w:r>
                    <w:rPr>
                      <w:rFonts w:ascii="Times New Roman" w:hAnsi="Times New Roman"/>
                      <w:color w:val="auto"/>
                      <w:szCs w:val="21"/>
                      <w:highlight w:val="none"/>
                    </w:rPr>
                    <w:t>拉链机</w:t>
                  </w:r>
                </w:p>
              </w:tc>
              <w:tc>
                <w:tcPr>
                  <w:tcW w:w="2942" w:type="dxa"/>
                  <w:vAlign w:val="center"/>
                </w:tcPr>
                <w:p w14:paraId="7930C4F9">
                  <w:pPr>
                    <w:tabs>
                      <w:tab w:val="left" w:pos="420"/>
                    </w:tabs>
                    <w:adjustRightInd w:val="0"/>
                    <w:snapToGrid w:val="0"/>
                    <w:spacing w:line="360" w:lineRule="auto"/>
                    <w:jc w:val="center"/>
                    <w:rPr>
                      <w:rFonts w:hint="default" w:ascii="Times New Roman" w:hAnsi="Times New Roman"/>
                      <w:color w:val="auto"/>
                      <w:szCs w:val="21"/>
                      <w:highlight w:val="none"/>
                    </w:rPr>
                  </w:pPr>
                  <w:r>
                    <w:rPr>
                      <w:rFonts w:ascii="Times New Roman" w:hAnsi="Times New Roman"/>
                      <w:color w:val="auto"/>
                      <w:szCs w:val="21"/>
                      <w:highlight w:val="none"/>
                    </w:rPr>
                    <w:t>LU400X32845mm</w:t>
                  </w:r>
                </w:p>
              </w:tc>
              <w:tc>
                <w:tcPr>
                  <w:tcW w:w="809" w:type="dxa"/>
                  <w:vAlign w:val="center"/>
                </w:tcPr>
                <w:p w14:paraId="22D3442B">
                  <w:pPr>
                    <w:tabs>
                      <w:tab w:val="left" w:pos="420"/>
                    </w:tabs>
                    <w:adjustRightInd w:val="0"/>
                    <w:snapToGrid w:val="0"/>
                    <w:spacing w:line="360" w:lineRule="auto"/>
                    <w:jc w:val="center"/>
                    <w:rPr>
                      <w:rFonts w:hint="default" w:ascii="Times New Roman" w:hAnsi="Times New Roman"/>
                      <w:color w:val="auto"/>
                      <w:szCs w:val="21"/>
                      <w:highlight w:val="none"/>
                    </w:rPr>
                  </w:pPr>
                  <w:r>
                    <w:rPr>
                      <w:rFonts w:ascii="Times New Roman" w:hAnsi="Times New Roman"/>
                      <w:color w:val="auto"/>
                      <w:szCs w:val="21"/>
                      <w:highlight w:val="none"/>
                    </w:rPr>
                    <w:t>1</w:t>
                  </w:r>
                </w:p>
              </w:tc>
              <w:tc>
                <w:tcPr>
                  <w:tcW w:w="1884" w:type="dxa"/>
                </w:tcPr>
                <w:p w14:paraId="1653987D">
                  <w:pPr>
                    <w:tabs>
                      <w:tab w:val="left" w:pos="420"/>
                    </w:tabs>
                    <w:adjustRightInd w:val="0"/>
                    <w:snapToGrid w:val="0"/>
                    <w:spacing w:line="360" w:lineRule="auto"/>
                    <w:jc w:val="center"/>
                    <w:rPr>
                      <w:rFonts w:hint="default" w:ascii="Times New Roman" w:hAnsi="Times New Roman"/>
                      <w:color w:val="auto"/>
                      <w:szCs w:val="21"/>
                      <w:highlight w:val="none"/>
                    </w:rPr>
                  </w:pPr>
                  <w:r>
                    <w:rPr>
                      <w:rFonts w:hint="default" w:ascii="Times New Roman" w:hAnsi="Times New Roman"/>
                      <w:color w:val="auto"/>
                      <w:szCs w:val="21"/>
                      <w:highlight w:val="none"/>
                    </w:rPr>
                    <w:t>烘干工段</w:t>
                  </w:r>
                </w:p>
              </w:tc>
            </w:tr>
            <w:tr w14:paraId="6892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4D6E576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1959" w:type="dxa"/>
                  <w:vAlign w:val="center"/>
                </w:tcPr>
                <w:p w14:paraId="25C2E2BF">
                  <w:pPr>
                    <w:tabs>
                      <w:tab w:val="left" w:pos="420"/>
                    </w:tabs>
                    <w:adjustRightInd w:val="0"/>
                    <w:snapToGrid w:val="0"/>
                    <w:spacing w:line="360" w:lineRule="auto"/>
                    <w:jc w:val="center"/>
                    <w:rPr>
                      <w:rFonts w:ascii="Times New Roman" w:hAnsi="Times New Roman"/>
                      <w:color w:val="auto"/>
                      <w:szCs w:val="21"/>
                      <w:highlight w:val="none"/>
                    </w:rPr>
                  </w:pPr>
                  <w:r>
                    <w:rPr>
                      <w:rFonts w:hint="eastAsia" w:ascii="Times New Roman" w:hAnsi="Times New Roman"/>
                      <w:color w:val="auto"/>
                      <w:szCs w:val="21"/>
                      <w:highlight w:val="none"/>
                    </w:rPr>
                    <w:t>煤粉气力输送</w:t>
                  </w:r>
                </w:p>
              </w:tc>
              <w:tc>
                <w:tcPr>
                  <w:tcW w:w="2942" w:type="dxa"/>
                  <w:vAlign w:val="center"/>
                </w:tcPr>
                <w:p w14:paraId="56889BCE">
                  <w:pPr>
                    <w:tabs>
                      <w:tab w:val="left" w:pos="420"/>
                    </w:tabs>
                    <w:adjustRightInd w:val="0"/>
                    <w:snapToGrid w:val="0"/>
                    <w:spacing w:line="360" w:lineRule="auto"/>
                    <w:jc w:val="both"/>
                    <w:rPr>
                      <w:rFonts w:ascii="Times New Roman" w:hAnsi="Times New Roman"/>
                      <w:color w:val="auto"/>
                      <w:szCs w:val="21"/>
                      <w:highlight w:val="none"/>
                    </w:rPr>
                  </w:pPr>
                  <w:r>
                    <w:rPr>
                      <w:rFonts w:ascii="Times New Roman" w:hAnsi="Times New Roman"/>
                      <w:color w:val="auto"/>
                      <w:szCs w:val="21"/>
                      <w:highlight w:val="none"/>
                    </w:rPr>
                    <w:t>型号：</w:t>
                  </w:r>
                  <w:r>
                    <w:rPr>
                      <w:rFonts w:hint="eastAsia" w:ascii="Times New Roman" w:hAnsi="Times New Roman"/>
                      <w:color w:val="auto"/>
                      <w:szCs w:val="21"/>
                      <w:highlight w:val="none"/>
                    </w:rPr>
                    <w:t>ZG-200</w:t>
                  </w:r>
                  <w:r>
                    <w:rPr>
                      <w:rFonts w:ascii="Times New Roman" w:hAnsi="Times New Roman"/>
                      <w:color w:val="auto"/>
                      <w:szCs w:val="21"/>
                      <w:highlight w:val="none"/>
                    </w:rPr>
                    <w:t>&amp; MCMRV-600</w:t>
                  </w:r>
                </w:p>
              </w:tc>
              <w:tc>
                <w:tcPr>
                  <w:tcW w:w="809" w:type="dxa"/>
                  <w:vAlign w:val="center"/>
                </w:tcPr>
                <w:p w14:paraId="44441904">
                  <w:pPr>
                    <w:tabs>
                      <w:tab w:val="left" w:pos="420"/>
                    </w:tabs>
                    <w:adjustRightInd w:val="0"/>
                    <w:snapToGrid w:val="0"/>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1</w:t>
                  </w:r>
                </w:p>
              </w:tc>
              <w:tc>
                <w:tcPr>
                  <w:tcW w:w="1884" w:type="dxa"/>
                </w:tcPr>
                <w:p w14:paraId="779339AB">
                  <w:pPr>
                    <w:tabs>
                      <w:tab w:val="left" w:pos="420"/>
                    </w:tabs>
                    <w:adjustRightInd w:val="0"/>
                    <w:snapToGrid w:val="0"/>
                    <w:spacing w:line="360" w:lineRule="auto"/>
                    <w:jc w:val="center"/>
                    <w:rPr>
                      <w:rFonts w:hint="default" w:ascii="Times New Roman" w:hAnsi="Times New Roman"/>
                      <w:color w:val="auto"/>
                      <w:szCs w:val="21"/>
                      <w:highlight w:val="none"/>
                    </w:rPr>
                  </w:pPr>
                  <w:r>
                    <w:rPr>
                      <w:rFonts w:hint="default" w:ascii="Times New Roman" w:hAnsi="Times New Roman"/>
                      <w:color w:val="auto"/>
                      <w:szCs w:val="21"/>
                      <w:highlight w:val="none"/>
                    </w:rPr>
                    <w:t>烘干工段</w:t>
                  </w:r>
                </w:p>
              </w:tc>
            </w:tr>
            <w:tr w14:paraId="33A0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34C97BC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1959" w:type="dxa"/>
                  <w:vAlign w:val="center"/>
                </w:tcPr>
                <w:p w14:paraId="4337D469">
                  <w:pPr>
                    <w:tabs>
                      <w:tab w:val="left" w:pos="420"/>
                    </w:tabs>
                    <w:adjustRightInd w:val="0"/>
                    <w:snapToGrid w:val="0"/>
                    <w:spacing w:line="360" w:lineRule="auto"/>
                    <w:jc w:val="center"/>
                    <w:rPr>
                      <w:rFonts w:ascii="Times New Roman" w:hAnsi="Times New Roman"/>
                      <w:color w:val="auto"/>
                      <w:szCs w:val="21"/>
                      <w:highlight w:val="none"/>
                    </w:rPr>
                  </w:pPr>
                  <w:r>
                    <w:rPr>
                      <w:rFonts w:hint="eastAsia" w:ascii="Times New Roman" w:hAnsi="Times New Roman"/>
                      <w:color w:val="auto"/>
                      <w:szCs w:val="21"/>
                      <w:highlight w:val="none"/>
                    </w:rPr>
                    <w:t>煤粉气力输送</w:t>
                  </w:r>
                </w:p>
              </w:tc>
              <w:tc>
                <w:tcPr>
                  <w:tcW w:w="2942" w:type="dxa"/>
                  <w:vAlign w:val="center"/>
                </w:tcPr>
                <w:p w14:paraId="7138B7DF">
                  <w:pPr>
                    <w:tabs>
                      <w:tab w:val="left" w:pos="420"/>
                    </w:tabs>
                    <w:adjustRightInd w:val="0"/>
                    <w:snapToGrid w:val="0"/>
                    <w:spacing w:line="360" w:lineRule="auto"/>
                    <w:jc w:val="both"/>
                    <w:rPr>
                      <w:rFonts w:ascii="Times New Roman" w:hAnsi="Times New Roman"/>
                      <w:color w:val="auto"/>
                      <w:szCs w:val="21"/>
                      <w:highlight w:val="none"/>
                    </w:rPr>
                  </w:pPr>
                  <w:r>
                    <w:rPr>
                      <w:rFonts w:ascii="Times New Roman" w:hAnsi="Times New Roman"/>
                      <w:color w:val="auto"/>
                      <w:szCs w:val="21"/>
                      <w:highlight w:val="none"/>
                    </w:rPr>
                    <w:t>型号：</w:t>
                  </w:r>
                  <w:r>
                    <w:rPr>
                      <w:rFonts w:hint="eastAsia" w:ascii="Times New Roman" w:hAnsi="Times New Roman"/>
                      <w:color w:val="auto"/>
                      <w:szCs w:val="21"/>
                      <w:highlight w:val="none"/>
                    </w:rPr>
                    <w:t>ZG-</w:t>
                  </w:r>
                  <w:r>
                    <w:rPr>
                      <w:rFonts w:ascii="Times New Roman" w:hAnsi="Times New Roman"/>
                      <w:color w:val="auto"/>
                      <w:szCs w:val="21"/>
                      <w:highlight w:val="none"/>
                    </w:rPr>
                    <w:t>15</w:t>
                  </w:r>
                  <w:r>
                    <w:rPr>
                      <w:rFonts w:hint="eastAsia" w:ascii="Times New Roman" w:hAnsi="Times New Roman"/>
                      <w:color w:val="auto"/>
                      <w:szCs w:val="21"/>
                      <w:highlight w:val="none"/>
                    </w:rPr>
                    <w:t>0</w:t>
                  </w:r>
                  <w:r>
                    <w:rPr>
                      <w:rFonts w:ascii="Times New Roman" w:hAnsi="Times New Roman"/>
                      <w:color w:val="auto"/>
                      <w:szCs w:val="21"/>
                      <w:highlight w:val="none"/>
                    </w:rPr>
                    <w:t>&amp; MCMRV-220</w:t>
                  </w:r>
                </w:p>
              </w:tc>
              <w:tc>
                <w:tcPr>
                  <w:tcW w:w="809" w:type="dxa"/>
                  <w:vAlign w:val="center"/>
                </w:tcPr>
                <w:p w14:paraId="5BBF17E2">
                  <w:pPr>
                    <w:tabs>
                      <w:tab w:val="left" w:pos="420"/>
                    </w:tabs>
                    <w:adjustRightInd w:val="0"/>
                    <w:snapToGrid w:val="0"/>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1</w:t>
                  </w:r>
                </w:p>
              </w:tc>
              <w:tc>
                <w:tcPr>
                  <w:tcW w:w="1884" w:type="dxa"/>
                </w:tcPr>
                <w:p w14:paraId="7EAC5D1A">
                  <w:pPr>
                    <w:tabs>
                      <w:tab w:val="left" w:pos="420"/>
                    </w:tabs>
                    <w:adjustRightInd w:val="0"/>
                    <w:snapToGrid w:val="0"/>
                    <w:spacing w:line="360" w:lineRule="auto"/>
                    <w:jc w:val="center"/>
                    <w:rPr>
                      <w:rFonts w:hint="default" w:ascii="Times New Roman" w:hAnsi="Times New Roman"/>
                      <w:color w:val="auto"/>
                      <w:szCs w:val="21"/>
                      <w:highlight w:val="none"/>
                    </w:rPr>
                  </w:pPr>
                  <w:r>
                    <w:rPr>
                      <w:rFonts w:hint="default" w:ascii="Times New Roman" w:hAnsi="Times New Roman"/>
                      <w:color w:val="auto"/>
                      <w:szCs w:val="21"/>
                      <w:highlight w:val="none"/>
                    </w:rPr>
                    <w:t>烘干工段</w:t>
                  </w:r>
                </w:p>
              </w:tc>
            </w:tr>
            <w:tr w14:paraId="3D84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82" w:type="dxa"/>
                  <w:vAlign w:val="center"/>
                </w:tcPr>
                <w:p w14:paraId="402DE97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w:t>
                  </w:r>
                </w:p>
              </w:tc>
              <w:tc>
                <w:tcPr>
                  <w:tcW w:w="1959" w:type="dxa"/>
                  <w:vAlign w:val="center"/>
                </w:tcPr>
                <w:p w14:paraId="468C92C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原煤堆棚</w:t>
                  </w:r>
                </w:p>
              </w:tc>
              <w:tc>
                <w:tcPr>
                  <w:tcW w:w="2942" w:type="dxa"/>
                  <w:vAlign w:val="center"/>
                </w:tcPr>
                <w:p w14:paraId="7E7690B0">
                  <w:pPr>
                    <w:keepNext w:val="0"/>
                    <w:keepLines w:val="0"/>
                    <w:pageBreakBefore w:val="0"/>
                    <w:widowControl w:val="0"/>
                    <w:tabs>
                      <w:tab w:val="left" w:pos="420"/>
                    </w:tabs>
                    <w:kinsoku/>
                    <w:wordWrap/>
                    <w:overflowPunct/>
                    <w:topLinePunct w:val="0"/>
                    <w:bidi w:val="0"/>
                    <w:adjustRightInd w:val="0"/>
                    <w:snapToGrid w:val="0"/>
                    <w:spacing w:line="36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长型，30×72m</w:t>
                  </w:r>
                </w:p>
              </w:tc>
              <w:tc>
                <w:tcPr>
                  <w:tcW w:w="809" w:type="dxa"/>
                  <w:vAlign w:val="center"/>
                </w:tcPr>
                <w:p w14:paraId="19F3B735">
                  <w:pPr>
                    <w:keepNext w:val="0"/>
                    <w:keepLines w:val="0"/>
                    <w:pageBreakBefore w:val="0"/>
                    <w:widowControl w:val="0"/>
                    <w:tabs>
                      <w:tab w:val="left" w:pos="420"/>
                    </w:tabs>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w:t>
                  </w:r>
                </w:p>
              </w:tc>
              <w:tc>
                <w:tcPr>
                  <w:tcW w:w="1884" w:type="dxa"/>
                  <w:vAlign w:val="center"/>
                </w:tcPr>
                <w:p w14:paraId="162DEB4E">
                  <w:pPr>
                    <w:keepNext w:val="0"/>
                    <w:keepLines w:val="0"/>
                    <w:pageBreakBefore w:val="0"/>
                    <w:widowControl w:val="0"/>
                    <w:tabs>
                      <w:tab w:val="left" w:pos="420"/>
                    </w:tabs>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原煤卸车</w:t>
                  </w:r>
                </w:p>
              </w:tc>
            </w:tr>
            <w:tr w14:paraId="28B5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29FE139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1959" w:type="dxa"/>
                  <w:vAlign w:val="center"/>
                </w:tcPr>
                <w:p w14:paraId="38CA305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原煤预均化堆场</w:t>
                  </w:r>
                </w:p>
              </w:tc>
              <w:tc>
                <w:tcPr>
                  <w:tcW w:w="2942" w:type="dxa"/>
                  <w:vAlign w:val="top"/>
                </w:tcPr>
                <w:p w14:paraId="5B112396">
                  <w:pPr>
                    <w:keepNext w:val="0"/>
                    <w:keepLines w:val="0"/>
                    <w:pageBreakBefore w:val="0"/>
                    <w:widowControl w:val="0"/>
                    <w:tabs>
                      <w:tab w:val="left" w:pos="420"/>
                    </w:tabs>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 xml:space="preserve">长型，45.3×141m </w:t>
                  </w:r>
                </w:p>
              </w:tc>
              <w:tc>
                <w:tcPr>
                  <w:tcW w:w="809" w:type="dxa"/>
                  <w:vAlign w:val="center"/>
                </w:tcPr>
                <w:p w14:paraId="16FCE9B6">
                  <w:pPr>
                    <w:keepNext w:val="0"/>
                    <w:keepLines w:val="0"/>
                    <w:pageBreakBefore w:val="0"/>
                    <w:widowControl w:val="0"/>
                    <w:tabs>
                      <w:tab w:val="left" w:pos="420"/>
                    </w:tabs>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84" w:type="dxa"/>
                  <w:vAlign w:val="center"/>
                </w:tcPr>
                <w:p w14:paraId="3E8EAA1A">
                  <w:pPr>
                    <w:keepNext w:val="0"/>
                    <w:keepLines w:val="0"/>
                    <w:pageBreakBefore w:val="0"/>
                    <w:widowControl w:val="0"/>
                    <w:tabs>
                      <w:tab w:val="left" w:pos="420"/>
                    </w:tabs>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预均化堆场</w:t>
                  </w:r>
                </w:p>
              </w:tc>
            </w:tr>
            <w:tr w14:paraId="63C6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5B52742F">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c>
                <w:tcPr>
                  <w:tcW w:w="1959" w:type="dxa"/>
                  <w:vAlign w:val="center"/>
                </w:tcPr>
                <w:p w14:paraId="3AC44199">
                  <w:pPr>
                    <w:tabs>
                      <w:tab w:val="left" w:pos="420"/>
                    </w:tabs>
                    <w:adjustRightInd w:val="0"/>
                    <w:snapToGrid w:val="0"/>
                    <w:spacing w:line="360" w:lineRule="auto"/>
                    <w:jc w:val="center"/>
                    <w:rPr>
                      <w:rFonts w:hint="default" w:ascii="Times New Roman" w:hAnsi="Times New Roman"/>
                      <w:color w:val="auto"/>
                      <w:szCs w:val="21"/>
                      <w:highlight w:val="none"/>
                    </w:rPr>
                  </w:pPr>
                  <w:r>
                    <w:rPr>
                      <w:rFonts w:ascii="Times New Roman" w:hAnsi="Times New Roman"/>
                      <w:color w:val="auto"/>
                      <w:szCs w:val="21"/>
                      <w:highlight w:val="none"/>
                    </w:rPr>
                    <w:t>胶带输送机</w:t>
                  </w:r>
                </w:p>
              </w:tc>
              <w:tc>
                <w:tcPr>
                  <w:tcW w:w="2942" w:type="dxa"/>
                  <w:vAlign w:val="center"/>
                </w:tcPr>
                <w:p w14:paraId="2626FBAE">
                  <w:pPr>
                    <w:tabs>
                      <w:tab w:val="left" w:pos="420"/>
                    </w:tabs>
                    <w:adjustRightInd w:val="0"/>
                    <w:snapToGrid w:val="0"/>
                    <w:spacing w:line="360" w:lineRule="auto"/>
                    <w:jc w:val="center"/>
                    <w:rPr>
                      <w:rFonts w:hint="eastAsia" w:ascii="Times New Roman" w:hAnsi="Times New Roman"/>
                      <w:color w:val="auto"/>
                      <w:szCs w:val="21"/>
                      <w:highlight w:val="none"/>
                    </w:rPr>
                  </w:pPr>
                  <w:r>
                    <w:rPr>
                      <w:rFonts w:ascii="Times New Roman" w:hAnsi="Times New Roman"/>
                      <w:color w:val="auto"/>
                      <w:szCs w:val="21"/>
                      <w:highlight w:val="none"/>
                    </w:rPr>
                    <w:t>B800x87500mm</w:t>
                  </w:r>
                </w:p>
              </w:tc>
              <w:tc>
                <w:tcPr>
                  <w:tcW w:w="809" w:type="dxa"/>
                  <w:vAlign w:val="center"/>
                </w:tcPr>
                <w:p w14:paraId="568C067F">
                  <w:pPr>
                    <w:tabs>
                      <w:tab w:val="left" w:pos="420"/>
                    </w:tabs>
                    <w:adjustRightInd w:val="0"/>
                    <w:snapToGrid w:val="0"/>
                    <w:spacing w:line="360" w:lineRule="auto"/>
                    <w:jc w:val="center"/>
                    <w:rPr>
                      <w:rFonts w:hint="default" w:ascii="Times New Roman" w:hAnsi="Times New Roman"/>
                      <w:color w:val="auto"/>
                      <w:szCs w:val="21"/>
                      <w:highlight w:val="none"/>
                    </w:rPr>
                  </w:pPr>
                  <w:r>
                    <w:rPr>
                      <w:rFonts w:ascii="Times New Roman" w:hAnsi="Times New Roman"/>
                      <w:color w:val="auto"/>
                      <w:szCs w:val="21"/>
                      <w:highlight w:val="none"/>
                    </w:rPr>
                    <w:t>1</w:t>
                  </w:r>
                </w:p>
              </w:tc>
              <w:tc>
                <w:tcPr>
                  <w:tcW w:w="1884" w:type="dxa"/>
                  <w:vAlign w:val="top"/>
                </w:tcPr>
                <w:p w14:paraId="5D31A876">
                  <w:pPr>
                    <w:tabs>
                      <w:tab w:val="left" w:pos="420"/>
                    </w:tabs>
                    <w:adjustRightInd w:val="0"/>
                    <w:snapToGrid w:val="0"/>
                    <w:spacing w:line="36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褐煤成品储存</w:t>
                  </w:r>
                </w:p>
              </w:tc>
            </w:tr>
            <w:tr w14:paraId="169F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5D0078D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w:t>
                  </w:r>
                </w:p>
              </w:tc>
              <w:tc>
                <w:tcPr>
                  <w:tcW w:w="1959" w:type="dxa"/>
                  <w:vAlign w:val="center"/>
                </w:tcPr>
                <w:p w14:paraId="3FCD92B7">
                  <w:pPr>
                    <w:tabs>
                      <w:tab w:val="left" w:pos="420"/>
                    </w:tabs>
                    <w:adjustRightInd w:val="0"/>
                    <w:snapToGrid w:val="0"/>
                    <w:spacing w:line="360" w:lineRule="auto"/>
                    <w:jc w:val="center"/>
                    <w:rPr>
                      <w:rFonts w:hint="default" w:ascii="Times New Roman" w:hAnsi="Times New Roman"/>
                      <w:color w:val="auto"/>
                      <w:szCs w:val="21"/>
                      <w:highlight w:val="none"/>
                    </w:rPr>
                  </w:pPr>
                  <w:r>
                    <w:rPr>
                      <w:rFonts w:ascii="Times New Roman" w:hAnsi="Times New Roman"/>
                      <w:color w:val="auto"/>
                      <w:szCs w:val="21"/>
                      <w:highlight w:val="none"/>
                    </w:rPr>
                    <w:t>胶带输送机</w:t>
                  </w:r>
                </w:p>
              </w:tc>
              <w:tc>
                <w:tcPr>
                  <w:tcW w:w="2942" w:type="dxa"/>
                  <w:vAlign w:val="center"/>
                </w:tcPr>
                <w:p w14:paraId="599255D4">
                  <w:pPr>
                    <w:tabs>
                      <w:tab w:val="left" w:pos="420"/>
                    </w:tabs>
                    <w:adjustRightInd w:val="0"/>
                    <w:snapToGrid w:val="0"/>
                    <w:spacing w:line="360" w:lineRule="auto"/>
                    <w:jc w:val="center"/>
                    <w:rPr>
                      <w:rFonts w:hint="eastAsia" w:ascii="Times New Roman" w:hAnsi="Times New Roman"/>
                      <w:color w:val="auto"/>
                      <w:szCs w:val="21"/>
                      <w:highlight w:val="none"/>
                    </w:rPr>
                  </w:pPr>
                  <w:r>
                    <w:rPr>
                      <w:rFonts w:ascii="Times New Roman" w:hAnsi="Times New Roman"/>
                      <w:color w:val="auto"/>
                      <w:szCs w:val="21"/>
                      <w:highlight w:val="none"/>
                    </w:rPr>
                    <w:t>B1000x137850mm</w:t>
                  </w:r>
                </w:p>
              </w:tc>
              <w:tc>
                <w:tcPr>
                  <w:tcW w:w="809" w:type="dxa"/>
                  <w:vAlign w:val="center"/>
                </w:tcPr>
                <w:p w14:paraId="514CBC97">
                  <w:pPr>
                    <w:tabs>
                      <w:tab w:val="left" w:pos="420"/>
                    </w:tabs>
                    <w:adjustRightInd w:val="0"/>
                    <w:snapToGrid w:val="0"/>
                    <w:spacing w:line="360" w:lineRule="auto"/>
                    <w:jc w:val="center"/>
                    <w:rPr>
                      <w:rFonts w:hint="default" w:ascii="Times New Roman" w:hAnsi="Times New Roman"/>
                      <w:color w:val="auto"/>
                      <w:szCs w:val="21"/>
                      <w:highlight w:val="none"/>
                    </w:rPr>
                  </w:pPr>
                  <w:r>
                    <w:rPr>
                      <w:rFonts w:ascii="Times New Roman" w:hAnsi="Times New Roman"/>
                      <w:color w:val="auto"/>
                      <w:szCs w:val="21"/>
                      <w:highlight w:val="none"/>
                    </w:rPr>
                    <w:t>1</w:t>
                  </w:r>
                </w:p>
              </w:tc>
              <w:tc>
                <w:tcPr>
                  <w:tcW w:w="1884" w:type="dxa"/>
                  <w:vAlign w:val="top"/>
                </w:tcPr>
                <w:p w14:paraId="70D4B5AD">
                  <w:pPr>
                    <w:tabs>
                      <w:tab w:val="left" w:pos="420"/>
                    </w:tabs>
                    <w:adjustRightInd w:val="0"/>
                    <w:snapToGrid w:val="0"/>
                    <w:spacing w:line="36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褐煤成品储存</w:t>
                  </w:r>
                </w:p>
              </w:tc>
            </w:tr>
            <w:tr w14:paraId="2B76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11C3508F">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959" w:type="dxa"/>
                  <w:vAlign w:val="center"/>
                </w:tcPr>
                <w:p w14:paraId="047487F6">
                  <w:pPr>
                    <w:tabs>
                      <w:tab w:val="left" w:pos="420"/>
                    </w:tabs>
                    <w:adjustRightInd w:val="0"/>
                    <w:snapToGrid w:val="0"/>
                    <w:spacing w:line="360" w:lineRule="auto"/>
                    <w:jc w:val="center"/>
                    <w:rPr>
                      <w:rFonts w:hint="default" w:ascii="Times New Roman" w:hAnsi="Times New Roman"/>
                      <w:color w:val="auto"/>
                      <w:szCs w:val="21"/>
                      <w:highlight w:val="none"/>
                    </w:rPr>
                  </w:pPr>
                  <w:r>
                    <w:rPr>
                      <w:rFonts w:ascii="Times New Roman" w:hAnsi="Times New Roman"/>
                      <w:color w:val="auto"/>
                      <w:szCs w:val="21"/>
                      <w:highlight w:val="none"/>
                    </w:rPr>
                    <w:t>胶带输送机</w:t>
                  </w:r>
                </w:p>
              </w:tc>
              <w:tc>
                <w:tcPr>
                  <w:tcW w:w="2942" w:type="dxa"/>
                  <w:vAlign w:val="center"/>
                </w:tcPr>
                <w:p w14:paraId="2439A45A">
                  <w:pPr>
                    <w:tabs>
                      <w:tab w:val="left" w:pos="420"/>
                    </w:tabs>
                    <w:adjustRightInd w:val="0"/>
                    <w:snapToGrid w:val="0"/>
                    <w:spacing w:line="360" w:lineRule="auto"/>
                    <w:jc w:val="center"/>
                    <w:rPr>
                      <w:rFonts w:hint="eastAsia" w:ascii="Times New Roman" w:hAnsi="Times New Roman"/>
                      <w:color w:val="auto"/>
                      <w:szCs w:val="21"/>
                      <w:highlight w:val="none"/>
                    </w:rPr>
                  </w:pPr>
                  <w:r>
                    <w:rPr>
                      <w:rFonts w:ascii="Times New Roman" w:hAnsi="Times New Roman"/>
                      <w:color w:val="auto"/>
                      <w:szCs w:val="21"/>
                      <w:highlight w:val="none"/>
                    </w:rPr>
                    <w:t>B1000x36777mm</w:t>
                  </w:r>
                </w:p>
              </w:tc>
              <w:tc>
                <w:tcPr>
                  <w:tcW w:w="809" w:type="dxa"/>
                  <w:vAlign w:val="center"/>
                </w:tcPr>
                <w:p w14:paraId="7A91E44D">
                  <w:pPr>
                    <w:tabs>
                      <w:tab w:val="left" w:pos="420"/>
                    </w:tabs>
                    <w:adjustRightInd w:val="0"/>
                    <w:snapToGrid w:val="0"/>
                    <w:spacing w:line="360" w:lineRule="auto"/>
                    <w:jc w:val="center"/>
                    <w:rPr>
                      <w:rFonts w:hint="default" w:ascii="Times New Roman" w:hAnsi="Times New Roman"/>
                      <w:color w:val="auto"/>
                      <w:szCs w:val="21"/>
                      <w:highlight w:val="none"/>
                    </w:rPr>
                  </w:pPr>
                  <w:r>
                    <w:rPr>
                      <w:rFonts w:ascii="Times New Roman" w:hAnsi="Times New Roman"/>
                      <w:color w:val="auto"/>
                      <w:szCs w:val="21"/>
                      <w:highlight w:val="none"/>
                    </w:rPr>
                    <w:t>1</w:t>
                  </w:r>
                </w:p>
              </w:tc>
              <w:tc>
                <w:tcPr>
                  <w:tcW w:w="1884" w:type="dxa"/>
                  <w:vAlign w:val="top"/>
                </w:tcPr>
                <w:p w14:paraId="0E634962">
                  <w:pPr>
                    <w:tabs>
                      <w:tab w:val="left" w:pos="420"/>
                    </w:tabs>
                    <w:adjustRightInd w:val="0"/>
                    <w:snapToGrid w:val="0"/>
                    <w:spacing w:line="36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褐煤成品储存</w:t>
                  </w:r>
                </w:p>
              </w:tc>
            </w:tr>
            <w:tr w14:paraId="1B06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2684E29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w:t>
                  </w:r>
                </w:p>
              </w:tc>
              <w:tc>
                <w:tcPr>
                  <w:tcW w:w="1959" w:type="dxa"/>
                  <w:vAlign w:val="top"/>
                </w:tcPr>
                <w:p w14:paraId="3DDE9C91">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烘干喂料仓</w:t>
                  </w:r>
                </w:p>
              </w:tc>
              <w:tc>
                <w:tcPr>
                  <w:tcW w:w="2942" w:type="dxa"/>
                  <w:vAlign w:val="top"/>
                </w:tcPr>
                <w:p w14:paraId="044D44E1">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szCs w:val="21"/>
                      <w:highlight w:val="none"/>
                    </w:rPr>
                    <w:t>钢仓，Ø4.5</w:t>
                  </w:r>
                  <w:r>
                    <w:rPr>
                      <w:rFonts w:ascii="Times New Roman" w:hAnsi="Times New Roman"/>
                      <w:color w:val="auto"/>
                      <w:szCs w:val="21"/>
                      <w:highlight w:val="none"/>
                    </w:rPr>
                    <w:t>2</w:t>
                  </w:r>
                  <w:r>
                    <w:rPr>
                      <w:rFonts w:hint="eastAsia" w:ascii="Times New Roman" w:hAnsi="Times New Roman"/>
                      <w:color w:val="auto"/>
                      <w:szCs w:val="21"/>
                      <w:highlight w:val="none"/>
                    </w:rPr>
                    <w:t xml:space="preserve">m </w:t>
                  </w:r>
                </w:p>
              </w:tc>
              <w:tc>
                <w:tcPr>
                  <w:tcW w:w="809" w:type="dxa"/>
                  <w:vAlign w:val="center"/>
                </w:tcPr>
                <w:p w14:paraId="4AB5F208">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2</w:t>
                  </w:r>
                </w:p>
              </w:tc>
              <w:tc>
                <w:tcPr>
                  <w:tcW w:w="1884" w:type="dxa"/>
                  <w:vAlign w:val="center"/>
                </w:tcPr>
                <w:p w14:paraId="3F60B582">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szCs w:val="21"/>
                      <w:highlight w:val="none"/>
                    </w:rPr>
                    <w:t>烘干工段</w:t>
                  </w:r>
                </w:p>
              </w:tc>
            </w:tr>
            <w:tr w14:paraId="04ECF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82" w:type="dxa"/>
                  <w:vAlign w:val="center"/>
                </w:tcPr>
                <w:p w14:paraId="3B324FA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w:t>
                  </w:r>
                </w:p>
              </w:tc>
              <w:tc>
                <w:tcPr>
                  <w:tcW w:w="1959" w:type="dxa"/>
                  <w:vAlign w:val="top"/>
                </w:tcPr>
                <w:p w14:paraId="72507EF4">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优质褐煤成品堆棚</w:t>
                  </w:r>
                </w:p>
              </w:tc>
              <w:tc>
                <w:tcPr>
                  <w:tcW w:w="2942" w:type="dxa"/>
                  <w:vAlign w:val="top"/>
                </w:tcPr>
                <w:p w14:paraId="7EBBDDC0">
                  <w:pPr>
                    <w:tabs>
                      <w:tab w:val="left" w:pos="420"/>
                    </w:tabs>
                    <w:adjustRightInd w:val="0"/>
                    <w:snapToGrid w:val="0"/>
                    <w:spacing w:line="360" w:lineRule="auto"/>
                    <w:jc w:val="center"/>
                    <w:rPr>
                      <w:rFonts w:hint="default" w:ascii="Times New Roman" w:hAnsi="Times New Roman"/>
                      <w:color w:val="auto"/>
                      <w:szCs w:val="21"/>
                      <w:highlight w:val="none"/>
                    </w:rPr>
                  </w:pPr>
                  <w:r>
                    <w:rPr>
                      <w:rFonts w:hint="eastAsia" w:ascii="Times New Roman" w:hAnsi="Times New Roman"/>
                      <w:color w:val="auto"/>
                      <w:szCs w:val="21"/>
                      <w:highlight w:val="none"/>
                    </w:rPr>
                    <w:t>长型，27x</w:t>
                  </w:r>
                  <w:r>
                    <w:rPr>
                      <w:rFonts w:ascii="Times New Roman" w:hAnsi="Times New Roman"/>
                      <w:color w:val="auto"/>
                      <w:szCs w:val="21"/>
                      <w:highlight w:val="none"/>
                    </w:rPr>
                    <w:t>79</w:t>
                  </w:r>
                  <w:r>
                    <w:rPr>
                      <w:rFonts w:hint="eastAsia" w:ascii="Times New Roman" w:hAnsi="Times New Roman"/>
                      <w:color w:val="auto"/>
                      <w:szCs w:val="21"/>
                      <w:highlight w:val="none"/>
                    </w:rPr>
                    <w:t>m</w:t>
                  </w:r>
                </w:p>
              </w:tc>
              <w:tc>
                <w:tcPr>
                  <w:tcW w:w="809" w:type="dxa"/>
                  <w:vAlign w:val="center"/>
                </w:tcPr>
                <w:p w14:paraId="687260CC">
                  <w:pPr>
                    <w:tabs>
                      <w:tab w:val="left" w:pos="420"/>
                    </w:tabs>
                    <w:adjustRightInd w:val="0"/>
                    <w:snapToGrid w:val="0"/>
                    <w:spacing w:line="360" w:lineRule="auto"/>
                    <w:jc w:val="center"/>
                    <w:rPr>
                      <w:rFonts w:hint="default" w:ascii="Times New Roman" w:hAnsi="Times New Roman"/>
                      <w:color w:val="auto"/>
                      <w:szCs w:val="21"/>
                      <w:highlight w:val="none"/>
                    </w:rPr>
                  </w:pPr>
                  <w:r>
                    <w:rPr>
                      <w:rFonts w:hint="eastAsia" w:ascii="Times New Roman" w:hAnsi="Times New Roman"/>
                      <w:color w:val="auto"/>
                      <w:szCs w:val="21"/>
                      <w:highlight w:val="none"/>
                    </w:rPr>
                    <w:t>1</w:t>
                  </w:r>
                </w:p>
              </w:tc>
              <w:tc>
                <w:tcPr>
                  <w:tcW w:w="1884" w:type="dxa"/>
                  <w:vAlign w:val="center"/>
                </w:tcPr>
                <w:p w14:paraId="0609E42B">
                  <w:pPr>
                    <w:tabs>
                      <w:tab w:val="left" w:pos="420"/>
                    </w:tabs>
                    <w:adjustRightInd w:val="0"/>
                    <w:snapToGrid w:val="0"/>
                    <w:spacing w:line="360" w:lineRule="auto"/>
                    <w:jc w:val="center"/>
                    <w:rPr>
                      <w:rFonts w:hint="default" w:ascii="Times New Roman" w:hAnsi="Times New Roman"/>
                      <w:color w:val="auto"/>
                      <w:szCs w:val="21"/>
                      <w:highlight w:val="none"/>
                    </w:rPr>
                  </w:pPr>
                  <w:r>
                    <w:rPr>
                      <w:rFonts w:hint="eastAsia" w:ascii="Times New Roman" w:hAnsi="Times New Roman"/>
                      <w:color w:val="auto"/>
                      <w:szCs w:val="21"/>
                      <w:highlight w:val="none"/>
                    </w:rPr>
                    <w:t>褐煤成品储存</w:t>
                  </w:r>
                </w:p>
              </w:tc>
            </w:tr>
            <w:tr w14:paraId="306F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437BE71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w:t>
                  </w:r>
                </w:p>
              </w:tc>
              <w:tc>
                <w:tcPr>
                  <w:tcW w:w="1959" w:type="dxa"/>
                  <w:vAlign w:val="top"/>
                </w:tcPr>
                <w:p w14:paraId="0AEB5D53">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1#优质煤粉发运仓</w:t>
                  </w:r>
                </w:p>
              </w:tc>
              <w:tc>
                <w:tcPr>
                  <w:tcW w:w="2942" w:type="dxa"/>
                  <w:vAlign w:val="top"/>
                </w:tcPr>
                <w:p w14:paraId="74E61430">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szCs w:val="21"/>
                      <w:highlight w:val="none"/>
                    </w:rPr>
                    <w:t>钢仓，Ø</w:t>
                  </w:r>
                  <w:r>
                    <w:rPr>
                      <w:rFonts w:ascii="Times New Roman" w:hAnsi="Times New Roman"/>
                      <w:color w:val="auto"/>
                      <w:szCs w:val="21"/>
                      <w:highlight w:val="none"/>
                    </w:rPr>
                    <w:t>6</w:t>
                  </w:r>
                  <w:r>
                    <w:rPr>
                      <w:rFonts w:hint="eastAsia" w:ascii="Times New Roman" w:hAnsi="Times New Roman"/>
                      <w:color w:val="auto"/>
                      <w:szCs w:val="21"/>
                      <w:highlight w:val="none"/>
                    </w:rPr>
                    <w:t>m</w:t>
                  </w:r>
                </w:p>
              </w:tc>
              <w:tc>
                <w:tcPr>
                  <w:tcW w:w="809" w:type="dxa"/>
                  <w:vAlign w:val="center"/>
                </w:tcPr>
                <w:p w14:paraId="024BA318">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szCs w:val="21"/>
                      <w:highlight w:val="none"/>
                    </w:rPr>
                    <w:t>1</w:t>
                  </w:r>
                </w:p>
              </w:tc>
              <w:tc>
                <w:tcPr>
                  <w:tcW w:w="1884" w:type="dxa"/>
                  <w:vAlign w:val="center"/>
                </w:tcPr>
                <w:p w14:paraId="65957999">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szCs w:val="21"/>
                      <w:highlight w:val="none"/>
                    </w:rPr>
                    <w:t>优质煤粉储存</w:t>
                  </w:r>
                </w:p>
              </w:tc>
            </w:tr>
            <w:tr w14:paraId="2954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25A8140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w:t>
                  </w:r>
                </w:p>
              </w:tc>
              <w:tc>
                <w:tcPr>
                  <w:tcW w:w="1959" w:type="dxa"/>
                  <w:vAlign w:val="top"/>
                </w:tcPr>
                <w:p w14:paraId="3F9A1752">
                  <w:pPr>
                    <w:tabs>
                      <w:tab w:val="left" w:pos="420"/>
                    </w:tabs>
                    <w:adjustRightInd w:val="0"/>
                    <w:snapToGrid w:val="0"/>
                    <w:spacing w:line="360" w:lineRule="auto"/>
                    <w:jc w:val="center"/>
                    <w:rPr>
                      <w:rFonts w:hint="default" w:ascii="Times New Roman" w:hAnsi="Times New Roman"/>
                      <w:color w:val="auto"/>
                      <w:szCs w:val="21"/>
                      <w:highlight w:val="none"/>
                    </w:rPr>
                  </w:pPr>
                  <w:r>
                    <w:rPr>
                      <w:rFonts w:hint="eastAsia" w:ascii="Times New Roman" w:hAnsi="Times New Roman"/>
                      <w:color w:val="auto"/>
                      <w:szCs w:val="21"/>
                      <w:highlight w:val="none"/>
                    </w:rPr>
                    <w:t>2#优质煤粉发运仓</w:t>
                  </w:r>
                </w:p>
              </w:tc>
              <w:tc>
                <w:tcPr>
                  <w:tcW w:w="2942" w:type="dxa"/>
                  <w:vAlign w:val="top"/>
                </w:tcPr>
                <w:p w14:paraId="167D1CBF">
                  <w:pPr>
                    <w:tabs>
                      <w:tab w:val="left" w:pos="420"/>
                    </w:tabs>
                    <w:adjustRightInd w:val="0"/>
                    <w:snapToGrid w:val="0"/>
                    <w:spacing w:line="360" w:lineRule="auto"/>
                    <w:jc w:val="center"/>
                    <w:rPr>
                      <w:rFonts w:hint="default" w:ascii="Times New Roman" w:hAnsi="Times New Roman"/>
                      <w:color w:val="auto"/>
                      <w:szCs w:val="21"/>
                      <w:highlight w:val="none"/>
                    </w:rPr>
                  </w:pPr>
                  <w:r>
                    <w:rPr>
                      <w:rFonts w:hint="eastAsia" w:ascii="Times New Roman" w:hAnsi="Times New Roman"/>
                      <w:color w:val="auto"/>
                      <w:szCs w:val="21"/>
                      <w:highlight w:val="none"/>
                    </w:rPr>
                    <w:t>钢仓，Ø6m</w:t>
                  </w:r>
                </w:p>
              </w:tc>
              <w:tc>
                <w:tcPr>
                  <w:tcW w:w="809" w:type="dxa"/>
                  <w:vAlign w:val="center"/>
                </w:tcPr>
                <w:p w14:paraId="7BC5D4D5">
                  <w:pPr>
                    <w:tabs>
                      <w:tab w:val="left" w:pos="420"/>
                    </w:tabs>
                    <w:adjustRightInd w:val="0"/>
                    <w:snapToGrid w:val="0"/>
                    <w:spacing w:line="360" w:lineRule="auto"/>
                    <w:jc w:val="center"/>
                    <w:rPr>
                      <w:rFonts w:hint="default" w:ascii="Times New Roman" w:hAnsi="Times New Roman"/>
                      <w:color w:val="auto"/>
                      <w:szCs w:val="21"/>
                      <w:highlight w:val="none"/>
                    </w:rPr>
                  </w:pPr>
                  <w:r>
                    <w:rPr>
                      <w:rFonts w:hint="eastAsia" w:ascii="Times New Roman" w:hAnsi="Times New Roman"/>
                      <w:color w:val="auto"/>
                      <w:szCs w:val="21"/>
                      <w:highlight w:val="none"/>
                    </w:rPr>
                    <w:t>1</w:t>
                  </w:r>
                </w:p>
              </w:tc>
              <w:tc>
                <w:tcPr>
                  <w:tcW w:w="1884" w:type="dxa"/>
                  <w:vAlign w:val="center"/>
                </w:tcPr>
                <w:p w14:paraId="5AABFF8E">
                  <w:pPr>
                    <w:tabs>
                      <w:tab w:val="left" w:pos="420"/>
                    </w:tabs>
                    <w:adjustRightInd w:val="0"/>
                    <w:snapToGrid w:val="0"/>
                    <w:spacing w:line="360" w:lineRule="auto"/>
                    <w:jc w:val="center"/>
                    <w:rPr>
                      <w:rFonts w:hint="default" w:ascii="Times New Roman" w:hAnsi="Times New Roman"/>
                      <w:color w:val="auto"/>
                      <w:szCs w:val="21"/>
                      <w:highlight w:val="none"/>
                    </w:rPr>
                  </w:pPr>
                  <w:r>
                    <w:rPr>
                      <w:rFonts w:hint="eastAsia" w:ascii="Times New Roman" w:hAnsi="Times New Roman"/>
                      <w:color w:val="auto"/>
                      <w:szCs w:val="21"/>
                      <w:highlight w:val="none"/>
                    </w:rPr>
                    <w:t>优质煤粉储存</w:t>
                  </w:r>
                </w:p>
              </w:tc>
            </w:tr>
            <w:tr w14:paraId="13BE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65D3471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1959" w:type="dxa"/>
                  <w:vAlign w:val="top"/>
                </w:tcPr>
                <w:p w14:paraId="1D16215D">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1#成品褐煤发运仓</w:t>
                  </w:r>
                </w:p>
              </w:tc>
              <w:tc>
                <w:tcPr>
                  <w:tcW w:w="2942" w:type="dxa"/>
                  <w:vAlign w:val="top"/>
                </w:tcPr>
                <w:p w14:paraId="1D8DA425">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 xml:space="preserve">钢仓，Ø6m </w:t>
                  </w:r>
                </w:p>
              </w:tc>
              <w:tc>
                <w:tcPr>
                  <w:tcW w:w="809" w:type="dxa"/>
                  <w:vAlign w:val="center"/>
                </w:tcPr>
                <w:p w14:paraId="326BE65B">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1</w:t>
                  </w:r>
                </w:p>
              </w:tc>
              <w:tc>
                <w:tcPr>
                  <w:tcW w:w="1884" w:type="dxa"/>
                  <w:vAlign w:val="center"/>
                </w:tcPr>
                <w:p w14:paraId="3242E91A">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褐煤成品装运</w:t>
                  </w:r>
                </w:p>
              </w:tc>
            </w:tr>
            <w:tr w14:paraId="62A7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3274A75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1959" w:type="dxa"/>
                  <w:vAlign w:val="top"/>
                </w:tcPr>
                <w:p w14:paraId="556A489E">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2#成品褐煤发运仓</w:t>
                  </w:r>
                </w:p>
              </w:tc>
              <w:tc>
                <w:tcPr>
                  <w:tcW w:w="2942" w:type="dxa"/>
                  <w:vAlign w:val="top"/>
                </w:tcPr>
                <w:p w14:paraId="17920F60">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 xml:space="preserve">钢仓，Ø6m </w:t>
                  </w:r>
                </w:p>
              </w:tc>
              <w:tc>
                <w:tcPr>
                  <w:tcW w:w="809" w:type="dxa"/>
                  <w:vAlign w:val="center"/>
                </w:tcPr>
                <w:p w14:paraId="0E460283">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1</w:t>
                  </w:r>
                </w:p>
              </w:tc>
              <w:tc>
                <w:tcPr>
                  <w:tcW w:w="1884" w:type="dxa"/>
                  <w:vAlign w:val="center"/>
                </w:tcPr>
                <w:p w14:paraId="3626F92B">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褐煤成品装运</w:t>
                  </w:r>
                </w:p>
              </w:tc>
            </w:tr>
            <w:tr w14:paraId="01FF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67E372D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w:t>
                  </w:r>
                </w:p>
              </w:tc>
              <w:tc>
                <w:tcPr>
                  <w:tcW w:w="1959" w:type="dxa"/>
                  <w:vAlign w:val="center"/>
                </w:tcPr>
                <w:p w14:paraId="749E55D5">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汽车散装机</w:t>
                  </w:r>
                </w:p>
              </w:tc>
              <w:tc>
                <w:tcPr>
                  <w:tcW w:w="2942" w:type="dxa"/>
                  <w:vAlign w:val="center"/>
                </w:tcPr>
                <w:p w14:paraId="37F9D580">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szCs w:val="21"/>
                      <w:highlight w:val="none"/>
                    </w:rPr>
                    <w:t>装车能力2</w:t>
                  </w:r>
                  <w:r>
                    <w:rPr>
                      <w:rFonts w:ascii="Times New Roman" w:hAnsi="Times New Roman"/>
                      <w:color w:val="auto"/>
                      <w:szCs w:val="21"/>
                      <w:highlight w:val="none"/>
                    </w:rPr>
                    <w:t>00</w:t>
                  </w:r>
                  <w:r>
                    <w:rPr>
                      <w:rFonts w:hint="eastAsia" w:ascii="Times New Roman" w:hAnsi="Times New Roman"/>
                      <w:color w:val="auto"/>
                      <w:szCs w:val="21"/>
                      <w:highlight w:val="none"/>
                    </w:rPr>
                    <w:t>t</w:t>
                  </w:r>
                  <w:r>
                    <w:rPr>
                      <w:rFonts w:ascii="Times New Roman" w:hAnsi="Times New Roman"/>
                      <w:color w:val="auto"/>
                      <w:szCs w:val="21"/>
                      <w:highlight w:val="none"/>
                    </w:rPr>
                    <w:t>/h</w:t>
                  </w:r>
                </w:p>
              </w:tc>
              <w:tc>
                <w:tcPr>
                  <w:tcW w:w="809" w:type="dxa"/>
                  <w:vAlign w:val="center"/>
                </w:tcPr>
                <w:p w14:paraId="3D1457CF">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szCs w:val="21"/>
                      <w:highlight w:val="none"/>
                    </w:rPr>
                    <w:t>2</w:t>
                  </w:r>
                </w:p>
              </w:tc>
              <w:tc>
                <w:tcPr>
                  <w:tcW w:w="1884" w:type="dxa"/>
                  <w:vAlign w:val="center"/>
                </w:tcPr>
                <w:p w14:paraId="1876AC04">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szCs w:val="21"/>
                      <w:highlight w:val="none"/>
                    </w:rPr>
                    <w:t>优质煤粉储存</w:t>
                  </w:r>
                </w:p>
              </w:tc>
            </w:tr>
            <w:tr w14:paraId="5DDB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44B2365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w:t>
                  </w:r>
                </w:p>
              </w:tc>
              <w:tc>
                <w:tcPr>
                  <w:tcW w:w="1959" w:type="dxa"/>
                  <w:vAlign w:val="center"/>
                </w:tcPr>
                <w:p w14:paraId="3A5A1106">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汽车散</w:t>
                  </w:r>
                  <w:r>
                    <w:rPr>
                      <w:rFonts w:hint="eastAsia"/>
                      <w:color w:val="auto"/>
                      <w:szCs w:val="21"/>
                      <w:highlight w:val="none"/>
                      <w:lang w:eastAsia="zh-CN"/>
                    </w:rPr>
                    <w:t>燃料</w:t>
                  </w:r>
                  <w:r>
                    <w:rPr>
                      <w:rFonts w:hint="eastAsia"/>
                      <w:color w:val="auto"/>
                      <w:szCs w:val="21"/>
                      <w:highlight w:val="none"/>
                      <w:lang w:val="en-US" w:eastAsia="zh-CN"/>
                    </w:rPr>
                    <w:t>煤</w:t>
                  </w:r>
                  <w:r>
                    <w:rPr>
                      <w:rFonts w:ascii="Times New Roman" w:hAnsi="Times New Roman"/>
                      <w:color w:val="auto"/>
                      <w:szCs w:val="21"/>
                      <w:highlight w:val="none"/>
                    </w:rPr>
                    <w:t>装机</w:t>
                  </w:r>
                </w:p>
              </w:tc>
              <w:tc>
                <w:tcPr>
                  <w:tcW w:w="2942" w:type="dxa"/>
                  <w:vAlign w:val="center"/>
                </w:tcPr>
                <w:p w14:paraId="483B40B0">
                  <w:pPr>
                    <w:tabs>
                      <w:tab w:val="left" w:pos="420"/>
                    </w:tabs>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szCs w:val="21"/>
                      <w:highlight w:val="none"/>
                    </w:rPr>
                    <w:t>装车能力2</w:t>
                  </w:r>
                  <w:r>
                    <w:rPr>
                      <w:rFonts w:ascii="Times New Roman" w:hAnsi="Times New Roman"/>
                      <w:color w:val="auto"/>
                      <w:szCs w:val="21"/>
                      <w:highlight w:val="none"/>
                    </w:rPr>
                    <w:t>00</w:t>
                  </w:r>
                  <w:r>
                    <w:rPr>
                      <w:rFonts w:hint="eastAsia" w:ascii="Times New Roman" w:hAnsi="Times New Roman"/>
                      <w:color w:val="auto"/>
                      <w:szCs w:val="21"/>
                      <w:highlight w:val="none"/>
                    </w:rPr>
                    <w:t>t</w:t>
                  </w:r>
                  <w:r>
                    <w:rPr>
                      <w:rFonts w:ascii="Times New Roman" w:hAnsi="Times New Roman"/>
                      <w:color w:val="auto"/>
                      <w:szCs w:val="21"/>
                      <w:highlight w:val="none"/>
                    </w:rPr>
                    <w:t>/h</w:t>
                  </w:r>
                </w:p>
              </w:tc>
              <w:tc>
                <w:tcPr>
                  <w:tcW w:w="809" w:type="dxa"/>
                  <w:vAlign w:val="center"/>
                </w:tcPr>
                <w:p w14:paraId="3AF1CC86">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szCs w:val="21"/>
                      <w:highlight w:val="none"/>
                    </w:rPr>
                    <w:t>2</w:t>
                  </w:r>
                </w:p>
              </w:tc>
              <w:tc>
                <w:tcPr>
                  <w:tcW w:w="1884" w:type="dxa"/>
                  <w:vAlign w:val="center"/>
                </w:tcPr>
                <w:p w14:paraId="0577A088">
                  <w:pPr>
                    <w:autoSpaceDE w:val="0"/>
                    <w:autoSpaceDN w:val="0"/>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color w:val="auto"/>
                      <w:szCs w:val="21"/>
                      <w:highlight w:val="none"/>
                    </w:rPr>
                    <w:t>褐煤成品装运</w:t>
                  </w:r>
                </w:p>
              </w:tc>
            </w:tr>
            <w:tr w14:paraId="3582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065AE2D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w:t>
                  </w:r>
                </w:p>
              </w:tc>
              <w:tc>
                <w:tcPr>
                  <w:tcW w:w="1959" w:type="dxa"/>
                  <w:vAlign w:val="center"/>
                </w:tcPr>
                <w:p w14:paraId="789D9BAB">
                  <w:pPr>
                    <w:tabs>
                      <w:tab w:val="left" w:pos="420"/>
                    </w:tabs>
                    <w:adjustRightInd w:val="0"/>
                    <w:snapToGrid w:val="0"/>
                    <w:spacing w:line="360" w:lineRule="auto"/>
                    <w:jc w:val="center"/>
                    <w:rPr>
                      <w:rFonts w:hint="default" w:ascii="Times New Roman" w:hAnsi="Times New Roman"/>
                      <w:color w:val="auto"/>
                      <w:szCs w:val="21"/>
                      <w:highlight w:val="none"/>
                    </w:rPr>
                  </w:pPr>
                  <w:r>
                    <w:rPr>
                      <w:rFonts w:hint="eastAsia" w:ascii="Times New Roman" w:hAnsi="Times New Roman"/>
                      <w:color w:val="auto"/>
                      <w:szCs w:val="21"/>
                      <w:highlight w:val="none"/>
                    </w:rPr>
                    <w:t>胶带输送机</w:t>
                  </w:r>
                </w:p>
              </w:tc>
              <w:tc>
                <w:tcPr>
                  <w:tcW w:w="2942" w:type="dxa"/>
                  <w:vAlign w:val="center"/>
                </w:tcPr>
                <w:p w14:paraId="76CABC48">
                  <w:pPr>
                    <w:tabs>
                      <w:tab w:val="left" w:pos="420"/>
                    </w:tabs>
                    <w:adjustRightInd w:val="0"/>
                    <w:snapToGrid w:val="0"/>
                    <w:spacing w:line="360" w:lineRule="auto"/>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rPr>
                    <w:t>B1000x8950mm</w:t>
                  </w:r>
                </w:p>
              </w:tc>
              <w:tc>
                <w:tcPr>
                  <w:tcW w:w="809" w:type="dxa"/>
                  <w:vAlign w:val="center"/>
                </w:tcPr>
                <w:p w14:paraId="2AA00B98">
                  <w:pPr>
                    <w:tabs>
                      <w:tab w:val="left" w:pos="420"/>
                    </w:tabs>
                    <w:adjustRightInd w:val="0"/>
                    <w:snapToGrid w:val="0"/>
                    <w:spacing w:line="360" w:lineRule="auto"/>
                    <w:jc w:val="center"/>
                    <w:rPr>
                      <w:rFonts w:hint="default" w:ascii="Times New Roman" w:hAnsi="Times New Roman"/>
                      <w:color w:val="auto"/>
                      <w:szCs w:val="21"/>
                      <w:highlight w:val="none"/>
                    </w:rPr>
                  </w:pPr>
                  <w:r>
                    <w:rPr>
                      <w:rFonts w:hint="eastAsia" w:ascii="Times New Roman" w:hAnsi="Times New Roman"/>
                      <w:color w:val="auto"/>
                      <w:szCs w:val="21"/>
                      <w:highlight w:val="none"/>
                    </w:rPr>
                    <w:t>1</w:t>
                  </w:r>
                </w:p>
              </w:tc>
              <w:tc>
                <w:tcPr>
                  <w:tcW w:w="1884" w:type="dxa"/>
                  <w:vAlign w:val="top"/>
                </w:tcPr>
                <w:p w14:paraId="454083BF">
                  <w:pPr>
                    <w:tabs>
                      <w:tab w:val="left" w:pos="420"/>
                    </w:tabs>
                    <w:adjustRightInd w:val="0"/>
                    <w:snapToGrid w:val="0"/>
                    <w:spacing w:line="360" w:lineRule="auto"/>
                    <w:jc w:val="center"/>
                    <w:rPr>
                      <w:rFonts w:hint="default" w:ascii="Times New Roman" w:hAnsi="Times New Roman"/>
                      <w:color w:val="auto"/>
                      <w:szCs w:val="21"/>
                      <w:highlight w:val="none"/>
                    </w:rPr>
                  </w:pPr>
                  <w:r>
                    <w:rPr>
                      <w:rFonts w:hint="eastAsia" w:ascii="Times New Roman" w:hAnsi="Times New Roman"/>
                      <w:color w:val="auto"/>
                      <w:szCs w:val="21"/>
                      <w:highlight w:val="none"/>
                    </w:rPr>
                    <w:t>褐煤成品装运</w:t>
                  </w:r>
                </w:p>
              </w:tc>
            </w:tr>
            <w:tr w14:paraId="181E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0123545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959" w:type="dxa"/>
                  <w:vAlign w:val="center"/>
                </w:tcPr>
                <w:p w14:paraId="37E16692">
                  <w:pPr>
                    <w:tabs>
                      <w:tab w:val="left" w:pos="420"/>
                    </w:tabs>
                    <w:adjustRightInd w:val="0"/>
                    <w:snapToGrid w:val="0"/>
                    <w:spacing w:line="360" w:lineRule="auto"/>
                    <w:jc w:val="center"/>
                    <w:rPr>
                      <w:rFonts w:hint="eastAsia" w:ascii="Times New Roman" w:hAnsi="Times New Roman" w:eastAsia="宋体"/>
                      <w:color w:val="auto"/>
                      <w:szCs w:val="21"/>
                      <w:highlight w:val="none"/>
                      <w:lang w:eastAsia="zh-CN"/>
                    </w:rPr>
                  </w:pPr>
                  <w:r>
                    <w:rPr>
                      <w:rFonts w:hint="eastAsia"/>
                      <w:color w:val="auto"/>
                      <w:szCs w:val="21"/>
                      <w:highlight w:val="none"/>
                      <w:lang w:val="en-US" w:eastAsia="zh-CN"/>
                    </w:rPr>
                    <w:t>燃料</w:t>
                  </w:r>
                  <w:r>
                    <w:rPr>
                      <w:rFonts w:hint="eastAsia"/>
                      <w:color w:val="auto"/>
                      <w:szCs w:val="21"/>
                      <w:highlight w:val="none"/>
                      <w:lang w:eastAsia="zh-CN"/>
                    </w:rPr>
                    <w:t>仓</w:t>
                  </w:r>
                </w:p>
              </w:tc>
              <w:tc>
                <w:tcPr>
                  <w:tcW w:w="2942" w:type="dxa"/>
                  <w:vAlign w:val="center"/>
                </w:tcPr>
                <w:p w14:paraId="133FFDF2">
                  <w:pPr>
                    <w:tabs>
                      <w:tab w:val="left" w:pos="420"/>
                    </w:tabs>
                    <w:adjustRightInd w:val="0"/>
                    <w:snapToGrid w:val="0"/>
                    <w:spacing w:line="360" w:lineRule="auto"/>
                    <w:jc w:val="center"/>
                    <w:rPr>
                      <w:rFonts w:hint="default" w:ascii="Times New Roman" w:hAnsi="Times New Roman" w:eastAsia="宋体"/>
                      <w:color w:val="auto"/>
                      <w:szCs w:val="21"/>
                      <w:highlight w:val="none"/>
                      <w:vertAlign w:val="superscript"/>
                      <w:lang w:val="en-US" w:eastAsia="zh-CN"/>
                    </w:rPr>
                  </w:pPr>
                  <w:r>
                    <w:rPr>
                      <w:rFonts w:hint="eastAsia"/>
                      <w:color w:val="auto"/>
                      <w:szCs w:val="21"/>
                      <w:highlight w:val="none"/>
                      <w:lang w:eastAsia="zh-CN"/>
                    </w:rPr>
                    <w:t>容积：</w:t>
                  </w:r>
                  <w:r>
                    <w:rPr>
                      <w:rFonts w:hint="eastAsia"/>
                      <w:color w:val="auto"/>
                      <w:szCs w:val="21"/>
                      <w:highlight w:val="none"/>
                      <w:lang w:val="en-US" w:eastAsia="zh-CN"/>
                    </w:rPr>
                    <w:t>33m</w:t>
                  </w:r>
                  <w:r>
                    <w:rPr>
                      <w:rFonts w:hint="eastAsia"/>
                      <w:color w:val="auto"/>
                      <w:szCs w:val="21"/>
                      <w:highlight w:val="none"/>
                      <w:vertAlign w:val="superscript"/>
                      <w:lang w:val="en-US" w:eastAsia="zh-CN"/>
                    </w:rPr>
                    <w:t>3</w:t>
                  </w:r>
                </w:p>
              </w:tc>
              <w:tc>
                <w:tcPr>
                  <w:tcW w:w="809" w:type="dxa"/>
                  <w:vAlign w:val="center"/>
                </w:tcPr>
                <w:p w14:paraId="01F7F43E">
                  <w:pPr>
                    <w:tabs>
                      <w:tab w:val="left" w:pos="420"/>
                    </w:tabs>
                    <w:adjustRightInd w:val="0"/>
                    <w:snapToGrid w:val="0"/>
                    <w:spacing w:line="360" w:lineRule="auto"/>
                    <w:jc w:val="center"/>
                    <w:rPr>
                      <w:rFonts w:hint="eastAsia" w:ascii="Times New Roman" w:hAnsi="Times New Roman" w:eastAsia="宋体"/>
                      <w:color w:val="auto"/>
                      <w:szCs w:val="21"/>
                      <w:highlight w:val="none"/>
                      <w:lang w:val="en-US" w:eastAsia="zh-CN"/>
                    </w:rPr>
                  </w:pPr>
                  <w:r>
                    <w:rPr>
                      <w:rFonts w:hint="eastAsia"/>
                      <w:color w:val="auto"/>
                      <w:szCs w:val="21"/>
                      <w:highlight w:val="none"/>
                      <w:lang w:val="en-US" w:eastAsia="zh-CN"/>
                    </w:rPr>
                    <w:t>2</w:t>
                  </w:r>
                </w:p>
              </w:tc>
              <w:tc>
                <w:tcPr>
                  <w:tcW w:w="1884" w:type="dxa"/>
                  <w:vAlign w:val="top"/>
                </w:tcPr>
                <w:p w14:paraId="0FDB350B">
                  <w:pPr>
                    <w:tabs>
                      <w:tab w:val="left" w:pos="420"/>
                    </w:tabs>
                    <w:adjustRightInd w:val="0"/>
                    <w:snapToGrid w:val="0"/>
                    <w:spacing w:line="360" w:lineRule="auto"/>
                    <w:jc w:val="center"/>
                    <w:rPr>
                      <w:rFonts w:hint="eastAsia" w:ascii="Times New Roman" w:hAnsi="Times New Roman" w:eastAsia="宋体"/>
                      <w:color w:val="auto"/>
                      <w:szCs w:val="21"/>
                      <w:highlight w:val="none"/>
                      <w:lang w:eastAsia="zh-CN"/>
                    </w:rPr>
                  </w:pPr>
                  <w:r>
                    <w:rPr>
                      <w:rFonts w:hint="eastAsia"/>
                      <w:color w:val="auto"/>
                      <w:szCs w:val="21"/>
                      <w:highlight w:val="none"/>
                      <w:lang w:eastAsia="zh-CN"/>
                    </w:rPr>
                    <w:t>燃料暂存</w:t>
                  </w:r>
                </w:p>
              </w:tc>
            </w:tr>
            <w:tr w14:paraId="2622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582" w:type="dxa"/>
                  <w:vMerge w:val="restart"/>
                  <w:vAlign w:val="center"/>
                </w:tcPr>
                <w:p w14:paraId="476A0DB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41</w:t>
                  </w:r>
                </w:p>
              </w:tc>
              <w:tc>
                <w:tcPr>
                  <w:tcW w:w="1959" w:type="dxa"/>
                  <w:vMerge w:val="restart"/>
                  <w:vAlign w:val="center"/>
                </w:tcPr>
                <w:p w14:paraId="416888D5">
                  <w:pPr>
                    <w:tabs>
                      <w:tab w:val="left" w:pos="420"/>
                    </w:tabs>
                    <w:adjustRightInd w:val="0"/>
                    <w:snapToGrid w:val="0"/>
                    <w:spacing w:line="360" w:lineRule="auto"/>
                    <w:jc w:val="center"/>
                    <w:rPr>
                      <w:rFonts w:hint="default"/>
                      <w:color w:val="auto"/>
                      <w:szCs w:val="21"/>
                      <w:highlight w:val="none"/>
                      <w:lang w:val="en-US" w:eastAsia="zh-CN"/>
                    </w:rPr>
                  </w:pPr>
                  <w:r>
                    <w:rPr>
                      <w:rFonts w:hint="eastAsia"/>
                      <w:color w:val="auto"/>
                      <w:szCs w:val="21"/>
                      <w:highlight w:val="none"/>
                      <w:lang w:val="en-US" w:eastAsia="zh-CN"/>
                    </w:rPr>
                    <w:t>煤粉尘</w:t>
                  </w:r>
                </w:p>
              </w:tc>
              <w:tc>
                <w:tcPr>
                  <w:tcW w:w="2942" w:type="dxa"/>
                  <w:vAlign w:val="center"/>
                </w:tcPr>
                <w:p w14:paraId="43572384">
                  <w:pPr>
                    <w:tabs>
                      <w:tab w:val="left" w:pos="420"/>
                    </w:tabs>
                    <w:adjustRightInd w:val="0"/>
                    <w:snapToGrid w:val="0"/>
                    <w:spacing w:line="360" w:lineRule="auto"/>
                    <w:jc w:val="center"/>
                    <w:rPr>
                      <w:rFonts w:hint="eastAsia"/>
                      <w:color w:val="auto"/>
                      <w:szCs w:val="21"/>
                      <w:highlight w:val="none"/>
                      <w:lang w:eastAsia="zh-CN"/>
                    </w:rPr>
                  </w:pPr>
                  <w:r>
                    <w:rPr>
                      <w:rFonts w:hint="eastAsia"/>
                      <w:color w:val="auto"/>
                      <w:szCs w:val="21"/>
                      <w:highlight w:val="none"/>
                      <w:lang w:val="en-US" w:eastAsia="zh-CN"/>
                    </w:rPr>
                    <w:t>容积为28m</w:t>
                  </w:r>
                  <w:r>
                    <w:rPr>
                      <w:rFonts w:hint="eastAsia"/>
                      <w:color w:val="auto"/>
                      <w:szCs w:val="21"/>
                      <w:highlight w:val="none"/>
                      <w:vertAlign w:val="superscript"/>
                      <w:lang w:val="en-US" w:eastAsia="zh-CN"/>
                    </w:rPr>
                    <w:t>3</w:t>
                  </w:r>
                </w:p>
              </w:tc>
              <w:tc>
                <w:tcPr>
                  <w:tcW w:w="809" w:type="dxa"/>
                  <w:vAlign w:val="center"/>
                </w:tcPr>
                <w:p w14:paraId="6236ACD9">
                  <w:pPr>
                    <w:tabs>
                      <w:tab w:val="left" w:pos="420"/>
                    </w:tabs>
                    <w:adjustRightInd w:val="0"/>
                    <w:snapToGrid w:val="0"/>
                    <w:spacing w:line="360" w:lineRule="auto"/>
                    <w:jc w:val="center"/>
                    <w:rPr>
                      <w:rFonts w:hint="default"/>
                      <w:color w:val="auto"/>
                      <w:szCs w:val="21"/>
                      <w:highlight w:val="none"/>
                      <w:lang w:val="en-US" w:eastAsia="zh-CN"/>
                    </w:rPr>
                  </w:pPr>
                  <w:r>
                    <w:rPr>
                      <w:rFonts w:hint="eastAsia"/>
                      <w:color w:val="auto"/>
                      <w:szCs w:val="21"/>
                      <w:highlight w:val="none"/>
                      <w:lang w:val="en-US" w:eastAsia="zh-CN"/>
                    </w:rPr>
                    <w:t>1</w:t>
                  </w:r>
                </w:p>
              </w:tc>
              <w:tc>
                <w:tcPr>
                  <w:tcW w:w="1884" w:type="dxa"/>
                  <w:vMerge w:val="restart"/>
                  <w:vAlign w:val="top"/>
                </w:tcPr>
                <w:p w14:paraId="35DADC31">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jc w:val="center"/>
                    <w:textAlignment w:val="auto"/>
                    <w:rPr>
                      <w:rFonts w:hint="eastAsia"/>
                      <w:color w:val="auto"/>
                      <w:szCs w:val="21"/>
                      <w:highlight w:val="none"/>
                      <w:lang w:eastAsia="zh-CN"/>
                    </w:rPr>
                  </w:pPr>
                  <w:r>
                    <w:rPr>
                      <w:rFonts w:hint="eastAsia" w:ascii="Times New Roman" w:hAnsi="Times New Roman"/>
                      <w:color w:val="auto"/>
                      <w:szCs w:val="21"/>
                      <w:highlight w:val="none"/>
                      <w:lang w:val="en-US" w:eastAsia="zh-CN"/>
                    </w:rPr>
                    <w:t>烘干工段除尘器收集的粉尘作为煤粉储存</w:t>
                  </w:r>
                </w:p>
              </w:tc>
            </w:tr>
            <w:tr w14:paraId="3664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582" w:type="dxa"/>
                  <w:vMerge w:val="continue"/>
                  <w:vAlign w:val="center"/>
                </w:tcPr>
                <w:p w14:paraId="23115CC9">
                  <w:pPr>
                    <w:tabs>
                      <w:tab w:val="left" w:pos="420"/>
                    </w:tabs>
                    <w:adjustRightInd w:val="0"/>
                    <w:snapToGrid w:val="0"/>
                    <w:spacing w:line="360" w:lineRule="auto"/>
                    <w:jc w:val="center"/>
                    <w:rPr>
                      <w:color w:val="auto"/>
                      <w:highlight w:val="none"/>
                    </w:rPr>
                  </w:pPr>
                </w:p>
              </w:tc>
              <w:tc>
                <w:tcPr>
                  <w:tcW w:w="1959" w:type="dxa"/>
                  <w:vMerge w:val="continue"/>
                  <w:vAlign w:val="center"/>
                </w:tcPr>
                <w:p w14:paraId="60B18580">
                  <w:pPr>
                    <w:tabs>
                      <w:tab w:val="left" w:pos="420"/>
                    </w:tabs>
                    <w:adjustRightInd w:val="0"/>
                    <w:snapToGrid w:val="0"/>
                    <w:spacing w:line="360" w:lineRule="auto"/>
                    <w:jc w:val="center"/>
                    <w:rPr>
                      <w:color w:val="auto"/>
                      <w:highlight w:val="none"/>
                    </w:rPr>
                  </w:pPr>
                </w:p>
              </w:tc>
              <w:tc>
                <w:tcPr>
                  <w:tcW w:w="2942" w:type="dxa"/>
                  <w:vAlign w:val="center"/>
                </w:tcPr>
                <w:p w14:paraId="3E27126C">
                  <w:pPr>
                    <w:tabs>
                      <w:tab w:val="left" w:pos="420"/>
                    </w:tabs>
                    <w:adjustRightInd w:val="0"/>
                    <w:snapToGrid w:val="0"/>
                    <w:spacing w:line="360" w:lineRule="auto"/>
                    <w:jc w:val="center"/>
                    <w:rPr>
                      <w:rFonts w:hint="eastAsia"/>
                      <w:color w:val="auto"/>
                      <w:szCs w:val="21"/>
                      <w:highlight w:val="none"/>
                      <w:lang w:val="en-US" w:eastAsia="zh-CN"/>
                    </w:rPr>
                  </w:pPr>
                  <w:r>
                    <w:rPr>
                      <w:rFonts w:hint="eastAsia"/>
                      <w:color w:val="auto"/>
                      <w:szCs w:val="21"/>
                      <w:highlight w:val="none"/>
                      <w:lang w:val="en-US" w:eastAsia="zh-CN"/>
                    </w:rPr>
                    <w:t>容积为200m</w:t>
                  </w:r>
                  <w:r>
                    <w:rPr>
                      <w:rFonts w:hint="eastAsia"/>
                      <w:color w:val="auto"/>
                      <w:szCs w:val="21"/>
                      <w:highlight w:val="none"/>
                      <w:vertAlign w:val="superscript"/>
                      <w:lang w:val="en-US" w:eastAsia="zh-CN"/>
                    </w:rPr>
                    <w:t>3</w:t>
                  </w:r>
                </w:p>
              </w:tc>
              <w:tc>
                <w:tcPr>
                  <w:tcW w:w="809" w:type="dxa"/>
                  <w:vAlign w:val="center"/>
                </w:tcPr>
                <w:p w14:paraId="2E8E631B">
                  <w:pPr>
                    <w:tabs>
                      <w:tab w:val="left" w:pos="420"/>
                    </w:tabs>
                    <w:adjustRightInd w:val="0"/>
                    <w:snapToGrid w:val="0"/>
                    <w:spacing w:line="360" w:lineRule="auto"/>
                    <w:jc w:val="center"/>
                    <w:rPr>
                      <w:rFonts w:hint="default"/>
                      <w:color w:val="auto"/>
                      <w:szCs w:val="21"/>
                      <w:highlight w:val="none"/>
                      <w:lang w:val="en-US" w:eastAsia="zh-CN"/>
                    </w:rPr>
                  </w:pPr>
                  <w:r>
                    <w:rPr>
                      <w:rFonts w:hint="eastAsia"/>
                      <w:color w:val="auto"/>
                      <w:szCs w:val="21"/>
                      <w:highlight w:val="none"/>
                      <w:lang w:val="en-US" w:eastAsia="zh-CN"/>
                    </w:rPr>
                    <w:t>2</w:t>
                  </w:r>
                </w:p>
              </w:tc>
              <w:tc>
                <w:tcPr>
                  <w:tcW w:w="1884" w:type="dxa"/>
                  <w:vMerge w:val="continue"/>
                  <w:vAlign w:val="top"/>
                </w:tcPr>
                <w:p w14:paraId="78B6A7F1">
                  <w:pPr>
                    <w:tabs>
                      <w:tab w:val="left" w:pos="420"/>
                    </w:tabs>
                    <w:adjustRightInd w:val="0"/>
                    <w:snapToGrid w:val="0"/>
                    <w:spacing w:line="360" w:lineRule="auto"/>
                    <w:jc w:val="center"/>
                    <w:rPr>
                      <w:rFonts w:hint="eastAsia" w:cs="Times New Roman"/>
                      <w:color w:val="auto"/>
                      <w:sz w:val="24"/>
                      <w:highlight w:val="none"/>
                      <w:vertAlign w:val="baseline"/>
                      <w:lang w:val="en-US" w:eastAsia="zh-CN"/>
                    </w:rPr>
                  </w:pPr>
                </w:p>
              </w:tc>
            </w:tr>
            <w:tr w14:paraId="6BB1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582" w:type="dxa"/>
                  <w:vAlign w:val="center"/>
                </w:tcPr>
                <w:p w14:paraId="4D053CDE">
                  <w:pPr>
                    <w:tabs>
                      <w:tab w:val="left" w:pos="420"/>
                    </w:tabs>
                    <w:adjustRightInd w:val="0"/>
                    <w:snapToGrid w:val="0"/>
                    <w:spacing w:line="360" w:lineRule="auto"/>
                    <w:jc w:val="center"/>
                    <w:rPr>
                      <w:rFonts w:hint="default" w:eastAsia="宋体"/>
                      <w:color w:val="auto"/>
                      <w:highlight w:val="none"/>
                      <w:lang w:val="en-US" w:eastAsia="zh-CN"/>
                    </w:rPr>
                  </w:pPr>
                  <w:r>
                    <w:rPr>
                      <w:rFonts w:hint="eastAsia"/>
                      <w:color w:val="auto"/>
                      <w:highlight w:val="none"/>
                      <w:lang w:val="en-US" w:eastAsia="zh-CN"/>
                    </w:rPr>
                    <w:t>42</w:t>
                  </w:r>
                </w:p>
              </w:tc>
              <w:tc>
                <w:tcPr>
                  <w:tcW w:w="1959" w:type="dxa"/>
                  <w:vAlign w:val="center"/>
                </w:tcPr>
                <w:p w14:paraId="550C98B8">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jc w:val="center"/>
                    <w:textAlignment w:val="auto"/>
                    <w:rPr>
                      <w:rFonts w:hint="eastAsia"/>
                      <w:color w:val="auto"/>
                      <w:szCs w:val="21"/>
                      <w:highlight w:val="none"/>
                      <w:lang w:val="en-US" w:eastAsia="zh-CN"/>
                    </w:rPr>
                  </w:pPr>
                  <w:r>
                    <w:rPr>
                      <w:rFonts w:hint="eastAsia"/>
                      <w:color w:val="auto"/>
                      <w:szCs w:val="21"/>
                      <w:highlight w:val="none"/>
                      <w:lang w:val="en-US" w:eastAsia="zh-CN"/>
                    </w:rPr>
                    <w:t>石灰石粉筒仓</w:t>
                  </w:r>
                </w:p>
              </w:tc>
              <w:tc>
                <w:tcPr>
                  <w:tcW w:w="2942" w:type="dxa"/>
                  <w:vAlign w:val="center"/>
                </w:tcPr>
                <w:p w14:paraId="6B345C85">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jc w:val="center"/>
                    <w:textAlignment w:val="auto"/>
                    <w:rPr>
                      <w:rFonts w:hint="eastAsia"/>
                      <w:color w:val="auto"/>
                      <w:szCs w:val="21"/>
                      <w:highlight w:val="none"/>
                      <w:lang w:val="en-US" w:eastAsia="zh-CN"/>
                    </w:rPr>
                  </w:pPr>
                  <w:r>
                    <w:rPr>
                      <w:rFonts w:hint="eastAsia"/>
                      <w:color w:val="auto"/>
                      <w:szCs w:val="21"/>
                      <w:highlight w:val="none"/>
                      <w:lang w:val="en-US" w:eastAsia="zh-CN"/>
                    </w:rPr>
                    <w:t>容积为57m</w:t>
                  </w:r>
                  <w:r>
                    <w:rPr>
                      <w:rFonts w:hint="eastAsia"/>
                      <w:color w:val="auto"/>
                      <w:szCs w:val="21"/>
                      <w:highlight w:val="none"/>
                      <w:vertAlign w:val="superscript"/>
                      <w:lang w:val="en-US" w:eastAsia="zh-CN"/>
                    </w:rPr>
                    <w:t>3</w:t>
                  </w:r>
                </w:p>
              </w:tc>
              <w:tc>
                <w:tcPr>
                  <w:tcW w:w="809" w:type="dxa"/>
                  <w:vAlign w:val="center"/>
                </w:tcPr>
                <w:p w14:paraId="0D6607BF">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1</w:t>
                  </w:r>
                </w:p>
              </w:tc>
              <w:tc>
                <w:tcPr>
                  <w:tcW w:w="1884" w:type="dxa"/>
                  <w:vAlign w:val="top"/>
                </w:tcPr>
                <w:p w14:paraId="3AEDFF58">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jc w:val="center"/>
                    <w:textAlignment w:val="auto"/>
                    <w:rPr>
                      <w:rFonts w:hint="eastAsia"/>
                      <w:color w:val="auto"/>
                      <w:szCs w:val="21"/>
                      <w:highlight w:val="none"/>
                      <w:lang w:val="en-US" w:eastAsia="zh-CN"/>
                    </w:rPr>
                  </w:pPr>
                  <w:r>
                    <w:rPr>
                      <w:rFonts w:hint="eastAsia"/>
                      <w:color w:val="auto"/>
                      <w:szCs w:val="21"/>
                      <w:highlight w:val="none"/>
                      <w:lang w:val="en-US" w:eastAsia="zh-CN"/>
                    </w:rPr>
                    <w:t>脱硫用石灰石粉储存</w:t>
                  </w:r>
                </w:p>
              </w:tc>
            </w:tr>
            <w:tr w14:paraId="6BAB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6" w:type="dxa"/>
                  <w:gridSpan w:val="5"/>
                  <w:vAlign w:val="center"/>
                </w:tcPr>
                <w:p w14:paraId="2EBF6300">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化验室</w:t>
                  </w:r>
                  <w:r>
                    <w:rPr>
                      <w:rFonts w:hint="eastAsia" w:ascii="Times New Roman" w:hAnsi="Times New Roman" w:eastAsia="宋体" w:cs="Times New Roman"/>
                      <w:color w:val="auto"/>
                      <w:sz w:val="21"/>
                      <w:szCs w:val="21"/>
                      <w:highlight w:val="none"/>
                      <w:lang w:val="en-US" w:eastAsia="zh-CN"/>
                    </w:rPr>
                    <w:t>设备</w:t>
                  </w:r>
                  <w:r>
                    <w:rPr>
                      <w:rFonts w:hint="eastAsia" w:cs="Times New Roman"/>
                      <w:color w:val="auto"/>
                      <w:sz w:val="21"/>
                      <w:szCs w:val="21"/>
                      <w:highlight w:val="none"/>
                      <w:lang w:val="en-US" w:eastAsia="zh-CN"/>
                    </w:rPr>
                    <w:t>因还在设计阶段，暂无法确定具体设备。</w:t>
                  </w:r>
                </w:p>
              </w:tc>
            </w:tr>
          </w:tbl>
          <w:p w14:paraId="57EFE5C5">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6、劳动定员及工作制度</w:t>
            </w:r>
          </w:p>
          <w:p w14:paraId="1FCE3A0B">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劳动定员：</w:t>
            </w:r>
            <w:r>
              <w:rPr>
                <w:rFonts w:hint="default" w:ascii="Times New Roman" w:hAnsi="Times New Roman" w:eastAsia="宋体" w:cs="Times New Roman"/>
                <w:color w:val="auto"/>
                <w:sz w:val="24"/>
                <w:szCs w:val="24"/>
                <w:highlight w:val="none"/>
              </w:rPr>
              <w:t>本项目运营期间工作人员数量为</w:t>
            </w:r>
            <w:r>
              <w:rPr>
                <w:rFonts w:hint="eastAsia" w:cs="Times New Roman"/>
                <w:color w:val="auto"/>
                <w:sz w:val="24"/>
                <w:szCs w:val="24"/>
                <w:highlight w:val="none"/>
                <w:lang w:val="en-US" w:eastAsia="zh-CN"/>
              </w:rPr>
              <w:t>85人</w:t>
            </w:r>
            <w:r>
              <w:rPr>
                <w:rFonts w:hint="default" w:ascii="Times New Roman" w:hAnsi="Times New Roman" w:eastAsia="宋体" w:cs="Times New Roman"/>
                <w:color w:val="auto"/>
                <w:sz w:val="24"/>
                <w:szCs w:val="24"/>
                <w:highlight w:val="none"/>
              </w:rPr>
              <w:t>，项目区</w:t>
            </w:r>
            <w:r>
              <w:rPr>
                <w:rFonts w:hint="eastAsia" w:cs="Times New Roman"/>
                <w:color w:val="auto"/>
                <w:sz w:val="24"/>
                <w:szCs w:val="24"/>
                <w:highlight w:val="none"/>
                <w:lang w:eastAsia="zh-CN"/>
              </w:rPr>
              <w:t>不设宿舍及食堂</w:t>
            </w:r>
            <w:r>
              <w:rPr>
                <w:rFonts w:hint="default" w:ascii="Times New Roman" w:hAnsi="Times New Roman" w:eastAsia="宋体" w:cs="Times New Roman"/>
                <w:color w:val="auto"/>
                <w:sz w:val="24"/>
                <w:szCs w:val="24"/>
                <w:highlight w:val="none"/>
              </w:rPr>
              <w:t>。</w:t>
            </w:r>
          </w:p>
          <w:p w14:paraId="3C202A81">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工作制度：</w:t>
            </w:r>
            <w:r>
              <w:rPr>
                <w:rFonts w:hint="default" w:ascii="Times New Roman" w:hAnsi="Times New Roman" w:eastAsia="宋体" w:cs="Times New Roman"/>
                <w:color w:val="auto"/>
                <w:sz w:val="24"/>
                <w:szCs w:val="24"/>
                <w:highlight w:val="none"/>
              </w:rPr>
              <w:t>年工作天数</w:t>
            </w:r>
            <w:r>
              <w:rPr>
                <w:rFonts w:hint="eastAsia"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rPr>
              <w:t>0天，实行</w:t>
            </w:r>
            <w:r>
              <w:rPr>
                <w:rFonts w:hint="eastAsia" w:cs="Times New Roman"/>
                <w:color w:val="auto"/>
                <w:sz w:val="24"/>
                <w:szCs w:val="24"/>
                <w:highlight w:val="none"/>
                <w:lang w:eastAsia="zh-CN"/>
              </w:rPr>
              <w:t>三</w:t>
            </w:r>
            <w:r>
              <w:rPr>
                <w:rFonts w:hint="default" w:ascii="Times New Roman" w:hAnsi="Times New Roman" w:eastAsia="宋体" w:cs="Times New Roman"/>
                <w:color w:val="auto"/>
                <w:sz w:val="24"/>
                <w:szCs w:val="24"/>
                <w:highlight w:val="none"/>
              </w:rPr>
              <w:t>班制，每班工作8小时</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年总生产时间为</w:t>
            </w:r>
            <w:r>
              <w:rPr>
                <w:rFonts w:hint="eastAsia" w:cs="Times New Roman"/>
                <w:color w:val="auto"/>
                <w:sz w:val="24"/>
                <w:szCs w:val="24"/>
                <w:highlight w:val="none"/>
                <w:lang w:val="en-US" w:eastAsia="zh-CN"/>
              </w:rPr>
              <w:t>6744</w:t>
            </w:r>
            <w:r>
              <w:rPr>
                <w:rFonts w:hint="default" w:ascii="Times New Roman" w:hAnsi="Times New Roman" w:eastAsia="宋体" w:cs="Times New Roman"/>
                <w:color w:val="auto"/>
                <w:sz w:val="24"/>
                <w:szCs w:val="24"/>
                <w:highlight w:val="none"/>
              </w:rPr>
              <w:t>小时</w:t>
            </w:r>
            <w:r>
              <w:rPr>
                <w:rFonts w:hint="default" w:ascii="Times New Roman" w:hAnsi="Times New Roman" w:eastAsia="宋体" w:cs="Times New Roman"/>
                <w:color w:val="auto"/>
                <w:sz w:val="24"/>
                <w:szCs w:val="24"/>
                <w:highlight w:val="none"/>
                <w:lang w:bidi="en-US"/>
              </w:rPr>
              <w:t>。</w:t>
            </w:r>
          </w:p>
          <w:p w14:paraId="40E3662A">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7、施工进度</w:t>
            </w:r>
          </w:p>
          <w:p w14:paraId="115E076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项目开发建设时段划分为两个时段，分别为施工期和运营期。</w:t>
            </w:r>
          </w:p>
          <w:p w14:paraId="3365920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本项目现还未动工，计划于</w:t>
            </w:r>
            <w:r>
              <w:rPr>
                <w:rFonts w:hint="default" w:ascii="Times New Roman" w:hAnsi="Times New Roman" w:eastAsia="宋体" w:cs="Times New Roman"/>
                <w:color w:val="auto"/>
                <w:sz w:val="24"/>
                <w:highlight w:val="none"/>
                <w:lang w:val="en-US" w:eastAsia="zh-CN"/>
              </w:rPr>
              <w:t>202</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月开始</w:t>
            </w:r>
            <w:r>
              <w:rPr>
                <w:rFonts w:hint="eastAsia" w:cs="Times New Roman"/>
                <w:color w:val="auto"/>
                <w:sz w:val="24"/>
                <w:highlight w:val="none"/>
                <w:lang w:eastAsia="zh-CN"/>
              </w:rPr>
              <w:t>动工</w:t>
            </w:r>
            <w:r>
              <w:rPr>
                <w:rFonts w:hint="default" w:ascii="Times New Roman" w:hAnsi="Times New Roman" w:eastAsia="宋体" w:cs="Times New Roman"/>
                <w:color w:val="auto"/>
                <w:sz w:val="24"/>
                <w:highlight w:val="none"/>
              </w:rPr>
              <w:t>，预计于202</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12</w:t>
            </w:r>
            <w:r>
              <w:rPr>
                <w:rFonts w:hint="default" w:ascii="Times New Roman" w:hAnsi="Times New Roman" w:eastAsia="宋体" w:cs="Times New Roman"/>
                <w:color w:val="auto"/>
                <w:sz w:val="24"/>
                <w:highlight w:val="none"/>
              </w:rPr>
              <w:t>月竣工</w:t>
            </w:r>
            <w:r>
              <w:rPr>
                <w:rFonts w:hint="default" w:ascii="Times New Roman" w:hAnsi="Times New Roman" w:eastAsia="宋体" w:cs="Times New Roman"/>
                <w:color w:val="auto"/>
                <w:sz w:val="24"/>
                <w:highlight w:val="none"/>
                <w:lang w:eastAsia="zh-CN"/>
              </w:rPr>
              <w:t>，施工期约</w:t>
            </w:r>
            <w:r>
              <w:rPr>
                <w:rFonts w:hint="eastAsia" w:cs="Times New Roman"/>
                <w:color w:val="auto"/>
                <w:sz w:val="24"/>
                <w:highlight w:val="none"/>
                <w:lang w:val="en-US" w:eastAsia="zh-CN"/>
              </w:rPr>
              <w:t>24</w:t>
            </w:r>
            <w:r>
              <w:rPr>
                <w:rFonts w:hint="default" w:ascii="Times New Roman" w:hAnsi="Times New Roman" w:eastAsia="宋体" w:cs="Times New Roman"/>
                <w:color w:val="auto"/>
                <w:sz w:val="24"/>
                <w:highlight w:val="none"/>
                <w:lang w:val="en-US" w:eastAsia="zh-CN"/>
              </w:rPr>
              <w:t>个月</w:t>
            </w:r>
            <w:r>
              <w:rPr>
                <w:rFonts w:hint="eastAsia" w:cs="Times New Roman"/>
                <w:color w:val="auto"/>
                <w:sz w:val="24"/>
                <w:highlight w:val="none"/>
                <w:lang w:val="en-US" w:eastAsia="zh-CN"/>
              </w:rPr>
              <w:t>。</w:t>
            </w:r>
          </w:p>
          <w:p w14:paraId="00FBD8F8">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8、环保投资</w:t>
            </w:r>
          </w:p>
          <w:p w14:paraId="26134873">
            <w:pPr>
              <w:adjustRightInd w:val="0"/>
              <w:snapToGrid w:val="0"/>
              <w:spacing w:line="360" w:lineRule="auto"/>
              <w:ind w:firstLine="480" w:firstLineChars="200"/>
              <w:rPr>
                <w:rFonts w:hint="default" w:ascii="Times New Roman" w:hAnsi="Times New Roman" w:eastAsia="宋体" w:cs="Times New Roman"/>
                <w:color w:val="auto"/>
                <w:sz w:val="24"/>
                <w:highlight w:val="none"/>
                <w:shd w:val="clear" w:color="auto" w:fill="FFFF00"/>
              </w:rPr>
            </w:pPr>
            <w:r>
              <w:rPr>
                <w:rFonts w:hint="default" w:ascii="Times New Roman" w:hAnsi="Times New Roman" w:eastAsia="宋体" w:cs="Times New Roman"/>
                <w:color w:val="auto"/>
                <w:sz w:val="24"/>
                <w:highlight w:val="none"/>
              </w:rPr>
              <w:t>项目总投资</w:t>
            </w:r>
            <w:r>
              <w:rPr>
                <w:rFonts w:hint="eastAsia" w:cs="Times New Roman"/>
                <w:color w:val="auto"/>
                <w:sz w:val="24"/>
                <w:szCs w:val="24"/>
                <w:highlight w:val="none"/>
                <w:lang w:val="en-US" w:eastAsia="zh-CN"/>
              </w:rPr>
              <w:t>35000</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val="en-US" w:eastAsia="zh-CN"/>
              </w:rPr>
              <w:t>其中环保</w:t>
            </w:r>
            <w:r>
              <w:rPr>
                <w:rFonts w:hint="default" w:ascii="Times New Roman" w:hAnsi="Times New Roman" w:eastAsia="宋体" w:cs="Times New Roman"/>
                <w:color w:val="auto"/>
                <w:sz w:val="24"/>
                <w:highlight w:val="none"/>
              </w:rPr>
              <w:t>投资</w:t>
            </w:r>
            <w:r>
              <w:rPr>
                <w:rFonts w:hint="eastAsia" w:cs="Times New Roman"/>
                <w:color w:val="auto"/>
                <w:sz w:val="24"/>
                <w:highlight w:val="none"/>
                <w:lang w:val="en-US" w:eastAsia="zh-CN"/>
              </w:rPr>
              <w:t>2981</w:t>
            </w:r>
            <w:r>
              <w:rPr>
                <w:rFonts w:hint="default" w:ascii="Times New Roman" w:hAnsi="Times New Roman" w:eastAsia="宋体" w:cs="Times New Roman"/>
                <w:color w:val="auto"/>
                <w:sz w:val="24"/>
                <w:highlight w:val="none"/>
              </w:rPr>
              <w:t>万元，占总投资的</w:t>
            </w:r>
            <w:r>
              <w:rPr>
                <w:rFonts w:hint="eastAsia" w:cs="Times New Roman"/>
                <w:color w:val="auto"/>
                <w:sz w:val="24"/>
                <w:highlight w:val="none"/>
                <w:lang w:val="en-US" w:eastAsia="zh-CN"/>
              </w:rPr>
              <w:t>8.52</w:t>
            </w:r>
            <w:r>
              <w:rPr>
                <w:rFonts w:hint="default" w:ascii="Times New Roman" w:hAnsi="Times New Roman" w:eastAsia="宋体" w:cs="Times New Roman"/>
                <w:color w:val="auto"/>
                <w:sz w:val="24"/>
                <w:highlight w:val="none"/>
              </w:rPr>
              <w:t>%，项目环保投资情况见表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w:t>
            </w:r>
          </w:p>
          <w:p w14:paraId="3F2A937D">
            <w:pPr>
              <w:pStyle w:val="13"/>
              <w:spacing w:after="0" w:line="240" w:lineRule="auto"/>
              <w:ind w:left="0" w:leftChars="0" w:firstLine="422"/>
              <w:jc w:val="center"/>
              <w:rPr>
                <w:rFonts w:hint="eastAsia"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w:t>
            </w:r>
            <w:r>
              <w:rPr>
                <w:rFonts w:hint="eastAsia" w:cs="Times New Roman"/>
                <w:b/>
                <w:color w:val="auto"/>
                <w:sz w:val="21"/>
                <w:szCs w:val="21"/>
                <w:highlight w:val="none"/>
                <w:lang w:val="en-US" w:eastAsia="zh-CN"/>
              </w:rPr>
              <w:t>9</w:t>
            </w:r>
            <w:r>
              <w:rPr>
                <w:rFonts w:hint="default" w:ascii="Times New Roman" w:hAnsi="Times New Roman" w:eastAsia="宋体" w:cs="Times New Roman"/>
                <w:b/>
                <w:color w:val="auto"/>
                <w:sz w:val="21"/>
                <w:szCs w:val="21"/>
                <w:highlight w:val="none"/>
              </w:rPr>
              <w:t xml:space="preserve">   </w:t>
            </w:r>
            <w:r>
              <w:rPr>
                <w:rFonts w:hint="eastAsia" w:cs="Times New Roman"/>
                <w:b/>
                <w:color w:val="auto"/>
                <w:sz w:val="21"/>
                <w:szCs w:val="21"/>
                <w:highlight w:val="none"/>
                <w:lang w:eastAsia="zh-CN"/>
              </w:rPr>
              <w:t>项目</w:t>
            </w:r>
            <w:r>
              <w:rPr>
                <w:rFonts w:hint="default" w:ascii="Times New Roman" w:hAnsi="Times New Roman" w:eastAsia="宋体" w:cs="Times New Roman"/>
                <w:b/>
                <w:color w:val="auto"/>
                <w:sz w:val="21"/>
                <w:szCs w:val="21"/>
                <w:highlight w:val="none"/>
              </w:rPr>
              <w:t>环保投资概算表   单位：万</w:t>
            </w:r>
            <w:r>
              <w:rPr>
                <w:rFonts w:hint="eastAsia" w:cs="Times New Roman"/>
                <w:b/>
                <w:color w:val="auto"/>
                <w:sz w:val="21"/>
                <w:szCs w:val="21"/>
                <w:highlight w:val="none"/>
                <w:lang w:eastAsia="zh-CN"/>
              </w:rPr>
              <w:t>元</w:t>
            </w:r>
          </w:p>
          <w:tbl>
            <w:tblPr>
              <w:tblStyle w:val="27"/>
              <w:tblW w:w="8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418"/>
              <w:gridCol w:w="1237"/>
              <w:gridCol w:w="4114"/>
              <w:gridCol w:w="598"/>
              <w:gridCol w:w="676"/>
              <w:gridCol w:w="706"/>
            </w:tblGrid>
            <w:tr w14:paraId="7CB7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dxa"/>
                  <w:noWrap w:val="0"/>
                  <w:vAlign w:val="center"/>
                </w:tcPr>
                <w:p w14:paraId="6ADD8129">
                  <w:pPr>
                    <w:pStyle w:val="6"/>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类别</w:t>
                  </w:r>
                </w:p>
              </w:tc>
              <w:tc>
                <w:tcPr>
                  <w:tcW w:w="1655" w:type="dxa"/>
                  <w:gridSpan w:val="2"/>
                  <w:noWrap w:val="0"/>
                  <w:vAlign w:val="center"/>
                </w:tcPr>
                <w:p w14:paraId="4E7ABEE5">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4114" w:type="dxa"/>
                  <w:noWrap w:val="0"/>
                  <w:vAlign w:val="center"/>
                </w:tcPr>
                <w:p w14:paraId="55CB772A">
                  <w:pPr>
                    <w:pStyle w:val="6"/>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环保设施</w:t>
                  </w:r>
                </w:p>
              </w:tc>
              <w:tc>
                <w:tcPr>
                  <w:tcW w:w="598" w:type="dxa"/>
                  <w:noWrap w:val="0"/>
                  <w:vAlign w:val="center"/>
                </w:tcPr>
                <w:p w14:paraId="71BC3061">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676" w:type="dxa"/>
                  <w:noWrap w:val="0"/>
                  <w:vAlign w:val="center"/>
                </w:tcPr>
                <w:p w14:paraId="3754F29F">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投资概算</w:t>
                  </w:r>
                </w:p>
              </w:tc>
              <w:tc>
                <w:tcPr>
                  <w:tcW w:w="706" w:type="dxa"/>
                  <w:noWrap w:val="0"/>
                  <w:vAlign w:val="center"/>
                </w:tcPr>
                <w:p w14:paraId="39122B09">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14:paraId="2E06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restart"/>
                  <w:noWrap w:val="0"/>
                  <w:vAlign w:val="center"/>
                </w:tcPr>
                <w:p w14:paraId="63AD15F0">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1655" w:type="dxa"/>
                  <w:gridSpan w:val="2"/>
                  <w:noWrap w:val="0"/>
                  <w:vAlign w:val="center"/>
                </w:tcPr>
                <w:p w14:paraId="4DEEBB8A">
                  <w:pPr>
                    <w:jc w:val="center"/>
                    <w:rPr>
                      <w:rFonts w:hint="default" w:ascii="Times New Roman" w:hAnsi="Times New Roman" w:eastAsia="宋体" w:cs="Times New Roman"/>
                      <w:color w:val="auto"/>
                      <w:sz w:val="21"/>
                      <w:szCs w:val="21"/>
                      <w:highlight w:val="none"/>
                    </w:rPr>
                  </w:pPr>
                  <w:r>
                    <w:rPr>
                      <w:rFonts w:hint="eastAsia" w:cs="Times New Roman"/>
                      <w:color w:val="auto"/>
                      <w:szCs w:val="21"/>
                      <w:highlight w:val="none"/>
                      <w:lang w:eastAsia="zh-CN"/>
                    </w:rPr>
                    <w:t>卸料扬</w:t>
                  </w:r>
                  <w:r>
                    <w:rPr>
                      <w:rFonts w:hint="default" w:ascii="Times New Roman" w:hAnsi="Times New Roman" w:eastAsia="宋体" w:cs="Times New Roman"/>
                      <w:color w:val="auto"/>
                      <w:szCs w:val="21"/>
                      <w:highlight w:val="none"/>
                    </w:rPr>
                    <w:t>尘</w:t>
                  </w:r>
                </w:p>
              </w:tc>
              <w:tc>
                <w:tcPr>
                  <w:tcW w:w="4114" w:type="dxa"/>
                  <w:noWrap w:val="0"/>
                  <w:vAlign w:val="center"/>
                </w:tcPr>
                <w:p w14:paraId="3E4CB8A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1套集气罩+收尘风管+布袋除尘器+15.5m高排气筒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卸料</w:t>
                  </w:r>
                  <w:r>
                    <w:rPr>
                      <w:rFonts w:hint="default" w:ascii="Times New Roman" w:hAnsi="Times New Roman" w:eastAsia="宋体" w:cs="Times New Roman"/>
                      <w:color w:val="auto"/>
                      <w:sz w:val="21"/>
                      <w:szCs w:val="21"/>
                      <w:highlight w:val="none"/>
                    </w:rPr>
                    <w:t>过程产生的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68005331">
                  <w:pPr>
                    <w:pStyle w:val="83"/>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198CFE82">
                  <w:pPr>
                    <w:spacing w:line="240" w:lineRule="auto"/>
                    <w:ind w:firstLine="0" w:firstLineChars="0"/>
                    <w:jc w:val="center"/>
                    <w:rPr>
                      <w:rFonts w:hint="default" w:ascii="Times New Roman" w:hAnsi="Times New Roman" w:eastAsia="宋体" w:cs="Times New Roman"/>
                      <w:bCs/>
                      <w:color w:val="auto"/>
                      <w:sz w:val="21"/>
                      <w:szCs w:val="21"/>
                      <w:highlight w:val="none"/>
                      <w:lang w:val="en-US"/>
                    </w:rPr>
                  </w:pPr>
                  <w:r>
                    <w:rPr>
                      <w:rFonts w:hint="eastAsia" w:cs="Times New Roman"/>
                      <w:bCs/>
                      <w:color w:val="auto"/>
                      <w:sz w:val="21"/>
                      <w:szCs w:val="21"/>
                      <w:highlight w:val="none"/>
                      <w:lang w:val="en-US" w:eastAsia="zh-CN"/>
                    </w:rPr>
                    <w:t>90</w:t>
                  </w:r>
                </w:p>
              </w:tc>
              <w:tc>
                <w:tcPr>
                  <w:tcW w:w="706" w:type="dxa"/>
                  <w:noWrap w:val="0"/>
                  <w:vAlign w:val="center"/>
                </w:tcPr>
                <w:p w14:paraId="28E64CB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531E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420" w:type="dxa"/>
                  <w:vMerge w:val="continue"/>
                  <w:noWrap w:val="0"/>
                  <w:vAlign w:val="center"/>
                </w:tcPr>
                <w:p w14:paraId="4CA2683C">
                  <w:pPr>
                    <w:spacing w:line="240" w:lineRule="auto"/>
                    <w:ind w:firstLine="0" w:firstLineChars="0"/>
                    <w:jc w:val="center"/>
                    <w:rPr>
                      <w:color w:val="auto"/>
                      <w:highlight w:val="none"/>
                    </w:rPr>
                  </w:pPr>
                </w:p>
              </w:tc>
              <w:tc>
                <w:tcPr>
                  <w:tcW w:w="1655" w:type="dxa"/>
                  <w:gridSpan w:val="2"/>
                  <w:noWrap w:val="0"/>
                  <w:vAlign w:val="center"/>
                </w:tcPr>
                <w:p w14:paraId="03B1CF15">
                  <w:pPr>
                    <w:jc w:val="center"/>
                    <w:rPr>
                      <w:rFonts w:hint="eastAsia" w:cs="Times New Roman"/>
                      <w:color w:val="auto"/>
                      <w:szCs w:val="21"/>
                      <w:highlight w:val="none"/>
                      <w:lang w:eastAsia="zh-CN"/>
                    </w:rPr>
                  </w:pPr>
                  <w:r>
                    <w:rPr>
                      <w:rFonts w:hint="eastAsia" w:cs="Times New Roman"/>
                      <w:color w:val="auto"/>
                      <w:szCs w:val="21"/>
                      <w:highlight w:val="none"/>
                      <w:lang w:eastAsia="zh-CN"/>
                    </w:rPr>
                    <w:t>原料堆场扬尘</w:t>
                  </w:r>
                  <w:r>
                    <w:rPr>
                      <w:rFonts w:hint="default" w:ascii="Times New Roman" w:hAnsi="Times New Roman" w:eastAsia="宋体" w:cs="Times New Roman"/>
                      <w:color w:val="auto"/>
                      <w:szCs w:val="21"/>
                      <w:highlight w:val="none"/>
                      <w:lang w:eastAsia="zh-CN"/>
                    </w:rPr>
                    <w:t>（</w:t>
                  </w:r>
                  <w:r>
                    <w:rPr>
                      <w:rFonts w:hint="eastAsia" w:cs="Times New Roman"/>
                      <w:color w:val="auto"/>
                      <w:szCs w:val="21"/>
                      <w:highlight w:val="none"/>
                      <w:lang w:val="en-US" w:eastAsia="zh-CN"/>
                    </w:rPr>
                    <w:t>原料堆棚、均化堆场</w:t>
                  </w:r>
                  <w:r>
                    <w:rPr>
                      <w:rFonts w:hint="default" w:ascii="Times New Roman" w:hAnsi="Times New Roman" w:eastAsia="宋体" w:cs="Times New Roman"/>
                      <w:color w:val="auto"/>
                      <w:szCs w:val="21"/>
                      <w:highlight w:val="none"/>
                      <w:lang w:eastAsia="zh-CN"/>
                    </w:rPr>
                    <w:t>）</w:t>
                  </w:r>
                </w:p>
              </w:tc>
              <w:tc>
                <w:tcPr>
                  <w:tcW w:w="4114" w:type="dxa"/>
                  <w:noWrap w:val="0"/>
                  <w:vAlign w:val="center"/>
                </w:tcPr>
                <w:p w14:paraId="09321EEA">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r>
                    <w:rPr>
                      <w:rFonts w:hint="eastAsia" w:ascii="Times New Roman" w:hAnsi="Times New Roman" w:eastAsia="宋体" w:cs="Times New Roman"/>
                      <w:color w:val="auto"/>
                      <w:spacing w:val="-8"/>
                      <w:sz w:val="21"/>
                      <w:szCs w:val="21"/>
                      <w:highlight w:val="none"/>
                      <w:lang w:eastAsia="zh-CN"/>
                    </w:rPr>
                    <w:t>原料</w:t>
                  </w:r>
                  <w:r>
                    <w:rPr>
                      <w:rFonts w:hint="eastAsia" w:cs="Times New Roman"/>
                      <w:color w:val="auto"/>
                      <w:spacing w:val="-8"/>
                      <w:sz w:val="21"/>
                      <w:szCs w:val="21"/>
                      <w:highlight w:val="none"/>
                      <w:lang w:eastAsia="zh-CN"/>
                    </w:rPr>
                    <w:t>煤</w:t>
                  </w:r>
                  <w:r>
                    <w:rPr>
                      <w:rFonts w:hint="eastAsia" w:ascii="Times New Roman" w:hAnsi="Times New Roman" w:eastAsia="宋体" w:cs="Times New Roman"/>
                      <w:color w:val="auto"/>
                      <w:spacing w:val="-8"/>
                      <w:sz w:val="21"/>
                      <w:szCs w:val="21"/>
                      <w:highlight w:val="none"/>
                      <w:lang w:eastAsia="zh-CN"/>
                    </w:rPr>
                    <w:t>储存区为全封闭厂房，</w:t>
                  </w:r>
                  <w:r>
                    <w:rPr>
                      <w:rFonts w:hint="default" w:ascii="Times New Roman" w:hAnsi="Times New Roman" w:eastAsia="宋体" w:cs="Times New Roman"/>
                      <w:color w:val="auto"/>
                      <w:spacing w:val="-3"/>
                      <w:sz w:val="21"/>
                      <w:szCs w:val="21"/>
                      <w:highlight w:val="none"/>
                    </w:rPr>
                    <w:t>其产生</w:t>
                  </w:r>
                  <w:r>
                    <w:rPr>
                      <w:rFonts w:hint="default" w:ascii="Times New Roman" w:hAnsi="Times New Roman" w:eastAsia="宋体" w:cs="Times New Roman"/>
                      <w:color w:val="auto"/>
                      <w:spacing w:val="-5"/>
                      <w:sz w:val="21"/>
                      <w:szCs w:val="21"/>
                      <w:highlight w:val="none"/>
                    </w:rPr>
                    <w:t>的无组织扬尘</w:t>
                  </w:r>
                  <w:r>
                    <w:rPr>
                      <w:rFonts w:hint="eastAsia" w:cs="Times New Roman"/>
                      <w:color w:val="auto"/>
                      <w:spacing w:val="-5"/>
                      <w:sz w:val="21"/>
                      <w:szCs w:val="21"/>
                      <w:highlight w:val="none"/>
                      <w:lang w:eastAsia="zh-CN"/>
                    </w:rPr>
                    <w:t>均在堆棚内</w:t>
                  </w:r>
                  <w:r>
                    <w:rPr>
                      <w:rFonts w:hint="default" w:ascii="Times New Roman" w:hAnsi="Times New Roman" w:eastAsia="宋体" w:cs="Times New Roman"/>
                      <w:color w:val="auto"/>
                      <w:spacing w:val="-11"/>
                      <w:sz w:val="21"/>
                      <w:szCs w:val="21"/>
                      <w:highlight w:val="none"/>
                    </w:rPr>
                    <w:t>，</w:t>
                  </w:r>
                  <w:r>
                    <w:rPr>
                      <w:rFonts w:hint="eastAsia" w:cs="Times New Roman"/>
                      <w:color w:val="auto"/>
                      <w:spacing w:val="-11"/>
                      <w:sz w:val="21"/>
                      <w:szCs w:val="21"/>
                      <w:highlight w:val="none"/>
                      <w:lang w:eastAsia="zh-CN"/>
                    </w:rPr>
                    <w:t>仅有少量扬尘在开门时溢出。</w:t>
                  </w:r>
                </w:p>
              </w:tc>
              <w:tc>
                <w:tcPr>
                  <w:tcW w:w="598" w:type="dxa"/>
                  <w:noWrap w:val="0"/>
                  <w:vAlign w:val="center"/>
                </w:tcPr>
                <w:p w14:paraId="585F1D43">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676" w:type="dxa"/>
                  <w:noWrap w:val="0"/>
                  <w:vAlign w:val="center"/>
                </w:tcPr>
                <w:p w14:paraId="4CE17BD8">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计算进总投资额里，不单独另计</w:t>
                  </w:r>
                </w:p>
              </w:tc>
              <w:tc>
                <w:tcPr>
                  <w:tcW w:w="706" w:type="dxa"/>
                  <w:noWrap w:val="0"/>
                  <w:vAlign w:val="center"/>
                </w:tcPr>
                <w:p w14:paraId="777A84E1">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tr w14:paraId="45F7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672EB4C3">
                  <w:pPr>
                    <w:spacing w:line="240" w:lineRule="auto"/>
                    <w:ind w:firstLine="0" w:firstLineChars="0"/>
                    <w:jc w:val="center"/>
                    <w:rPr>
                      <w:rFonts w:hint="eastAsia" w:cs="Times New Roman"/>
                      <w:color w:val="auto"/>
                      <w:szCs w:val="21"/>
                      <w:highlight w:val="none"/>
                      <w:lang w:eastAsia="zh-CN"/>
                    </w:rPr>
                  </w:pPr>
                </w:p>
              </w:tc>
              <w:tc>
                <w:tcPr>
                  <w:tcW w:w="1655" w:type="dxa"/>
                  <w:gridSpan w:val="2"/>
                  <w:noWrap w:val="0"/>
                  <w:vAlign w:val="center"/>
                </w:tcPr>
                <w:p w14:paraId="6F8B6218">
                  <w:pPr>
                    <w:pStyle w:val="25"/>
                    <w:spacing w:after="0"/>
                    <w:ind w:firstLine="0" w:firstLineChars="0"/>
                    <w:jc w:val="center"/>
                    <w:rPr>
                      <w:rFonts w:hint="eastAsia" w:cs="Times New Roman"/>
                      <w:color w:val="auto"/>
                      <w:szCs w:val="21"/>
                      <w:highlight w:val="none"/>
                      <w:lang w:eastAsia="zh-CN"/>
                    </w:rPr>
                  </w:pPr>
                  <w:r>
                    <w:rPr>
                      <w:rFonts w:hint="eastAsia" w:cs="Times New Roman"/>
                      <w:color w:val="auto"/>
                      <w:kern w:val="2"/>
                      <w:sz w:val="21"/>
                      <w:szCs w:val="21"/>
                      <w:highlight w:val="none"/>
                      <w:lang w:val="en-US" w:eastAsia="zh-CN" w:bidi="ar-SA"/>
                    </w:rPr>
                    <w:t>破碎</w:t>
                  </w:r>
                  <w:r>
                    <w:rPr>
                      <w:rFonts w:hint="eastAsia" w:ascii="Times New Roman" w:hAnsi="Times New Roman" w:eastAsia="宋体" w:cs="Times New Roman"/>
                      <w:color w:val="auto"/>
                      <w:kern w:val="2"/>
                      <w:sz w:val="21"/>
                      <w:szCs w:val="21"/>
                      <w:highlight w:val="none"/>
                      <w:lang w:val="en-US" w:eastAsia="zh-CN" w:bidi="ar-SA"/>
                    </w:rPr>
                    <w:t>粉尘</w:t>
                  </w:r>
                </w:p>
              </w:tc>
              <w:tc>
                <w:tcPr>
                  <w:tcW w:w="4114" w:type="dxa"/>
                  <w:noWrap w:val="0"/>
                  <w:vAlign w:val="center"/>
                </w:tcPr>
                <w:p w14:paraId="6ACB716C">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1套集气罩+收尘风管+布袋除尘器+15.5m高排气筒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破碎</w:t>
                  </w:r>
                  <w:r>
                    <w:rPr>
                      <w:rFonts w:hint="default" w:ascii="Times New Roman" w:hAnsi="Times New Roman" w:eastAsia="宋体" w:cs="Times New Roman"/>
                      <w:color w:val="auto"/>
                      <w:sz w:val="21"/>
                      <w:szCs w:val="21"/>
                      <w:highlight w:val="none"/>
                    </w:rPr>
                    <w:t>过程产生的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38D97EB5">
                  <w:pPr>
                    <w:pStyle w:val="83"/>
                    <w:adjustRightInd/>
                    <w:spacing w:before="0" w:after="0" w:line="240" w:lineRule="auto"/>
                    <w:ind w:firstLine="0" w:firstLineChars="0"/>
                    <w:jc w:val="center"/>
                    <w:rPr>
                      <w:rFonts w:hint="eastAsia" w:cs="Times New Roman"/>
                      <w:color w:val="auto"/>
                      <w:szCs w:val="21"/>
                      <w:highlight w:val="none"/>
                      <w:lang w:eastAsia="zh-CN"/>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58106946">
                  <w:pPr>
                    <w:spacing w:line="240" w:lineRule="auto"/>
                    <w:ind w:firstLine="0" w:firstLineChars="0"/>
                    <w:jc w:val="center"/>
                    <w:rPr>
                      <w:rFonts w:hint="default" w:cs="Times New Roman"/>
                      <w:color w:val="auto"/>
                      <w:szCs w:val="21"/>
                      <w:highlight w:val="none"/>
                      <w:lang w:val="en-US" w:eastAsia="zh-CN"/>
                    </w:rPr>
                  </w:pPr>
                  <w:r>
                    <w:rPr>
                      <w:rFonts w:hint="eastAsia" w:cs="Times New Roman"/>
                      <w:bCs/>
                      <w:color w:val="auto"/>
                      <w:sz w:val="21"/>
                      <w:szCs w:val="21"/>
                      <w:highlight w:val="none"/>
                      <w:lang w:val="en-US" w:eastAsia="zh-CN"/>
                    </w:rPr>
                    <w:t>90</w:t>
                  </w:r>
                </w:p>
              </w:tc>
              <w:tc>
                <w:tcPr>
                  <w:tcW w:w="706" w:type="dxa"/>
                  <w:noWrap w:val="0"/>
                  <w:vAlign w:val="center"/>
                </w:tcPr>
                <w:p w14:paraId="20156B1C">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tr w14:paraId="03E8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50E7DF8A">
                  <w:pPr>
                    <w:spacing w:line="240" w:lineRule="auto"/>
                    <w:ind w:firstLine="0" w:firstLineChars="0"/>
                    <w:jc w:val="center"/>
                    <w:rPr>
                      <w:rFonts w:hint="eastAsia" w:cs="Times New Roman"/>
                      <w:color w:val="auto"/>
                      <w:szCs w:val="21"/>
                      <w:highlight w:val="none"/>
                      <w:lang w:eastAsia="zh-CN"/>
                    </w:rPr>
                  </w:pPr>
                </w:p>
              </w:tc>
              <w:tc>
                <w:tcPr>
                  <w:tcW w:w="1655" w:type="dxa"/>
                  <w:gridSpan w:val="2"/>
                  <w:noWrap w:val="0"/>
                  <w:vAlign w:val="center"/>
                </w:tcPr>
                <w:p w14:paraId="51B58DE9">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r>
                    <w:rPr>
                      <w:rFonts w:hint="eastAsia" w:cs="Times New Roman"/>
                      <w:color w:val="auto"/>
                      <w:kern w:val="2"/>
                      <w:sz w:val="21"/>
                      <w:szCs w:val="21"/>
                      <w:highlight w:val="none"/>
                      <w:lang w:val="en-US" w:eastAsia="zh-CN" w:bidi="ar-SA"/>
                    </w:rPr>
                    <w:t>原料</w:t>
                  </w:r>
                  <w:r>
                    <w:rPr>
                      <w:rFonts w:hint="eastAsia" w:ascii="Times New Roman" w:hAnsi="Times New Roman" w:eastAsia="宋体" w:cs="Times New Roman"/>
                      <w:color w:val="auto"/>
                      <w:kern w:val="2"/>
                      <w:sz w:val="21"/>
                      <w:szCs w:val="21"/>
                      <w:highlight w:val="none"/>
                      <w:lang w:val="en-US" w:eastAsia="zh-CN" w:bidi="ar-SA"/>
                    </w:rPr>
                    <w:t>转载</w:t>
                  </w:r>
                  <w:r>
                    <w:rPr>
                      <w:rFonts w:hint="eastAsia" w:cs="Times New Roman"/>
                      <w:color w:val="auto"/>
                      <w:kern w:val="2"/>
                      <w:sz w:val="21"/>
                      <w:szCs w:val="21"/>
                      <w:highlight w:val="none"/>
                      <w:lang w:val="en-US" w:eastAsia="zh-CN" w:bidi="ar-SA"/>
                    </w:rPr>
                    <w:t>点</w:t>
                  </w:r>
                  <w:r>
                    <w:rPr>
                      <w:rFonts w:hint="eastAsia" w:ascii="Times New Roman" w:hAnsi="Times New Roman" w:eastAsia="宋体" w:cs="Times New Roman"/>
                      <w:color w:val="auto"/>
                      <w:kern w:val="2"/>
                      <w:sz w:val="21"/>
                      <w:szCs w:val="21"/>
                      <w:highlight w:val="none"/>
                      <w:lang w:val="en-US" w:eastAsia="zh-CN" w:bidi="ar-SA"/>
                    </w:rPr>
                    <w:t>落料粉尘</w:t>
                  </w:r>
                </w:p>
              </w:tc>
              <w:tc>
                <w:tcPr>
                  <w:tcW w:w="4114" w:type="dxa"/>
                  <w:noWrap w:val="0"/>
                  <w:vAlign w:val="center"/>
                </w:tcPr>
                <w:p w14:paraId="470F9F07">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1套集气罩+收尘风管+布袋除尘器+15.5m高排气筒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原料转载</w:t>
                  </w:r>
                  <w:r>
                    <w:rPr>
                      <w:rFonts w:hint="default" w:ascii="Times New Roman" w:hAnsi="Times New Roman" w:eastAsia="宋体" w:cs="Times New Roman"/>
                      <w:color w:val="auto"/>
                      <w:sz w:val="21"/>
                      <w:szCs w:val="21"/>
                      <w:highlight w:val="none"/>
                    </w:rPr>
                    <w:t>过程产生的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0432AC65">
                  <w:pPr>
                    <w:pStyle w:val="83"/>
                    <w:adjustRightInd/>
                    <w:spacing w:before="0" w:after="0" w:line="240" w:lineRule="auto"/>
                    <w:ind w:firstLine="0" w:firstLineChars="0"/>
                    <w:jc w:val="center"/>
                    <w:rPr>
                      <w:rFonts w:hint="eastAsia" w:cs="Times New Roman"/>
                      <w:color w:val="auto"/>
                      <w:szCs w:val="21"/>
                      <w:highlight w:val="none"/>
                      <w:lang w:eastAsia="zh-CN"/>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4FB49193">
                  <w:pPr>
                    <w:spacing w:line="240" w:lineRule="auto"/>
                    <w:ind w:firstLine="0" w:firstLineChars="0"/>
                    <w:jc w:val="center"/>
                    <w:rPr>
                      <w:rFonts w:hint="default" w:cs="Times New Roman"/>
                      <w:color w:val="auto"/>
                      <w:szCs w:val="21"/>
                      <w:highlight w:val="none"/>
                      <w:lang w:val="en-US" w:eastAsia="zh-CN"/>
                    </w:rPr>
                  </w:pPr>
                  <w:r>
                    <w:rPr>
                      <w:rFonts w:hint="eastAsia" w:cs="Times New Roman"/>
                      <w:bCs/>
                      <w:color w:val="auto"/>
                      <w:sz w:val="21"/>
                      <w:szCs w:val="21"/>
                      <w:highlight w:val="none"/>
                      <w:lang w:val="en-US" w:eastAsia="zh-CN"/>
                    </w:rPr>
                    <w:t>90</w:t>
                  </w:r>
                </w:p>
              </w:tc>
              <w:tc>
                <w:tcPr>
                  <w:tcW w:w="706" w:type="dxa"/>
                  <w:noWrap w:val="0"/>
                  <w:vAlign w:val="center"/>
                </w:tcPr>
                <w:p w14:paraId="45E3A470">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tr w14:paraId="2E8F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78735C6F">
                  <w:pPr>
                    <w:spacing w:line="240" w:lineRule="auto"/>
                    <w:ind w:firstLine="0" w:firstLineChars="0"/>
                    <w:jc w:val="center"/>
                    <w:rPr>
                      <w:rFonts w:hint="eastAsia" w:cs="Times New Roman"/>
                      <w:color w:val="auto"/>
                      <w:szCs w:val="21"/>
                      <w:highlight w:val="none"/>
                      <w:lang w:eastAsia="zh-CN"/>
                    </w:rPr>
                  </w:pPr>
                </w:p>
              </w:tc>
              <w:tc>
                <w:tcPr>
                  <w:tcW w:w="1655" w:type="dxa"/>
                  <w:gridSpan w:val="2"/>
                  <w:noWrap w:val="0"/>
                  <w:vAlign w:val="center"/>
                </w:tcPr>
                <w:p w14:paraId="671E9564">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kern w:val="2"/>
                      <w:sz w:val="21"/>
                      <w:szCs w:val="21"/>
                      <w:highlight w:val="none"/>
                      <w:lang w:val="en-US" w:eastAsia="zh-CN" w:bidi="ar-SA"/>
                    </w:rPr>
                    <w:t>喂煤仓</w:t>
                  </w:r>
                  <w:r>
                    <w:rPr>
                      <w:rFonts w:hint="eastAsia" w:ascii="Times New Roman" w:hAnsi="Times New Roman" w:eastAsia="宋体" w:cs="Times New Roman"/>
                      <w:color w:val="auto"/>
                      <w:kern w:val="2"/>
                      <w:sz w:val="21"/>
                      <w:szCs w:val="21"/>
                      <w:highlight w:val="none"/>
                      <w:lang w:val="en-US" w:eastAsia="zh-CN" w:bidi="ar-SA"/>
                    </w:rPr>
                    <w:t>粉尘</w:t>
                  </w:r>
                </w:p>
              </w:tc>
              <w:tc>
                <w:tcPr>
                  <w:tcW w:w="4114" w:type="dxa"/>
                  <w:noWrap w:val="0"/>
                  <w:vAlign w:val="center"/>
                </w:tcPr>
                <w:p w14:paraId="5EC5315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1套集气罩+收尘风管+布袋除尘器+36m高排气筒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喂煤仓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9639</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106CF49F">
                  <w:pPr>
                    <w:pStyle w:val="83"/>
                    <w:adjustRightInd/>
                    <w:spacing w:before="0" w:after="0" w:line="240" w:lineRule="auto"/>
                    <w:ind w:firstLine="0" w:firstLineChars="0"/>
                    <w:jc w:val="center"/>
                    <w:rPr>
                      <w:rFonts w:hint="eastAsia" w:cs="Times New Roman"/>
                      <w:color w:val="auto"/>
                      <w:szCs w:val="21"/>
                      <w:highlight w:val="none"/>
                      <w:lang w:val="en-US" w:eastAsia="zh-CN"/>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396EB6D2">
                  <w:pPr>
                    <w:spacing w:line="240" w:lineRule="auto"/>
                    <w:ind w:firstLine="0" w:firstLineChars="0"/>
                    <w:jc w:val="center"/>
                    <w:rPr>
                      <w:rFonts w:hint="eastAsia" w:cs="Times New Roman"/>
                      <w:color w:val="auto"/>
                      <w:szCs w:val="21"/>
                      <w:highlight w:val="none"/>
                      <w:lang w:val="en-US" w:eastAsia="zh-CN"/>
                    </w:rPr>
                  </w:pPr>
                  <w:r>
                    <w:rPr>
                      <w:rFonts w:hint="eastAsia" w:cs="Times New Roman"/>
                      <w:bCs/>
                      <w:color w:val="auto"/>
                      <w:sz w:val="21"/>
                      <w:szCs w:val="21"/>
                      <w:highlight w:val="none"/>
                      <w:lang w:val="en-US" w:eastAsia="zh-CN"/>
                    </w:rPr>
                    <w:t>90</w:t>
                  </w:r>
                </w:p>
              </w:tc>
              <w:tc>
                <w:tcPr>
                  <w:tcW w:w="706" w:type="dxa"/>
                  <w:noWrap w:val="0"/>
                  <w:vAlign w:val="center"/>
                </w:tcPr>
                <w:p w14:paraId="60A2185B">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tr w14:paraId="1E7C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4E4BCBCE">
                  <w:pPr>
                    <w:spacing w:line="240" w:lineRule="auto"/>
                    <w:ind w:firstLine="0" w:firstLineChars="0"/>
                    <w:jc w:val="center"/>
                    <w:rPr>
                      <w:rFonts w:hint="eastAsia" w:cs="Times New Roman"/>
                      <w:color w:val="auto"/>
                      <w:szCs w:val="21"/>
                      <w:highlight w:val="none"/>
                      <w:lang w:eastAsia="zh-CN"/>
                    </w:rPr>
                  </w:pPr>
                </w:p>
              </w:tc>
              <w:tc>
                <w:tcPr>
                  <w:tcW w:w="1655" w:type="dxa"/>
                  <w:gridSpan w:val="2"/>
                  <w:noWrap w:val="0"/>
                  <w:vAlign w:val="center"/>
                </w:tcPr>
                <w:p w14:paraId="6C1E33FE">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r>
                    <w:rPr>
                      <w:rFonts w:hint="eastAsia" w:cs="Times New Roman"/>
                      <w:color w:val="auto"/>
                      <w:sz w:val="21"/>
                      <w:szCs w:val="21"/>
                      <w:highlight w:val="none"/>
                      <w:lang w:eastAsia="zh-CN"/>
                    </w:rPr>
                    <w:t>烘干废气（颗粒物、二氧化硫、氮氧化物、</w:t>
                  </w:r>
                  <w:r>
                    <w:rPr>
                      <w:rFonts w:hint="eastAsia"/>
                      <w:color w:val="auto"/>
                      <w:szCs w:val="21"/>
                      <w:highlight w:val="none"/>
                    </w:rPr>
                    <w:t>N</w:t>
                  </w:r>
                  <w:r>
                    <w:rPr>
                      <w:color w:val="auto"/>
                      <w:szCs w:val="21"/>
                      <w:highlight w:val="none"/>
                    </w:rPr>
                    <w:t>H</w:t>
                  </w:r>
                  <w:r>
                    <w:rPr>
                      <w:color w:val="auto"/>
                      <w:szCs w:val="21"/>
                      <w:highlight w:val="none"/>
                      <w:vertAlign w:val="subscript"/>
                    </w:rPr>
                    <w:t>3</w:t>
                  </w:r>
                  <w:r>
                    <w:rPr>
                      <w:rFonts w:hint="eastAsia" w:cs="Times New Roman"/>
                      <w:color w:val="auto"/>
                      <w:sz w:val="21"/>
                      <w:szCs w:val="21"/>
                      <w:highlight w:val="none"/>
                      <w:lang w:eastAsia="zh-CN"/>
                    </w:rPr>
                    <w:t>）</w:t>
                  </w:r>
                </w:p>
              </w:tc>
              <w:tc>
                <w:tcPr>
                  <w:tcW w:w="4114" w:type="dxa"/>
                  <w:noWrap w:val="0"/>
                  <w:vAlign w:val="center"/>
                </w:tcPr>
                <w:p w14:paraId="13F972F9">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olor w:val="auto"/>
                      <w:sz w:val="21"/>
                      <w:szCs w:val="21"/>
                      <w:highlight w:val="none"/>
                    </w:rPr>
                    <w:t>炉内喷钙脱硫</w:t>
                  </w:r>
                  <w:r>
                    <w:rPr>
                      <w:rFonts w:hint="eastAsia"/>
                      <w:color w:val="auto"/>
                      <w:sz w:val="21"/>
                      <w:szCs w:val="21"/>
                      <w:highlight w:val="none"/>
                      <w:lang w:eastAsia="zh-CN"/>
                    </w:rPr>
                    <w:t>（</w:t>
                  </w:r>
                  <w:r>
                    <w:rPr>
                      <w:rFonts w:hint="eastAsia"/>
                      <w:color w:val="auto"/>
                      <w:sz w:val="21"/>
                      <w:szCs w:val="21"/>
                      <w:highlight w:val="none"/>
                    </w:rPr>
                    <w:t>结合尾部烟气的增湿活化脱硫效应</w:t>
                  </w:r>
                  <w:r>
                    <w:rPr>
                      <w:rFonts w:hint="eastAsia"/>
                      <w:color w:val="auto"/>
                      <w:sz w:val="21"/>
                      <w:szCs w:val="21"/>
                      <w:highlight w:val="none"/>
                      <w:lang w:eastAsia="zh-CN"/>
                    </w:rPr>
                    <w:t>）</w:t>
                  </w:r>
                  <w:r>
                    <w:rPr>
                      <w:rFonts w:hint="eastAsia"/>
                      <w:color w:val="auto"/>
                      <w:sz w:val="21"/>
                      <w:szCs w:val="21"/>
                      <w:highlight w:val="none"/>
                      <w:lang w:val="en-US" w:eastAsia="zh-CN"/>
                    </w:rPr>
                    <w:t>+分级燃烧+</w:t>
                  </w:r>
                  <w:r>
                    <w:rPr>
                      <w:rFonts w:hint="eastAsia"/>
                      <w:color w:val="auto"/>
                      <w:sz w:val="21"/>
                      <w:szCs w:val="21"/>
                      <w:highlight w:val="none"/>
                    </w:rPr>
                    <w:t>SNCR</w:t>
                  </w:r>
                  <w:r>
                    <w:rPr>
                      <w:rFonts w:hint="eastAsia"/>
                      <w:color w:val="auto"/>
                      <w:sz w:val="21"/>
                      <w:szCs w:val="21"/>
                      <w:highlight w:val="none"/>
                      <w:lang w:val="en-US" w:eastAsia="zh-CN"/>
                    </w:rPr>
                    <w:t>喷氨</w:t>
                  </w:r>
                  <w:r>
                    <w:rPr>
                      <w:rFonts w:hint="eastAsia"/>
                      <w:color w:val="auto"/>
                      <w:sz w:val="21"/>
                      <w:szCs w:val="21"/>
                      <w:highlight w:val="none"/>
                    </w:rPr>
                    <w:t>脱硝</w:t>
                  </w:r>
                  <w:r>
                    <w:rPr>
                      <w:rFonts w:hint="eastAsia" w:cs="Times New Roman"/>
                      <w:color w:val="auto"/>
                      <w:sz w:val="21"/>
                      <w:szCs w:val="21"/>
                      <w:highlight w:val="none"/>
                      <w:lang w:val="en-US" w:eastAsia="zh-CN"/>
                    </w:rPr>
                    <w:t>+1套</w:t>
                  </w:r>
                  <w:r>
                    <w:rPr>
                      <w:rFonts w:hint="eastAsia"/>
                      <w:color w:val="auto"/>
                      <w:sz w:val="21"/>
                      <w:szCs w:val="21"/>
                      <w:highlight w:val="none"/>
                    </w:rPr>
                    <w:t>脉冲袋式除尘器</w:t>
                  </w:r>
                  <w:r>
                    <w:rPr>
                      <w:rFonts w:hint="eastAsia" w:cs="Times New Roman"/>
                      <w:color w:val="auto"/>
                      <w:sz w:val="21"/>
                      <w:szCs w:val="21"/>
                      <w:highlight w:val="none"/>
                      <w:lang w:val="en-US" w:eastAsia="zh-CN"/>
                    </w:rPr>
                    <w:t>+25m高排气筒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烘干</w:t>
                  </w:r>
                  <w:r>
                    <w:rPr>
                      <w:rFonts w:hint="default" w:ascii="Times New Roman" w:hAnsi="Times New Roman" w:eastAsia="宋体" w:cs="Times New Roman"/>
                      <w:color w:val="auto"/>
                      <w:sz w:val="21"/>
                      <w:szCs w:val="21"/>
                      <w:highlight w:val="none"/>
                    </w:rPr>
                    <w:t>过程产生的</w:t>
                  </w:r>
                  <w:r>
                    <w:rPr>
                      <w:rFonts w:hint="eastAsia" w:cs="Times New Roman"/>
                      <w:color w:val="auto"/>
                      <w:sz w:val="21"/>
                      <w:szCs w:val="21"/>
                      <w:highlight w:val="none"/>
                      <w:lang w:val="en-US" w:eastAsia="zh-CN"/>
                    </w:rPr>
                    <w:t>污染物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 w:val="0"/>
                      <w:bCs w:val="0"/>
                      <w:color w:val="auto"/>
                      <w:sz w:val="21"/>
                      <w:szCs w:val="21"/>
                      <w:highlight w:val="none"/>
                      <w:vertAlign w:val="baseline"/>
                      <w:lang w:val="en-US" w:eastAsia="zh-CN"/>
                    </w:rPr>
                    <w:t>35467.44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脱硫效率85%，脱硝效率75%，</w:t>
                  </w:r>
                  <w:r>
                    <w:rPr>
                      <w:rFonts w:hint="default" w:ascii="Times New Roman" w:hAnsi="Times New Roman" w:eastAsia="宋体" w:cs="Times New Roman"/>
                      <w:bCs/>
                      <w:color w:val="auto"/>
                      <w:sz w:val="21"/>
                      <w:szCs w:val="21"/>
                      <w:highlight w:val="none"/>
                      <w:lang w:val="en-US" w:eastAsia="zh-CN"/>
                    </w:rPr>
                    <w:t>排气筒内径</w:t>
                  </w:r>
                  <w:r>
                    <w:rPr>
                      <w:rFonts w:hint="eastAsia" w:cs="Times New Roman"/>
                      <w:bCs/>
                      <w:color w:val="auto"/>
                      <w:sz w:val="21"/>
                      <w:szCs w:val="21"/>
                      <w:highlight w:val="none"/>
                      <w:lang w:val="en-US" w:eastAsia="zh-CN"/>
                    </w:rPr>
                    <w:t>1.0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09A1691B">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1套</w:t>
                  </w:r>
                </w:p>
              </w:tc>
              <w:tc>
                <w:tcPr>
                  <w:tcW w:w="676" w:type="dxa"/>
                  <w:noWrap w:val="0"/>
                  <w:vAlign w:val="center"/>
                </w:tcPr>
                <w:p w14:paraId="001B7F78">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1100</w:t>
                  </w:r>
                </w:p>
              </w:tc>
              <w:tc>
                <w:tcPr>
                  <w:tcW w:w="706" w:type="dxa"/>
                  <w:noWrap w:val="0"/>
                  <w:vAlign w:val="center"/>
                </w:tcPr>
                <w:p w14:paraId="726BFBC7">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tr w14:paraId="4689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63912251">
                  <w:pPr>
                    <w:spacing w:line="240" w:lineRule="auto"/>
                    <w:ind w:firstLine="0" w:firstLineChars="0"/>
                    <w:jc w:val="center"/>
                    <w:rPr>
                      <w:rFonts w:hint="eastAsia" w:cs="Times New Roman"/>
                      <w:color w:val="auto"/>
                      <w:szCs w:val="21"/>
                      <w:highlight w:val="none"/>
                      <w:lang w:eastAsia="zh-CN"/>
                    </w:rPr>
                  </w:pPr>
                </w:p>
              </w:tc>
              <w:tc>
                <w:tcPr>
                  <w:tcW w:w="1655" w:type="dxa"/>
                  <w:gridSpan w:val="2"/>
                  <w:noWrap w:val="0"/>
                  <w:vAlign w:val="center"/>
                </w:tcPr>
                <w:p w14:paraId="6A425801">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1#燃料仓粉尘</w:t>
                  </w:r>
                </w:p>
              </w:tc>
              <w:tc>
                <w:tcPr>
                  <w:tcW w:w="4114" w:type="dxa"/>
                  <w:noWrap w:val="0"/>
                  <w:vAlign w:val="center"/>
                </w:tcPr>
                <w:p w14:paraId="5BBAA5A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1套布袋除尘器+20.5m高排气筒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喂煤仓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62D487AF">
                  <w:pPr>
                    <w:pStyle w:val="83"/>
                    <w:adjustRightInd/>
                    <w:spacing w:before="0" w:after="0" w:line="240" w:lineRule="auto"/>
                    <w:ind w:firstLine="0" w:firstLineChars="0"/>
                    <w:jc w:val="center"/>
                    <w:rPr>
                      <w:rFonts w:hint="eastAsia" w:cs="Times New Roman"/>
                      <w:color w:val="auto"/>
                      <w:szCs w:val="21"/>
                      <w:highlight w:val="none"/>
                      <w:lang w:val="en-US" w:eastAsia="zh-CN"/>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367C283F">
                  <w:pPr>
                    <w:spacing w:line="240" w:lineRule="auto"/>
                    <w:ind w:firstLine="0" w:firstLineChars="0"/>
                    <w:jc w:val="center"/>
                    <w:rPr>
                      <w:rFonts w:hint="eastAsia" w:cs="Times New Roman"/>
                      <w:color w:val="auto"/>
                      <w:szCs w:val="21"/>
                      <w:highlight w:val="none"/>
                      <w:lang w:val="en-US" w:eastAsia="zh-CN"/>
                    </w:rPr>
                  </w:pPr>
                  <w:r>
                    <w:rPr>
                      <w:rFonts w:hint="eastAsia" w:cs="Times New Roman"/>
                      <w:bCs/>
                      <w:color w:val="auto"/>
                      <w:sz w:val="21"/>
                      <w:szCs w:val="21"/>
                      <w:highlight w:val="none"/>
                      <w:lang w:val="en-US" w:eastAsia="zh-CN"/>
                    </w:rPr>
                    <w:t>90</w:t>
                  </w:r>
                </w:p>
              </w:tc>
              <w:tc>
                <w:tcPr>
                  <w:tcW w:w="706" w:type="dxa"/>
                  <w:noWrap w:val="0"/>
                  <w:vAlign w:val="center"/>
                </w:tcPr>
                <w:p w14:paraId="10112522">
                  <w:pPr>
                    <w:spacing w:line="240" w:lineRule="auto"/>
                    <w:ind w:firstLine="0" w:firstLine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w:t>
                  </w:r>
                </w:p>
              </w:tc>
            </w:tr>
            <w:tr w14:paraId="5311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5ACDE6A0">
                  <w:pPr>
                    <w:spacing w:line="240" w:lineRule="auto"/>
                    <w:ind w:firstLine="0" w:firstLineChars="0"/>
                    <w:jc w:val="center"/>
                    <w:rPr>
                      <w:rFonts w:hint="eastAsia" w:cs="Times New Roman"/>
                      <w:color w:val="auto"/>
                      <w:szCs w:val="21"/>
                      <w:highlight w:val="none"/>
                      <w:lang w:eastAsia="zh-CN"/>
                    </w:rPr>
                  </w:pPr>
                </w:p>
              </w:tc>
              <w:tc>
                <w:tcPr>
                  <w:tcW w:w="1655" w:type="dxa"/>
                  <w:gridSpan w:val="2"/>
                  <w:noWrap w:val="0"/>
                  <w:vAlign w:val="center"/>
                </w:tcPr>
                <w:p w14:paraId="36A3B51B">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2#燃料仓粉尘</w:t>
                  </w:r>
                </w:p>
              </w:tc>
              <w:tc>
                <w:tcPr>
                  <w:tcW w:w="4114" w:type="dxa"/>
                  <w:noWrap w:val="0"/>
                  <w:vAlign w:val="center"/>
                </w:tcPr>
                <w:p w14:paraId="1FEB8F9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1套布袋除尘器+20.5m高排气筒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喂煤仓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661786C9">
                  <w:pPr>
                    <w:pStyle w:val="83"/>
                    <w:adjustRightInd/>
                    <w:spacing w:before="0" w:after="0" w:line="240" w:lineRule="auto"/>
                    <w:ind w:firstLine="0" w:firstLineChars="0"/>
                    <w:jc w:val="center"/>
                    <w:rPr>
                      <w:rFonts w:hint="eastAsia" w:cs="Times New Roman"/>
                      <w:color w:val="auto"/>
                      <w:szCs w:val="21"/>
                      <w:highlight w:val="none"/>
                      <w:lang w:val="en-US" w:eastAsia="zh-CN"/>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72CDBA47">
                  <w:pPr>
                    <w:spacing w:line="240" w:lineRule="auto"/>
                    <w:ind w:firstLine="0" w:firstLineChars="0"/>
                    <w:jc w:val="center"/>
                    <w:rPr>
                      <w:rFonts w:hint="eastAsia" w:cs="Times New Roman"/>
                      <w:color w:val="auto"/>
                      <w:szCs w:val="21"/>
                      <w:highlight w:val="none"/>
                      <w:lang w:val="en-US" w:eastAsia="zh-CN"/>
                    </w:rPr>
                  </w:pPr>
                  <w:r>
                    <w:rPr>
                      <w:rFonts w:hint="eastAsia" w:cs="Times New Roman"/>
                      <w:bCs/>
                      <w:color w:val="auto"/>
                      <w:sz w:val="21"/>
                      <w:szCs w:val="21"/>
                      <w:highlight w:val="none"/>
                      <w:lang w:val="en-US" w:eastAsia="zh-CN"/>
                    </w:rPr>
                    <w:t>90</w:t>
                  </w:r>
                </w:p>
              </w:tc>
              <w:tc>
                <w:tcPr>
                  <w:tcW w:w="706" w:type="dxa"/>
                  <w:noWrap w:val="0"/>
                  <w:vAlign w:val="center"/>
                </w:tcPr>
                <w:p w14:paraId="21EA854B">
                  <w:pPr>
                    <w:spacing w:line="240" w:lineRule="auto"/>
                    <w:ind w:firstLine="0" w:firstLine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w:t>
                  </w:r>
                </w:p>
              </w:tc>
            </w:tr>
            <w:tr w14:paraId="6E9E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44874850">
                  <w:pPr>
                    <w:spacing w:line="240" w:lineRule="auto"/>
                    <w:ind w:firstLine="0" w:firstLineChars="0"/>
                    <w:jc w:val="center"/>
                    <w:rPr>
                      <w:rFonts w:hint="eastAsia" w:cs="Times New Roman"/>
                      <w:color w:val="auto"/>
                      <w:szCs w:val="21"/>
                      <w:highlight w:val="none"/>
                      <w:lang w:eastAsia="zh-CN"/>
                    </w:rPr>
                  </w:pPr>
                </w:p>
              </w:tc>
              <w:tc>
                <w:tcPr>
                  <w:tcW w:w="1655" w:type="dxa"/>
                  <w:gridSpan w:val="2"/>
                  <w:noWrap w:val="0"/>
                  <w:vAlign w:val="center"/>
                </w:tcPr>
                <w:p w14:paraId="64CD01F0">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kern w:val="2"/>
                      <w:sz w:val="21"/>
                      <w:szCs w:val="21"/>
                      <w:highlight w:val="none"/>
                      <w:lang w:val="en-US" w:eastAsia="zh-CN" w:bidi="ar-SA"/>
                    </w:rPr>
                    <w:t>1#煤粉仓粉尘</w:t>
                  </w:r>
                </w:p>
              </w:tc>
              <w:tc>
                <w:tcPr>
                  <w:tcW w:w="4114" w:type="dxa"/>
                  <w:noWrap w:val="0"/>
                  <w:vAlign w:val="center"/>
                </w:tcPr>
                <w:p w14:paraId="6708456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1套布袋除尘器+15.5m高排气筒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粉煤仓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0EF57C0B">
                  <w:pPr>
                    <w:pStyle w:val="83"/>
                    <w:adjustRightInd/>
                    <w:spacing w:before="0" w:after="0" w:line="240" w:lineRule="auto"/>
                    <w:ind w:firstLine="0" w:firstLineChars="0"/>
                    <w:jc w:val="center"/>
                    <w:rPr>
                      <w:rFonts w:hint="eastAsia" w:cs="Times New Roman"/>
                      <w:color w:val="auto"/>
                      <w:szCs w:val="21"/>
                      <w:highlight w:val="none"/>
                      <w:lang w:val="en-US" w:eastAsia="zh-CN"/>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0FF7AA80">
                  <w:pPr>
                    <w:spacing w:line="240" w:lineRule="auto"/>
                    <w:ind w:firstLine="0" w:firstLineChars="0"/>
                    <w:jc w:val="center"/>
                    <w:rPr>
                      <w:rFonts w:hint="eastAsia" w:cs="Times New Roman"/>
                      <w:color w:val="auto"/>
                      <w:szCs w:val="21"/>
                      <w:highlight w:val="none"/>
                      <w:lang w:val="en-US" w:eastAsia="zh-CN"/>
                    </w:rPr>
                  </w:pPr>
                  <w:r>
                    <w:rPr>
                      <w:rFonts w:hint="eastAsia" w:cs="Times New Roman"/>
                      <w:bCs/>
                      <w:color w:val="auto"/>
                      <w:sz w:val="21"/>
                      <w:szCs w:val="21"/>
                      <w:highlight w:val="none"/>
                      <w:lang w:val="en-US" w:eastAsia="zh-CN"/>
                    </w:rPr>
                    <w:t>90</w:t>
                  </w:r>
                </w:p>
              </w:tc>
              <w:tc>
                <w:tcPr>
                  <w:tcW w:w="706" w:type="dxa"/>
                  <w:noWrap w:val="0"/>
                  <w:vAlign w:val="center"/>
                </w:tcPr>
                <w:p w14:paraId="72EE32F1">
                  <w:pPr>
                    <w:spacing w:line="240" w:lineRule="auto"/>
                    <w:ind w:firstLine="0" w:firstLine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w:t>
                  </w:r>
                </w:p>
              </w:tc>
            </w:tr>
            <w:tr w14:paraId="57E4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70BF4E7E">
                  <w:pPr>
                    <w:spacing w:line="240" w:lineRule="auto"/>
                    <w:ind w:firstLine="0" w:firstLineChars="0"/>
                    <w:jc w:val="center"/>
                    <w:rPr>
                      <w:rFonts w:hint="eastAsia" w:cs="Times New Roman"/>
                      <w:color w:val="auto"/>
                      <w:szCs w:val="21"/>
                      <w:highlight w:val="none"/>
                      <w:lang w:eastAsia="zh-CN"/>
                    </w:rPr>
                  </w:pPr>
                </w:p>
              </w:tc>
              <w:tc>
                <w:tcPr>
                  <w:tcW w:w="1655" w:type="dxa"/>
                  <w:gridSpan w:val="2"/>
                  <w:noWrap w:val="0"/>
                  <w:vAlign w:val="center"/>
                </w:tcPr>
                <w:p w14:paraId="315FDCF5">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kern w:val="2"/>
                      <w:sz w:val="21"/>
                      <w:szCs w:val="21"/>
                      <w:highlight w:val="none"/>
                      <w:lang w:val="en-US" w:eastAsia="zh-CN" w:bidi="ar-SA"/>
                    </w:rPr>
                    <w:t>2#煤粉仓粉尘</w:t>
                  </w:r>
                </w:p>
              </w:tc>
              <w:tc>
                <w:tcPr>
                  <w:tcW w:w="4114" w:type="dxa"/>
                  <w:noWrap w:val="0"/>
                  <w:vAlign w:val="center"/>
                </w:tcPr>
                <w:p w14:paraId="522C9A7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1套布袋除尘器+26.5m高排气筒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粉煤仓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4012</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35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401F66F2">
                  <w:pPr>
                    <w:pStyle w:val="83"/>
                    <w:adjustRightInd/>
                    <w:spacing w:before="0" w:after="0" w:line="240" w:lineRule="auto"/>
                    <w:ind w:firstLine="0" w:firstLineChars="0"/>
                    <w:jc w:val="center"/>
                    <w:rPr>
                      <w:rFonts w:hint="eastAsia" w:cs="Times New Roman"/>
                      <w:color w:val="auto"/>
                      <w:szCs w:val="21"/>
                      <w:highlight w:val="none"/>
                      <w:lang w:val="en-US" w:eastAsia="zh-CN"/>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294C29B4">
                  <w:pPr>
                    <w:spacing w:line="240" w:lineRule="auto"/>
                    <w:ind w:firstLine="0" w:firstLineChars="0"/>
                    <w:jc w:val="center"/>
                    <w:rPr>
                      <w:rFonts w:hint="eastAsia" w:cs="Times New Roman"/>
                      <w:color w:val="auto"/>
                      <w:szCs w:val="21"/>
                      <w:highlight w:val="none"/>
                      <w:lang w:val="en-US" w:eastAsia="zh-CN"/>
                    </w:rPr>
                  </w:pPr>
                  <w:r>
                    <w:rPr>
                      <w:rFonts w:hint="eastAsia" w:cs="Times New Roman"/>
                      <w:bCs/>
                      <w:color w:val="auto"/>
                      <w:sz w:val="21"/>
                      <w:szCs w:val="21"/>
                      <w:highlight w:val="none"/>
                      <w:lang w:val="en-US" w:eastAsia="zh-CN"/>
                    </w:rPr>
                    <w:t>90</w:t>
                  </w:r>
                </w:p>
              </w:tc>
              <w:tc>
                <w:tcPr>
                  <w:tcW w:w="706" w:type="dxa"/>
                  <w:noWrap w:val="0"/>
                  <w:vAlign w:val="center"/>
                </w:tcPr>
                <w:p w14:paraId="0D47A829">
                  <w:pPr>
                    <w:spacing w:line="240" w:lineRule="auto"/>
                    <w:ind w:firstLine="0" w:firstLine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w:t>
                  </w:r>
                </w:p>
              </w:tc>
            </w:tr>
            <w:tr w14:paraId="0A31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420" w:type="dxa"/>
                  <w:vMerge w:val="continue"/>
                  <w:noWrap w:val="0"/>
                  <w:vAlign w:val="center"/>
                </w:tcPr>
                <w:p w14:paraId="5A2334F8">
                  <w:pPr>
                    <w:spacing w:line="240" w:lineRule="auto"/>
                    <w:ind w:firstLine="0" w:firstLineChars="0"/>
                    <w:jc w:val="center"/>
                    <w:rPr>
                      <w:rFonts w:hint="eastAsia" w:cs="Times New Roman"/>
                      <w:color w:val="auto"/>
                      <w:szCs w:val="21"/>
                      <w:highlight w:val="none"/>
                      <w:lang w:eastAsia="zh-CN"/>
                    </w:rPr>
                  </w:pPr>
                </w:p>
              </w:tc>
              <w:tc>
                <w:tcPr>
                  <w:tcW w:w="1655" w:type="dxa"/>
                  <w:gridSpan w:val="2"/>
                  <w:noWrap w:val="0"/>
                  <w:vAlign w:val="center"/>
                </w:tcPr>
                <w:p w14:paraId="688141C0">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kern w:val="2"/>
                      <w:sz w:val="21"/>
                      <w:szCs w:val="21"/>
                      <w:highlight w:val="none"/>
                      <w:lang w:val="en-US" w:eastAsia="zh-CN" w:bidi="ar-SA"/>
                    </w:rPr>
                    <w:t>3#煤粉仓粉尘</w:t>
                  </w:r>
                </w:p>
              </w:tc>
              <w:tc>
                <w:tcPr>
                  <w:tcW w:w="4114" w:type="dxa"/>
                  <w:noWrap w:val="0"/>
                  <w:vAlign w:val="center"/>
                </w:tcPr>
                <w:p w14:paraId="1155E0F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1套布袋除尘器+26.5m高排气筒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粉煤仓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4012</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35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7F7D95FD">
                  <w:pPr>
                    <w:pStyle w:val="83"/>
                    <w:adjustRightInd/>
                    <w:spacing w:before="0" w:after="0" w:line="240" w:lineRule="auto"/>
                    <w:ind w:firstLine="0" w:firstLineChars="0"/>
                    <w:jc w:val="center"/>
                    <w:rPr>
                      <w:rFonts w:hint="eastAsia" w:cs="Times New Roman"/>
                      <w:color w:val="auto"/>
                      <w:szCs w:val="21"/>
                      <w:highlight w:val="none"/>
                      <w:lang w:val="en-US" w:eastAsia="zh-CN"/>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0ABFC0E7">
                  <w:pPr>
                    <w:spacing w:line="240" w:lineRule="auto"/>
                    <w:ind w:firstLine="0" w:firstLineChars="0"/>
                    <w:jc w:val="center"/>
                    <w:rPr>
                      <w:rFonts w:hint="eastAsia" w:cs="Times New Roman"/>
                      <w:color w:val="auto"/>
                      <w:szCs w:val="21"/>
                      <w:highlight w:val="none"/>
                      <w:lang w:val="en-US" w:eastAsia="zh-CN"/>
                    </w:rPr>
                  </w:pPr>
                  <w:r>
                    <w:rPr>
                      <w:rFonts w:hint="eastAsia" w:cs="Times New Roman"/>
                      <w:bCs/>
                      <w:color w:val="auto"/>
                      <w:sz w:val="21"/>
                      <w:szCs w:val="21"/>
                      <w:highlight w:val="none"/>
                      <w:lang w:val="en-US" w:eastAsia="zh-CN"/>
                    </w:rPr>
                    <w:t>90</w:t>
                  </w:r>
                </w:p>
              </w:tc>
              <w:tc>
                <w:tcPr>
                  <w:tcW w:w="706" w:type="dxa"/>
                  <w:noWrap w:val="0"/>
                  <w:vAlign w:val="center"/>
                </w:tcPr>
                <w:p w14:paraId="0D64C6D2">
                  <w:pPr>
                    <w:spacing w:line="240" w:lineRule="auto"/>
                    <w:ind w:firstLine="0" w:firstLine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w:t>
                  </w:r>
                </w:p>
              </w:tc>
            </w:tr>
            <w:tr w14:paraId="3491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2372242E">
                  <w:pPr>
                    <w:spacing w:line="240" w:lineRule="auto"/>
                    <w:ind w:firstLine="0" w:firstLineChars="0"/>
                    <w:jc w:val="center"/>
                    <w:rPr>
                      <w:rFonts w:hint="eastAsia" w:cs="Times New Roman"/>
                      <w:color w:val="auto"/>
                      <w:szCs w:val="21"/>
                      <w:highlight w:val="none"/>
                      <w:lang w:eastAsia="zh-CN"/>
                    </w:rPr>
                  </w:pPr>
                </w:p>
              </w:tc>
              <w:tc>
                <w:tcPr>
                  <w:tcW w:w="418" w:type="dxa"/>
                  <w:vMerge w:val="restart"/>
                  <w:noWrap w:val="0"/>
                  <w:vAlign w:val="center"/>
                </w:tcPr>
                <w:p w14:paraId="18AFBB83">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r>
                    <w:rPr>
                      <w:rFonts w:hint="eastAsia" w:cs="Times New Roman"/>
                      <w:color w:val="auto"/>
                      <w:kern w:val="2"/>
                      <w:sz w:val="21"/>
                      <w:szCs w:val="21"/>
                      <w:highlight w:val="none"/>
                      <w:lang w:val="en-US" w:eastAsia="zh-CN" w:bidi="ar-SA"/>
                    </w:rPr>
                    <w:t>成品</w:t>
                  </w:r>
                  <w:r>
                    <w:rPr>
                      <w:rFonts w:hint="eastAsia" w:ascii="Times New Roman" w:hAnsi="Times New Roman" w:eastAsia="宋体" w:cs="Times New Roman"/>
                      <w:color w:val="auto"/>
                      <w:kern w:val="2"/>
                      <w:sz w:val="21"/>
                      <w:szCs w:val="21"/>
                      <w:highlight w:val="none"/>
                      <w:lang w:val="en-US" w:eastAsia="zh-CN" w:bidi="ar-SA"/>
                    </w:rPr>
                    <w:t>转载</w:t>
                  </w:r>
                  <w:r>
                    <w:rPr>
                      <w:rFonts w:hint="eastAsia" w:cs="Times New Roman"/>
                      <w:color w:val="auto"/>
                      <w:kern w:val="2"/>
                      <w:sz w:val="21"/>
                      <w:szCs w:val="21"/>
                      <w:highlight w:val="none"/>
                      <w:lang w:val="en-US" w:eastAsia="zh-CN" w:bidi="ar-SA"/>
                    </w:rPr>
                    <w:t>点</w:t>
                  </w:r>
                  <w:r>
                    <w:rPr>
                      <w:rFonts w:hint="eastAsia" w:ascii="Times New Roman" w:hAnsi="Times New Roman" w:eastAsia="宋体" w:cs="Times New Roman"/>
                      <w:color w:val="auto"/>
                      <w:kern w:val="2"/>
                      <w:sz w:val="21"/>
                      <w:szCs w:val="21"/>
                      <w:highlight w:val="none"/>
                      <w:lang w:val="en-US" w:eastAsia="zh-CN" w:bidi="ar-SA"/>
                    </w:rPr>
                    <w:t>落料粉尘</w:t>
                  </w:r>
                </w:p>
              </w:tc>
              <w:tc>
                <w:tcPr>
                  <w:tcW w:w="1237" w:type="dxa"/>
                  <w:noWrap w:val="0"/>
                  <w:vAlign w:val="center"/>
                </w:tcPr>
                <w:p w14:paraId="52206EA9">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r>
                    <w:rPr>
                      <w:rFonts w:hint="eastAsia"/>
                      <w:color w:val="auto"/>
                      <w:sz w:val="21"/>
                      <w:szCs w:val="21"/>
                      <w:highlight w:val="none"/>
                    </w:rPr>
                    <w:t>出烘干机皮带转运</w:t>
                  </w:r>
                </w:p>
              </w:tc>
              <w:tc>
                <w:tcPr>
                  <w:tcW w:w="4114" w:type="dxa"/>
                  <w:noWrap w:val="0"/>
                  <w:vAlign w:val="center"/>
                </w:tcPr>
                <w:p w14:paraId="22F2266D">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1套集气罩+收尘风管+20m高排气筒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），用于</w:t>
                  </w:r>
                  <w:r>
                    <w:rPr>
                      <w:rFonts w:hint="eastAsia" w:cs="Times New Roman"/>
                      <w:color w:val="auto"/>
                      <w:sz w:val="21"/>
                      <w:szCs w:val="21"/>
                      <w:highlight w:val="none"/>
                      <w:lang w:eastAsia="zh-CN"/>
                    </w:rPr>
                    <w:t>处理</w:t>
                  </w:r>
                  <w:r>
                    <w:rPr>
                      <w:rFonts w:hint="eastAsia"/>
                      <w:color w:val="auto"/>
                      <w:sz w:val="21"/>
                      <w:szCs w:val="21"/>
                      <w:highlight w:val="none"/>
                    </w:rPr>
                    <w:t>烘干机皮带转运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2EBB3073">
                  <w:pPr>
                    <w:pStyle w:val="83"/>
                    <w:adjustRightInd/>
                    <w:spacing w:before="0" w:after="0" w:line="240" w:lineRule="auto"/>
                    <w:ind w:firstLine="0" w:firstLineChars="0"/>
                    <w:jc w:val="center"/>
                    <w:rPr>
                      <w:rFonts w:hint="eastAsia" w:cs="Times New Roman"/>
                      <w:color w:val="auto"/>
                      <w:szCs w:val="21"/>
                      <w:highlight w:val="none"/>
                      <w:lang w:eastAsia="zh-CN"/>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07A53D5D">
                  <w:pPr>
                    <w:spacing w:line="240" w:lineRule="auto"/>
                    <w:ind w:firstLine="0" w:firstLineChars="0"/>
                    <w:jc w:val="center"/>
                    <w:rPr>
                      <w:rFonts w:hint="default" w:cs="Times New Roman"/>
                      <w:color w:val="auto"/>
                      <w:szCs w:val="21"/>
                      <w:highlight w:val="none"/>
                      <w:lang w:val="en-US" w:eastAsia="zh-CN"/>
                    </w:rPr>
                  </w:pPr>
                  <w:r>
                    <w:rPr>
                      <w:rFonts w:hint="eastAsia" w:cs="Times New Roman"/>
                      <w:bCs/>
                      <w:color w:val="auto"/>
                      <w:sz w:val="21"/>
                      <w:szCs w:val="21"/>
                      <w:highlight w:val="none"/>
                      <w:lang w:val="en-US" w:eastAsia="zh-CN"/>
                    </w:rPr>
                    <w:t>85</w:t>
                  </w:r>
                </w:p>
              </w:tc>
              <w:tc>
                <w:tcPr>
                  <w:tcW w:w="706" w:type="dxa"/>
                  <w:noWrap w:val="0"/>
                  <w:vAlign w:val="center"/>
                </w:tcPr>
                <w:p w14:paraId="6E6A2ABF">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tr w14:paraId="4A12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309A5844">
                  <w:pPr>
                    <w:spacing w:line="240" w:lineRule="auto"/>
                    <w:ind w:firstLine="0" w:firstLineChars="0"/>
                    <w:jc w:val="center"/>
                    <w:rPr>
                      <w:rFonts w:hint="eastAsia" w:cs="Times New Roman"/>
                      <w:color w:val="auto"/>
                      <w:szCs w:val="21"/>
                      <w:highlight w:val="none"/>
                      <w:lang w:eastAsia="zh-CN"/>
                    </w:rPr>
                  </w:pPr>
                </w:p>
              </w:tc>
              <w:tc>
                <w:tcPr>
                  <w:tcW w:w="418" w:type="dxa"/>
                  <w:vMerge w:val="continue"/>
                  <w:noWrap w:val="0"/>
                  <w:vAlign w:val="center"/>
                </w:tcPr>
                <w:p w14:paraId="5026D73F">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p>
              </w:tc>
              <w:tc>
                <w:tcPr>
                  <w:tcW w:w="1237" w:type="dxa"/>
                  <w:noWrap w:val="0"/>
                  <w:vAlign w:val="center"/>
                </w:tcPr>
                <w:p w14:paraId="3513020C">
                  <w:pPr>
                    <w:keepNext w:val="0"/>
                    <w:keepLines w:val="0"/>
                    <w:widowControl w:val="0"/>
                    <w:suppressLineNumbers w:val="0"/>
                    <w:spacing w:before="0" w:beforeAutospacing="0" w:after="0" w:afterAutospacing="0"/>
                    <w:ind w:left="0" w:leftChars="0" w:right="0" w:rightChars="0"/>
                    <w:jc w:val="center"/>
                    <w:rPr>
                      <w:rFonts w:hint="eastAsia"/>
                      <w:color w:val="auto"/>
                      <w:sz w:val="21"/>
                      <w:szCs w:val="21"/>
                      <w:highlight w:val="none"/>
                    </w:rPr>
                  </w:pPr>
                  <w:r>
                    <w:rPr>
                      <w:rFonts w:hint="eastAsia" w:cs="Times New Roman"/>
                      <w:color w:val="auto"/>
                      <w:sz w:val="21"/>
                      <w:szCs w:val="21"/>
                      <w:highlight w:val="none"/>
                      <w:lang w:eastAsia="zh-CN"/>
                    </w:rPr>
                    <w:t>进成品堆棚转运</w:t>
                  </w:r>
                </w:p>
              </w:tc>
              <w:tc>
                <w:tcPr>
                  <w:tcW w:w="4114" w:type="dxa"/>
                  <w:noWrap w:val="0"/>
                  <w:vAlign w:val="center"/>
                </w:tcPr>
                <w:p w14:paraId="2CFC2C7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1套集气罩+收尘风管+26.5m高排气筒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26C11804">
                  <w:pPr>
                    <w:pStyle w:val="83"/>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5A28A0E0">
                  <w:pPr>
                    <w:spacing w:line="240" w:lineRule="auto"/>
                    <w:ind w:firstLine="0" w:firstLineChars="0"/>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90</w:t>
                  </w:r>
                </w:p>
              </w:tc>
              <w:tc>
                <w:tcPr>
                  <w:tcW w:w="706" w:type="dxa"/>
                  <w:noWrap w:val="0"/>
                  <w:vAlign w:val="center"/>
                </w:tcPr>
                <w:p w14:paraId="3FA565A8">
                  <w:pPr>
                    <w:spacing w:line="240" w:lineRule="auto"/>
                    <w:ind w:firstLine="0" w:firstLine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w:t>
                  </w:r>
                </w:p>
              </w:tc>
            </w:tr>
            <w:tr w14:paraId="09C3A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0C53778A">
                  <w:pPr>
                    <w:spacing w:line="240" w:lineRule="auto"/>
                    <w:ind w:firstLine="0" w:firstLineChars="0"/>
                    <w:jc w:val="center"/>
                    <w:rPr>
                      <w:rFonts w:hint="eastAsia" w:cs="Times New Roman"/>
                      <w:color w:val="auto"/>
                      <w:szCs w:val="21"/>
                      <w:highlight w:val="none"/>
                      <w:lang w:eastAsia="zh-CN"/>
                    </w:rPr>
                  </w:pPr>
                </w:p>
              </w:tc>
              <w:tc>
                <w:tcPr>
                  <w:tcW w:w="418" w:type="dxa"/>
                  <w:vMerge w:val="continue"/>
                  <w:noWrap w:val="0"/>
                  <w:vAlign w:val="center"/>
                </w:tcPr>
                <w:p w14:paraId="5DD55994">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p>
              </w:tc>
              <w:tc>
                <w:tcPr>
                  <w:tcW w:w="1237" w:type="dxa"/>
                  <w:noWrap w:val="0"/>
                  <w:vAlign w:val="center"/>
                </w:tcPr>
                <w:p w14:paraId="6A688D64">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r>
                    <w:rPr>
                      <w:rFonts w:hint="eastAsia" w:ascii="Times New Roman" w:hAnsi="Times New Roman" w:eastAsia="宋体" w:cs="Times New Roman"/>
                      <w:bCs/>
                      <w:color w:val="auto"/>
                      <w:sz w:val="21"/>
                      <w:szCs w:val="21"/>
                      <w:highlight w:val="none"/>
                      <w:lang w:eastAsia="zh-CN"/>
                    </w:rPr>
                    <w:t>出成品堆棚皮带转运</w:t>
                  </w:r>
                </w:p>
              </w:tc>
              <w:tc>
                <w:tcPr>
                  <w:tcW w:w="4114" w:type="dxa"/>
                  <w:noWrap w:val="0"/>
                  <w:vAlign w:val="center"/>
                </w:tcPr>
                <w:p w14:paraId="0A1DAB93">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r>
                    <w:rPr>
                      <w:rFonts w:hint="default" w:ascii="Times New Roman" w:hAnsi="Times New Roman" w:eastAsia="宋体" w:cs="Times New Roman"/>
                      <w:color w:val="auto"/>
                      <w:sz w:val="21"/>
                      <w:szCs w:val="21"/>
                      <w:highlight w:val="none"/>
                    </w:rPr>
                    <w:t>共设置“</w:t>
                  </w:r>
                  <w:r>
                    <w:rPr>
                      <w:rFonts w:hint="eastAsia" w:cs="Times New Roman"/>
                      <w:color w:val="auto"/>
                      <w:sz w:val="21"/>
                      <w:szCs w:val="21"/>
                      <w:highlight w:val="none"/>
                      <w:lang w:val="en-US" w:eastAsia="zh-CN"/>
                    </w:rPr>
                    <w:t>1套集气罩+收尘风管+布袋除尘器+32.5m高排气筒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，用于处理</w:t>
                  </w:r>
                  <w:r>
                    <w:rPr>
                      <w:rFonts w:hint="eastAsia" w:ascii="Times New Roman" w:hAnsi="Times New Roman" w:eastAsia="宋体" w:cs="Times New Roman"/>
                      <w:bCs/>
                      <w:color w:val="auto"/>
                      <w:sz w:val="21"/>
                      <w:szCs w:val="21"/>
                      <w:highlight w:val="none"/>
                      <w:lang w:eastAsia="zh-CN"/>
                    </w:rPr>
                    <w:t>出成品堆棚皮带转运</w:t>
                  </w:r>
                  <w:r>
                    <w:rPr>
                      <w:rFonts w:hint="default" w:ascii="Times New Roman" w:hAnsi="Times New Roman" w:eastAsia="宋体" w:cs="Times New Roman"/>
                      <w:bCs/>
                      <w:color w:val="auto"/>
                      <w:sz w:val="21"/>
                      <w:szCs w:val="21"/>
                      <w:highlight w:val="none"/>
                    </w:rPr>
                    <w:t>过程产生的</w:t>
                  </w:r>
                  <w:r>
                    <w:rPr>
                      <w:rFonts w:hint="default" w:ascii="Times New Roman" w:hAnsi="Times New Roman" w:eastAsia="宋体" w:cs="Times New Roman"/>
                      <w:bCs/>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6CB4FB49">
                  <w:pPr>
                    <w:pStyle w:val="83"/>
                    <w:adjustRightInd/>
                    <w:spacing w:before="0" w:after="0" w:line="240" w:lineRule="auto"/>
                    <w:ind w:firstLine="0" w:firstLineChars="0"/>
                    <w:jc w:val="center"/>
                    <w:rPr>
                      <w:rFonts w:hint="eastAsia" w:cs="Times New Roman"/>
                      <w:color w:val="auto"/>
                      <w:szCs w:val="21"/>
                      <w:highlight w:val="none"/>
                      <w:lang w:eastAsia="zh-CN"/>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1A03FF3D">
                  <w:pPr>
                    <w:spacing w:line="240" w:lineRule="auto"/>
                    <w:ind w:firstLine="0" w:firstLineChars="0"/>
                    <w:jc w:val="center"/>
                    <w:rPr>
                      <w:rFonts w:hint="default" w:cs="Times New Roman"/>
                      <w:color w:val="auto"/>
                      <w:szCs w:val="21"/>
                      <w:highlight w:val="none"/>
                      <w:lang w:val="en-US" w:eastAsia="zh-CN"/>
                    </w:rPr>
                  </w:pPr>
                  <w:r>
                    <w:rPr>
                      <w:rFonts w:hint="eastAsia" w:cs="Times New Roman"/>
                      <w:bCs/>
                      <w:color w:val="auto"/>
                      <w:sz w:val="21"/>
                      <w:szCs w:val="21"/>
                      <w:highlight w:val="none"/>
                      <w:lang w:val="en-US" w:eastAsia="zh-CN"/>
                    </w:rPr>
                    <w:t>95</w:t>
                  </w:r>
                </w:p>
              </w:tc>
              <w:tc>
                <w:tcPr>
                  <w:tcW w:w="706" w:type="dxa"/>
                  <w:noWrap w:val="0"/>
                  <w:vAlign w:val="center"/>
                </w:tcPr>
                <w:p w14:paraId="16C5F572">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tr w14:paraId="6F66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4FC3024C">
                  <w:pPr>
                    <w:spacing w:line="240" w:lineRule="auto"/>
                    <w:ind w:firstLine="0" w:firstLineChars="0"/>
                    <w:jc w:val="center"/>
                    <w:rPr>
                      <w:rFonts w:hint="eastAsia" w:cs="Times New Roman"/>
                      <w:color w:val="auto"/>
                      <w:szCs w:val="21"/>
                      <w:highlight w:val="none"/>
                      <w:lang w:eastAsia="zh-CN"/>
                    </w:rPr>
                  </w:pPr>
                </w:p>
              </w:tc>
              <w:tc>
                <w:tcPr>
                  <w:tcW w:w="418" w:type="dxa"/>
                  <w:vMerge w:val="continue"/>
                  <w:noWrap w:val="0"/>
                  <w:vAlign w:val="center"/>
                </w:tcPr>
                <w:p w14:paraId="19F4E0A8">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p>
              </w:tc>
              <w:tc>
                <w:tcPr>
                  <w:tcW w:w="1237" w:type="dxa"/>
                  <w:noWrap w:val="0"/>
                  <w:vAlign w:val="center"/>
                </w:tcPr>
                <w:p w14:paraId="7D5DD617">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r>
                    <w:rPr>
                      <w:rFonts w:hint="eastAsia" w:ascii="Times New Roman" w:hAnsi="Times New Roman" w:eastAsia="宋体" w:cs="Times New Roman"/>
                      <w:color w:val="auto"/>
                      <w:sz w:val="21"/>
                      <w:szCs w:val="21"/>
                      <w:highlight w:val="none"/>
                      <w:lang w:val="en-US" w:eastAsia="zh-CN"/>
                    </w:rPr>
                    <w:t>出成品装车车间皮带转运</w:t>
                  </w:r>
                </w:p>
              </w:tc>
              <w:tc>
                <w:tcPr>
                  <w:tcW w:w="4114" w:type="dxa"/>
                  <w:noWrap w:val="0"/>
                  <w:vAlign w:val="center"/>
                </w:tcPr>
                <w:p w14:paraId="3D76B32F">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r>
                    <w:rPr>
                      <w:rFonts w:hint="default" w:ascii="Times New Roman" w:hAnsi="Times New Roman" w:eastAsia="宋体" w:cs="Times New Roman"/>
                      <w:color w:val="auto"/>
                      <w:sz w:val="21"/>
                      <w:szCs w:val="21"/>
                      <w:highlight w:val="none"/>
                    </w:rPr>
                    <w:t>共设置“</w:t>
                  </w:r>
                  <w:r>
                    <w:rPr>
                      <w:rFonts w:hint="eastAsia" w:cs="Times New Roman"/>
                      <w:color w:val="auto"/>
                      <w:sz w:val="21"/>
                      <w:szCs w:val="21"/>
                      <w:highlight w:val="none"/>
                      <w:lang w:val="en-US" w:eastAsia="zh-CN"/>
                    </w:rPr>
                    <w:t>2套集气罩+收尘风管+布袋除尘器（设两个转运点）+35m高排气筒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，用于处理</w:t>
                  </w:r>
                  <w:r>
                    <w:rPr>
                      <w:rFonts w:hint="eastAsia" w:ascii="Times New Roman" w:hAnsi="Times New Roman" w:eastAsia="宋体" w:cs="Times New Roman"/>
                      <w:color w:val="auto"/>
                      <w:sz w:val="21"/>
                      <w:szCs w:val="21"/>
                      <w:highlight w:val="none"/>
                      <w:lang w:val="en-US" w:eastAsia="zh-CN"/>
                    </w:rPr>
                    <w:t>出成品装车车间皮带转运</w:t>
                  </w:r>
                  <w:r>
                    <w:rPr>
                      <w:rFonts w:hint="default" w:ascii="Times New Roman" w:hAnsi="Times New Roman" w:eastAsia="宋体" w:cs="Times New Roman"/>
                      <w:color w:val="auto"/>
                      <w:sz w:val="21"/>
                      <w:szCs w:val="21"/>
                      <w:highlight w:val="none"/>
                    </w:rPr>
                    <w:t>过程产生的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单个</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11C8EBF1">
                  <w:pPr>
                    <w:pStyle w:val="83"/>
                    <w:adjustRightInd/>
                    <w:spacing w:before="0" w:after="0" w:line="240" w:lineRule="auto"/>
                    <w:ind w:firstLine="0" w:firstLineChars="0"/>
                    <w:jc w:val="center"/>
                    <w:rPr>
                      <w:rFonts w:hint="eastAsia" w:cs="Times New Roman"/>
                      <w:color w:val="auto"/>
                      <w:szCs w:val="21"/>
                      <w:highlight w:val="none"/>
                      <w:lang w:eastAsia="zh-CN"/>
                    </w:rPr>
                  </w:pPr>
                  <w:r>
                    <w:rPr>
                      <w:rFonts w:hint="eastAsia" w:eastAsia="宋体"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rPr>
                    <w:t>套</w:t>
                  </w:r>
                </w:p>
              </w:tc>
              <w:tc>
                <w:tcPr>
                  <w:tcW w:w="676" w:type="dxa"/>
                  <w:noWrap w:val="0"/>
                  <w:vAlign w:val="center"/>
                </w:tcPr>
                <w:p w14:paraId="75D11E51">
                  <w:pPr>
                    <w:spacing w:line="240" w:lineRule="auto"/>
                    <w:ind w:firstLine="0" w:firstLineChars="0"/>
                    <w:jc w:val="center"/>
                    <w:rPr>
                      <w:rFonts w:hint="default" w:cs="Times New Roman"/>
                      <w:color w:val="auto"/>
                      <w:szCs w:val="21"/>
                      <w:highlight w:val="none"/>
                      <w:lang w:val="en-US" w:eastAsia="zh-CN"/>
                    </w:rPr>
                  </w:pPr>
                  <w:r>
                    <w:rPr>
                      <w:rFonts w:hint="eastAsia" w:cs="Times New Roman"/>
                      <w:bCs/>
                      <w:color w:val="auto"/>
                      <w:sz w:val="21"/>
                      <w:szCs w:val="21"/>
                      <w:highlight w:val="none"/>
                      <w:lang w:val="en-US" w:eastAsia="zh-CN"/>
                    </w:rPr>
                    <w:t>190</w:t>
                  </w:r>
                </w:p>
              </w:tc>
              <w:tc>
                <w:tcPr>
                  <w:tcW w:w="706" w:type="dxa"/>
                  <w:noWrap w:val="0"/>
                  <w:vAlign w:val="center"/>
                </w:tcPr>
                <w:p w14:paraId="58079957">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tr w14:paraId="23DB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69EB5239">
                  <w:pPr>
                    <w:spacing w:line="240" w:lineRule="auto"/>
                    <w:ind w:firstLine="0" w:firstLineChars="0"/>
                    <w:jc w:val="center"/>
                    <w:rPr>
                      <w:rFonts w:hint="eastAsia" w:cs="Times New Roman"/>
                      <w:color w:val="auto"/>
                      <w:szCs w:val="21"/>
                      <w:highlight w:val="none"/>
                      <w:lang w:eastAsia="zh-CN"/>
                    </w:rPr>
                  </w:pPr>
                </w:p>
              </w:tc>
              <w:tc>
                <w:tcPr>
                  <w:tcW w:w="418" w:type="dxa"/>
                  <w:vMerge w:val="restart"/>
                  <w:noWrap w:val="0"/>
                  <w:vAlign w:val="center"/>
                </w:tcPr>
                <w:p w14:paraId="60472324">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r>
                    <w:rPr>
                      <w:rFonts w:hint="eastAsia" w:ascii="Times New Roman" w:hAnsi="Times New Roman" w:eastAsia="宋体" w:cs="Times New Roman"/>
                      <w:color w:val="auto"/>
                      <w:kern w:val="2"/>
                      <w:sz w:val="21"/>
                      <w:szCs w:val="21"/>
                      <w:highlight w:val="none"/>
                      <w:lang w:val="en-US" w:eastAsia="zh-CN" w:bidi="ar-SA"/>
                    </w:rPr>
                    <w:t>成品散装粉尘</w:t>
                  </w:r>
                </w:p>
              </w:tc>
              <w:tc>
                <w:tcPr>
                  <w:tcW w:w="1237" w:type="dxa"/>
                  <w:noWrap w:val="0"/>
                  <w:vAlign w:val="center"/>
                </w:tcPr>
                <w:p w14:paraId="580B9F89">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r>
                    <w:rPr>
                      <w:rFonts w:hint="eastAsia" w:cs="Times New Roman"/>
                      <w:color w:val="auto"/>
                      <w:sz w:val="21"/>
                      <w:szCs w:val="21"/>
                      <w:highlight w:val="none"/>
                      <w:lang w:val="en-US" w:eastAsia="zh-CN"/>
                    </w:rPr>
                    <w:t>1#块煤散装</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DA015</w:t>
                  </w:r>
                  <w:r>
                    <w:rPr>
                      <w:rFonts w:hint="eastAsia" w:cs="Times New Roman"/>
                      <w:color w:val="auto"/>
                      <w:sz w:val="21"/>
                      <w:szCs w:val="21"/>
                      <w:highlight w:val="none"/>
                      <w:lang w:eastAsia="zh-CN"/>
                    </w:rPr>
                    <w:t>）</w:t>
                  </w:r>
                </w:p>
              </w:tc>
              <w:tc>
                <w:tcPr>
                  <w:tcW w:w="4114" w:type="dxa"/>
                  <w:noWrap w:val="0"/>
                  <w:vAlign w:val="center"/>
                </w:tcPr>
                <w:p w14:paraId="7D25E3F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6171</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5E8CE078">
                  <w:pPr>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65EC6FB1">
                  <w:pPr>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90</w:t>
                  </w:r>
                </w:p>
              </w:tc>
              <w:tc>
                <w:tcPr>
                  <w:tcW w:w="706" w:type="dxa"/>
                  <w:noWrap w:val="0"/>
                  <w:vAlign w:val="center"/>
                </w:tcPr>
                <w:p w14:paraId="70602766">
                  <w:pPr>
                    <w:spacing w:line="240" w:lineRule="auto"/>
                    <w:ind w:firstLine="0" w:firstLineChars="0"/>
                    <w:jc w:val="center"/>
                    <w:rPr>
                      <w:rFonts w:hint="eastAsia" w:cs="Times New Roman"/>
                      <w:color w:val="auto"/>
                      <w:szCs w:val="21"/>
                      <w:highlight w:val="none"/>
                      <w:lang w:val="en-US" w:eastAsia="zh-CN"/>
                    </w:rPr>
                  </w:pPr>
                </w:p>
              </w:tc>
            </w:tr>
            <w:tr w14:paraId="589F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0CE1BCFD">
                  <w:pPr>
                    <w:spacing w:line="240" w:lineRule="auto"/>
                    <w:ind w:firstLine="0" w:firstLineChars="0"/>
                    <w:jc w:val="center"/>
                    <w:rPr>
                      <w:rFonts w:hint="eastAsia" w:cs="Times New Roman"/>
                      <w:color w:val="auto"/>
                      <w:szCs w:val="21"/>
                      <w:highlight w:val="none"/>
                      <w:lang w:eastAsia="zh-CN"/>
                    </w:rPr>
                  </w:pPr>
                </w:p>
              </w:tc>
              <w:tc>
                <w:tcPr>
                  <w:tcW w:w="418" w:type="dxa"/>
                  <w:vMerge w:val="continue"/>
                  <w:noWrap w:val="0"/>
                  <w:vAlign w:val="center"/>
                </w:tcPr>
                <w:p w14:paraId="0FA93B9F">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p>
              </w:tc>
              <w:tc>
                <w:tcPr>
                  <w:tcW w:w="1237" w:type="dxa"/>
                  <w:noWrap w:val="0"/>
                  <w:vAlign w:val="center"/>
                </w:tcPr>
                <w:p w14:paraId="0F35C787">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r>
                    <w:rPr>
                      <w:rFonts w:hint="eastAsia" w:cs="Times New Roman"/>
                      <w:color w:val="auto"/>
                      <w:sz w:val="21"/>
                      <w:szCs w:val="21"/>
                      <w:highlight w:val="none"/>
                      <w:lang w:val="en-US" w:eastAsia="zh-CN"/>
                    </w:rPr>
                    <w:t>2#块煤散装</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DA016</w:t>
                  </w:r>
                  <w:r>
                    <w:rPr>
                      <w:rFonts w:hint="eastAsia" w:cs="Times New Roman"/>
                      <w:color w:val="auto"/>
                      <w:sz w:val="21"/>
                      <w:szCs w:val="21"/>
                      <w:highlight w:val="none"/>
                      <w:lang w:eastAsia="zh-CN"/>
                    </w:rPr>
                    <w:t>）</w:t>
                  </w:r>
                </w:p>
              </w:tc>
              <w:tc>
                <w:tcPr>
                  <w:tcW w:w="4114" w:type="dxa"/>
                  <w:noWrap w:val="0"/>
                  <w:vAlign w:val="center"/>
                </w:tcPr>
                <w:p w14:paraId="48D2E98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16</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6171</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2C8A7890">
                  <w:pPr>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078EE2F5">
                  <w:pPr>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90</w:t>
                  </w:r>
                </w:p>
              </w:tc>
              <w:tc>
                <w:tcPr>
                  <w:tcW w:w="706" w:type="dxa"/>
                  <w:noWrap w:val="0"/>
                  <w:vAlign w:val="center"/>
                </w:tcPr>
                <w:p w14:paraId="14BE0294">
                  <w:pPr>
                    <w:spacing w:line="240" w:lineRule="auto"/>
                    <w:ind w:firstLine="0" w:firstLineChars="0"/>
                    <w:jc w:val="center"/>
                    <w:rPr>
                      <w:rFonts w:hint="eastAsia" w:cs="Times New Roman"/>
                      <w:color w:val="auto"/>
                      <w:szCs w:val="21"/>
                      <w:highlight w:val="none"/>
                      <w:lang w:val="en-US" w:eastAsia="zh-CN"/>
                    </w:rPr>
                  </w:pPr>
                </w:p>
              </w:tc>
            </w:tr>
            <w:tr w14:paraId="65B3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3A048BD5">
                  <w:pPr>
                    <w:spacing w:line="240" w:lineRule="auto"/>
                    <w:ind w:firstLine="0" w:firstLineChars="0"/>
                    <w:jc w:val="center"/>
                    <w:rPr>
                      <w:rFonts w:hint="eastAsia" w:cs="Times New Roman"/>
                      <w:color w:val="auto"/>
                      <w:szCs w:val="21"/>
                      <w:highlight w:val="none"/>
                      <w:lang w:eastAsia="zh-CN"/>
                    </w:rPr>
                  </w:pPr>
                </w:p>
              </w:tc>
              <w:tc>
                <w:tcPr>
                  <w:tcW w:w="418" w:type="dxa"/>
                  <w:vMerge w:val="continue"/>
                  <w:noWrap w:val="0"/>
                  <w:vAlign w:val="center"/>
                </w:tcPr>
                <w:p w14:paraId="671F1368">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p>
              </w:tc>
              <w:tc>
                <w:tcPr>
                  <w:tcW w:w="1237" w:type="dxa"/>
                  <w:noWrap w:val="0"/>
                  <w:vAlign w:val="center"/>
                </w:tcPr>
                <w:p w14:paraId="141075FA">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r>
                    <w:rPr>
                      <w:rFonts w:hint="eastAsia" w:cs="Times New Roman"/>
                      <w:color w:val="auto"/>
                      <w:sz w:val="21"/>
                      <w:szCs w:val="21"/>
                      <w:highlight w:val="none"/>
                      <w:lang w:val="en-US" w:eastAsia="zh-CN"/>
                    </w:rPr>
                    <w:t>1#煤粉散装</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DA017</w:t>
                  </w:r>
                  <w:r>
                    <w:rPr>
                      <w:rFonts w:hint="eastAsia" w:cs="Times New Roman"/>
                      <w:color w:val="auto"/>
                      <w:sz w:val="21"/>
                      <w:szCs w:val="21"/>
                      <w:highlight w:val="none"/>
                      <w:lang w:eastAsia="zh-CN"/>
                    </w:rPr>
                    <w:t>）</w:t>
                  </w:r>
                </w:p>
              </w:tc>
              <w:tc>
                <w:tcPr>
                  <w:tcW w:w="4114" w:type="dxa"/>
                  <w:noWrap w:val="0"/>
                  <w:vAlign w:val="center"/>
                </w:tcPr>
                <w:p w14:paraId="53F1253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3284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30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193795B9">
                  <w:pPr>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6549BF1D">
                  <w:pPr>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90</w:t>
                  </w:r>
                </w:p>
              </w:tc>
              <w:tc>
                <w:tcPr>
                  <w:tcW w:w="706" w:type="dxa"/>
                  <w:noWrap w:val="0"/>
                  <w:vAlign w:val="center"/>
                </w:tcPr>
                <w:p w14:paraId="4A00FA42">
                  <w:pPr>
                    <w:spacing w:line="240" w:lineRule="auto"/>
                    <w:ind w:firstLine="0" w:firstLineChars="0"/>
                    <w:jc w:val="center"/>
                    <w:rPr>
                      <w:rFonts w:hint="eastAsia" w:cs="Times New Roman"/>
                      <w:color w:val="auto"/>
                      <w:szCs w:val="21"/>
                      <w:highlight w:val="none"/>
                      <w:lang w:val="en-US" w:eastAsia="zh-CN"/>
                    </w:rPr>
                  </w:pPr>
                </w:p>
              </w:tc>
            </w:tr>
            <w:tr w14:paraId="6C8F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0" w:type="dxa"/>
                  <w:vMerge w:val="continue"/>
                  <w:noWrap w:val="0"/>
                  <w:vAlign w:val="center"/>
                </w:tcPr>
                <w:p w14:paraId="4C574291">
                  <w:pPr>
                    <w:spacing w:line="240" w:lineRule="auto"/>
                    <w:ind w:firstLine="0" w:firstLineChars="0"/>
                    <w:jc w:val="center"/>
                    <w:rPr>
                      <w:rFonts w:hint="eastAsia" w:cs="Times New Roman"/>
                      <w:color w:val="auto"/>
                      <w:szCs w:val="21"/>
                      <w:highlight w:val="none"/>
                      <w:lang w:eastAsia="zh-CN"/>
                    </w:rPr>
                  </w:pPr>
                </w:p>
              </w:tc>
              <w:tc>
                <w:tcPr>
                  <w:tcW w:w="418" w:type="dxa"/>
                  <w:vMerge w:val="continue"/>
                  <w:noWrap w:val="0"/>
                  <w:vAlign w:val="center"/>
                </w:tcPr>
                <w:p w14:paraId="1B0C52C0">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p>
              </w:tc>
              <w:tc>
                <w:tcPr>
                  <w:tcW w:w="1237" w:type="dxa"/>
                  <w:noWrap w:val="0"/>
                  <w:vAlign w:val="center"/>
                </w:tcPr>
                <w:p w14:paraId="74FD7AC1">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r>
                    <w:rPr>
                      <w:rFonts w:hint="eastAsia" w:cs="Times New Roman"/>
                      <w:color w:val="auto"/>
                      <w:sz w:val="21"/>
                      <w:szCs w:val="21"/>
                      <w:highlight w:val="none"/>
                      <w:lang w:val="en-US" w:eastAsia="zh-CN"/>
                    </w:rPr>
                    <w:t>2#煤粉散装</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DA018</w:t>
                  </w:r>
                  <w:r>
                    <w:rPr>
                      <w:rFonts w:hint="eastAsia" w:cs="Times New Roman"/>
                      <w:color w:val="auto"/>
                      <w:sz w:val="21"/>
                      <w:szCs w:val="21"/>
                      <w:highlight w:val="none"/>
                      <w:lang w:eastAsia="zh-CN"/>
                    </w:rPr>
                    <w:t>）</w:t>
                  </w:r>
                </w:p>
              </w:tc>
              <w:tc>
                <w:tcPr>
                  <w:tcW w:w="4114" w:type="dxa"/>
                  <w:noWrap w:val="0"/>
                  <w:vAlign w:val="center"/>
                </w:tcPr>
                <w:p w14:paraId="7295574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3284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30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08DB460E">
                  <w:pPr>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25AAEF5E">
                  <w:pPr>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90</w:t>
                  </w:r>
                </w:p>
              </w:tc>
              <w:tc>
                <w:tcPr>
                  <w:tcW w:w="706" w:type="dxa"/>
                  <w:noWrap w:val="0"/>
                  <w:vAlign w:val="center"/>
                </w:tcPr>
                <w:p w14:paraId="18672F4D">
                  <w:pPr>
                    <w:spacing w:line="240" w:lineRule="auto"/>
                    <w:ind w:firstLine="0" w:firstLineChars="0"/>
                    <w:jc w:val="center"/>
                    <w:rPr>
                      <w:rFonts w:hint="eastAsia" w:cs="Times New Roman"/>
                      <w:color w:val="auto"/>
                      <w:szCs w:val="21"/>
                      <w:highlight w:val="none"/>
                      <w:lang w:val="en-US" w:eastAsia="zh-CN"/>
                    </w:rPr>
                  </w:pPr>
                </w:p>
              </w:tc>
            </w:tr>
            <w:tr w14:paraId="0029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7D5C9BFF">
                  <w:pPr>
                    <w:spacing w:line="240" w:lineRule="auto"/>
                    <w:ind w:firstLine="0" w:firstLineChars="0"/>
                    <w:jc w:val="center"/>
                    <w:rPr>
                      <w:rFonts w:hint="eastAsia" w:cs="Times New Roman"/>
                      <w:color w:val="auto"/>
                      <w:szCs w:val="21"/>
                      <w:highlight w:val="none"/>
                      <w:lang w:eastAsia="zh-CN"/>
                    </w:rPr>
                  </w:pPr>
                </w:p>
              </w:tc>
              <w:tc>
                <w:tcPr>
                  <w:tcW w:w="1655" w:type="dxa"/>
                  <w:gridSpan w:val="2"/>
                  <w:noWrap w:val="0"/>
                  <w:vAlign w:val="center"/>
                </w:tcPr>
                <w:p w14:paraId="1527657C">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eastAsia="zh-CN"/>
                    </w:rPr>
                    <w:t>成品堆场扬尘</w:t>
                  </w:r>
                </w:p>
              </w:tc>
              <w:tc>
                <w:tcPr>
                  <w:tcW w:w="4114" w:type="dxa"/>
                  <w:noWrap w:val="0"/>
                  <w:vAlign w:val="center"/>
                </w:tcPr>
                <w:p w14:paraId="44CC86E2">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spacing w:val="-8"/>
                      <w:sz w:val="21"/>
                      <w:szCs w:val="21"/>
                      <w:highlight w:val="none"/>
                      <w:lang w:eastAsia="zh-CN"/>
                    </w:rPr>
                    <w:t>成品煤储存区为全封闭厂房，</w:t>
                  </w:r>
                  <w:r>
                    <w:rPr>
                      <w:rFonts w:hint="default" w:ascii="Times New Roman" w:hAnsi="Times New Roman" w:eastAsia="宋体" w:cs="Times New Roman"/>
                      <w:color w:val="auto"/>
                      <w:spacing w:val="-3"/>
                      <w:sz w:val="21"/>
                      <w:szCs w:val="21"/>
                      <w:highlight w:val="none"/>
                    </w:rPr>
                    <w:t>其产生</w:t>
                  </w:r>
                  <w:r>
                    <w:rPr>
                      <w:rFonts w:hint="default" w:ascii="Times New Roman" w:hAnsi="Times New Roman" w:eastAsia="宋体" w:cs="Times New Roman"/>
                      <w:color w:val="auto"/>
                      <w:spacing w:val="-5"/>
                      <w:sz w:val="21"/>
                      <w:szCs w:val="21"/>
                      <w:highlight w:val="none"/>
                    </w:rPr>
                    <w:t>的无组织扬尘</w:t>
                  </w:r>
                  <w:r>
                    <w:rPr>
                      <w:rFonts w:hint="eastAsia" w:cs="Times New Roman"/>
                      <w:color w:val="auto"/>
                      <w:spacing w:val="-5"/>
                      <w:sz w:val="21"/>
                      <w:szCs w:val="21"/>
                      <w:highlight w:val="none"/>
                      <w:lang w:eastAsia="zh-CN"/>
                    </w:rPr>
                    <w:t>均在堆棚内</w:t>
                  </w:r>
                  <w:r>
                    <w:rPr>
                      <w:rFonts w:hint="default" w:ascii="Times New Roman" w:hAnsi="Times New Roman" w:eastAsia="宋体" w:cs="Times New Roman"/>
                      <w:color w:val="auto"/>
                      <w:spacing w:val="-11"/>
                      <w:sz w:val="21"/>
                      <w:szCs w:val="21"/>
                      <w:highlight w:val="none"/>
                    </w:rPr>
                    <w:t>，</w:t>
                  </w:r>
                  <w:r>
                    <w:rPr>
                      <w:rFonts w:hint="eastAsia" w:cs="Times New Roman"/>
                      <w:color w:val="auto"/>
                      <w:spacing w:val="-11"/>
                      <w:sz w:val="21"/>
                      <w:szCs w:val="21"/>
                      <w:highlight w:val="none"/>
                      <w:lang w:eastAsia="zh-CN"/>
                    </w:rPr>
                    <w:t>仅有少量扬尘在开门时溢出。</w:t>
                  </w:r>
                </w:p>
              </w:tc>
              <w:tc>
                <w:tcPr>
                  <w:tcW w:w="598" w:type="dxa"/>
                  <w:noWrap w:val="0"/>
                  <w:vAlign w:val="center"/>
                </w:tcPr>
                <w:p w14:paraId="0BD8D092">
                  <w:pPr>
                    <w:spacing w:line="240" w:lineRule="auto"/>
                    <w:ind w:firstLine="0" w:firstLine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w:t>
                  </w:r>
                </w:p>
              </w:tc>
              <w:tc>
                <w:tcPr>
                  <w:tcW w:w="676" w:type="dxa"/>
                  <w:noWrap w:val="0"/>
                  <w:vAlign w:val="center"/>
                </w:tcPr>
                <w:p w14:paraId="04B1E5B8">
                  <w:pPr>
                    <w:spacing w:line="240" w:lineRule="auto"/>
                    <w:ind w:firstLine="0" w:firstLine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计算进总投资额里，不单独另计</w:t>
                  </w:r>
                </w:p>
              </w:tc>
              <w:tc>
                <w:tcPr>
                  <w:tcW w:w="706" w:type="dxa"/>
                  <w:noWrap w:val="0"/>
                  <w:vAlign w:val="center"/>
                </w:tcPr>
                <w:p w14:paraId="396E1CFD">
                  <w:pPr>
                    <w:spacing w:line="240" w:lineRule="auto"/>
                    <w:ind w:firstLine="0" w:firstLineChars="0"/>
                    <w:jc w:val="center"/>
                    <w:rPr>
                      <w:rFonts w:hint="eastAsia"/>
                      <w:color w:val="auto"/>
                      <w:highlight w:val="none"/>
                      <w:lang w:val="en-US" w:eastAsia="zh-CN"/>
                    </w:rPr>
                  </w:pPr>
                  <w:r>
                    <w:rPr>
                      <w:rFonts w:hint="eastAsia"/>
                      <w:color w:val="auto"/>
                      <w:highlight w:val="none"/>
                      <w:lang w:val="en-US" w:eastAsia="zh-CN"/>
                    </w:rPr>
                    <w:t>/</w:t>
                  </w:r>
                </w:p>
                <w:p w14:paraId="014CA36E">
                  <w:pPr>
                    <w:spacing w:line="240" w:lineRule="auto"/>
                    <w:ind w:firstLine="0" w:firstLineChars="0"/>
                    <w:jc w:val="center"/>
                    <w:rPr>
                      <w:rFonts w:hint="eastAsia" w:cs="Times New Roman"/>
                      <w:color w:val="auto"/>
                      <w:szCs w:val="21"/>
                      <w:highlight w:val="none"/>
                      <w:lang w:val="en-US" w:eastAsia="zh-CN"/>
                    </w:rPr>
                  </w:pPr>
                </w:p>
              </w:tc>
            </w:tr>
            <w:tr w14:paraId="2C99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3DB755D3">
                  <w:pPr>
                    <w:spacing w:line="240" w:lineRule="auto"/>
                    <w:ind w:firstLine="0" w:firstLineChars="0"/>
                    <w:jc w:val="center"/>
                    <w:rPr>
                      <w:rFonts w:hint="eastAsia" w:cs="Times New Roman"/>
                      <w:color w:val="auto"/>
                      <w:szCs w:val="21"/>
                      <w:highlight w:val="none"/>
                      <w:lang w:eastAsia="zh-CN"/>
                    </w:rPr>
                  </w:pPr>
                </w:p>
              </w:tc>
              <w:tc>
                <w:tcPr>
                  <w:tcW w:w="1655" w:type="dxa"/>
                  <w:gridSpan w:val="2"/>
                  <w:noWrap w:val="0"/>
                  <w:vAlign w:val="center"/>
                </w:tcPr>
                <w:p w14:paraId="127955D8">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r>
                    <w:rPr>
                      <w:rFonts w:hint="eastAsia" w:cs="Times New Roman"/>
                      <w:color w:val="auto"/>
                      <w:kern w:val="2"/>
                      <w:sz w:val="21"/>
                      <w:szCs w:val="21"/>
                      <w:highlight w:val="none"/>
                      <w:lang w:val="en-US" w:eastAsia="zh-CN" w:bidi="ar-SA"/>
                    </w:rPr>
                    <w:t>氨水储罐（氨气）</w:t>
                  </w:r>
                </w:p>
              </w:tc>
              <w:tc>
                <w:tcPr>
                  <w:tcW w:w="4114" w:type="dxa"/>
                  <w:noWrap w:val="0"/>
                  <w:vAlign w:val="center"/>
                </w:tcPr>
                <w:p w14:paraId="17CBDD53">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eastAsia="zh-CN"/>
                    </w:rPr>
                  </w:pPr>
                  <w:r>
                    <w:rPr>
                      <w:rFonts w:hint="eastAsia" w:cs="Times New Roman"/>
                      <w:color w:val="auto"/>
                      <w:kern w:val="2"/>
                      <w:sz w:val="21"/>
                      <w:szCs w:val="21"/>
                      <w:highlight w:val="none"/>
                      <w:lang w:val="en-US" w:eastAsia="zh-CN" w:bidi="ar-SA"/>
                    </w:rPr>
                    <w:t>设置1个容积为20m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vertAlign w:val="baseline"/>
                      <w:lang w:val="en-US" w:eastAsia="zh-CN" w:bidi="ar-SA"/>
                    </w:rPr>
                    <w:t>的清水罐进行吸收。</w:t>
                  </w:r>
                </w:p>
              </w:tc>
              <w:tc>
                <w:tcPr>
                  <w:tcW w:w="598" w:type="dxa"/>
                  <w:noWrap w:val="0"/>
                  <w:vAlign w:val="center"/>
                </w:tcPr>
                <w:p w14:paraId="136E7EFB">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1套</w:t>
                  </w:r>
                </w:p>
              </w:tc>
              <w:tc>
                <w:tcPr>
                  <w:tcW w:w="676" w:type="dxa"/>
                  <w:noWrap w:val="0"/>
                  <w:vAlign w:val="center"/>
                </w:tcPr>
                <w:p w14:paraId="792333BC">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706" w:type="dxa"/>
                  <w:noWrap w:val="0"/>
                  <w:vAlign w:val="center"/>
                </w:tcPr>
                <w:p w14:paraId="3E223252">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tr w14:paraId="2109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0" w:type="dxa"/>
                  <w:vMerge w:val="continue"/>
                  <w:noWrap w:val="0"/>
                  <w:vAlign w:val="center"/>
                </w:tcPr>
                <w:p w14:paraId="256F26BD">
                  <w:pPr>
                    <w:spacing w:line="240" w:lineRule="auto"/>
                    <w:ind w:firstLine="0" w:firstLineChars="0"/>
                    <w:jc w:val="center"/>
                    <w:rPr>
                      <w:rFonts w:hint="eastAsia" w:cs="Times New Roman"/>
                      <w:color w:val="auto"/>
                      <w:szCs w:val="21"/>
                      <w:highlight w:val="none"/>
                      <w:lang w:eastAsia="zh-CN"/>
                    </w:rPr>
                  </w:pPr>
                </w:p>
              </w:tc>
              <w:tc>
                <w:tcPr>
                  <w:tcW w:w="1655" w:type="dxa"/>
                  <w:gridSpan w:val="2"/>
                  <w:noWrap w:val="0"/>
                  <w:vAlign w:val="center"/>
                </w:tcPr>
                <w:p w14:paraId="4577A0D1">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石灰石粉储罐粉尘</w:t>
                  </w:r>
                </w:p>
              </w:tc>
              <w:tc>
                <w:tcPr>
                  <w:tcW w:w="4114" w:type="dxa"/>
                  <w:noWrap w:val="0"/>
                  <w:vAlign w:val="center"/>
                </w:tcPr>
                <w:p w14:paraId="5356F8A2">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1套布袋除尘器+15m高排气筒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，用于处理</w:t>
                  </w:r>
                  <w:r>
                    <w:rPr>
                      <w:rFonts w:hint="eastAsia" w:ascii="Times New Roman" w:hAnsi="Times New Roman" w:eastAsia="宋体" w:cs="Times New Roman"/>
                      <w:bCs/>
                      <w:color w:val="auto"/>
                      <w:sz w:val="21"/>
                      <w:szCs w:val="21"/>
                      <w:highlight w:val="none"/>
                      <w:lang w:eastAsia="zh-CN"/>
                    </w:rPr>
                    <w:t>石灰石粉储罐</w:t>
                  </w:r>
                  <w:r>
                    <w:rPr>
                      <w:rFonts w:hint="default" w:ascii="Times New Roman" w:hAnsi="Times New Roman" w:eastAsia="宋体" w:cs="Times New Roman"/>
                      <w:bCs/>
                      <w:color w:val="auto"/>
                      <w:sz w:val="21"/>
                      <w:szCs w:val="21"/>
                      <w:highlight w:val="none"/>
                    </w:rPr>
                    <w:t>产生的</w:t>
                  </w:r>
                  <w:r>
                    <w:rPr>
                      <w:rFonts w:hint="default" w:ascii="Times New Roman" w:hAnsi="Times New Roman" w:eastAsia="宋体" w:cs="Times New Roman"/>
                      <w:bCs/>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598" w:type="dxa"/>
                  <w:noWrap w:val="0"/>
                  <w:vAlign w:val="center"/>
                </w:tcPr>
                <w:p w14:paraId="2CB3D775">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1套</w:t>
                  </w:r>
                </w:p>
              </w:tc>
              <w:tc>
                <w:tcPr>
                  <w:tcW w:w="676" w:type="dxa"/>
                  <w:noWrap w:val="0"/>
                  <w:vAlign w:val="center"/>
                </w:tcPr>
                <w:p w14:paraId="4B5130A6">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5</w:t>
                  </w:r>
                </w:p>
              </w:tc>
              <w:tc>
                <w:tcPr>
                  <w:tcW w:w="706" w:type="dxa"/>
                  <w:noWrap w:val="0"/>
                  <w:vAlign w:val="center"/>
                </w:tcPr>
                <w:p w14:paraId="3598FC2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w:t>
                  </w:r>
                </w:p>
              </w:tc>
            </w:tr>
            <w:tr w14:paraId="0C4F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dxa"/>
                  <w:vMerge w:val="restart"/>
                  <w:noWrap w:val="0"/>
                  <w:vAlign w:val="center"/>
                </w:tcPr>
                <w:p w14:paraId="37E002E3">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1655" w:type="dxa"/>
                  <w:gridSpan w:val="2"/>
                  <w:noWrap w:val="0"/>
                  <w:vAlign w:val="center"/>
                </w:tcPr>
                <w:p w14:paraId="217B9F0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w:t>
                  </w:r>
                  <w:r>
                    <w:rPr>
                      <w:rFonts w:hint="default" w:ascii="Times New Roman" w:hAnsi="Times New Roman" w:eastAsia="宋体" w:cs="Times New Roman"/>
                      <w:color w:val="auto"/>
                      <w:sz w:val="21"/>
                      <w:szCs w:val="21"/>
                      <w:highlight w:val="none"/>
                      <w:lang w:val="en-US" w:eastAsia="zh-CN"/>
                    </w:rPr>
                    <w:t>分流</w:t>
                  </w:r>
                </w:p>
              </w:tc>
              <w:tc>
                <w:tcPr>
                  <w:tcW w:w="4114" w:type="dxa"/>
                  <w:noWrap w:val="0"/>
                  <w:vAlign w:val="center"/>
                </w:tcPr>
                <w:p w14:paraId="16A1AB6E">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项目区“雨污分流、清污分流”系统。</w:t>
                  </w:r>
                </w:p>
              </w:tc>
              <w:tc>
                <w:tcPr>
                  <w:tcW w:w="598" w:type="dxa"/>
                  <w:noWrap w:val="0"/>
                  <w:vAlign w:val="center"/>
                </w:tcPr>
                <w:p w14:paraId="3592F68B">
                  <w:pPr>
                    <w:pStyle w:val="83"/>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33F09AB1">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40</w:t>
                  </w:r>
                </w:p>
              </w:tc>
              <w:tc>
                <w:tcPr>
                  <w:tcW w:w="706" w:type="dxa"/>
                  <w:noWrap w:val="0"/>
                  <w:vAlign w:val="center"/>
                </w:tcPr>
                <w:p w14:paraId="4775D20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E54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420" w:type="dxa"/>
                  <w:vMerge w:val="continue"/>
                  <w:noWrap w:val="0"/>
                  <w:vAlign w:val="center"/>
                </w:tcPr>
                <w:p w14:paraId="277EB410">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55" w:type="dxa"/>
                  <w:gridSpan w:val="2"/>
                  <w:noWrap w:val="0"/>
                  <w:vAlign w:val="center"/>
                </w:tcPr>
                <w:p w14:paraId="03B1CE45">
                  <w:pPr>
                    <w:pStyle w:val="24"/>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初期雨水收集池</w:t>
                  </w:r>
                </w:p>
              </w:tc>
              <w:tc>
                <w:tcPr>
                  <w:tcW w:w="4114" w:type="dxa"/>
                  <w:noWrap w:val="0"/>
                  <w:vAlign w:val="center"/>
                </w:tcPr>
                <w:p w14:paraId="7BA7A150">
                  <w:pPr>
                    <w:pStyle w:val="24"/>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一座容积为</w:t>
                  </w:r>
                  <w:r>
                    <w:rPr>
                      <w:rFonts w:hint="eastAsia" w:ascii="Times New Roman" w:hAnsi="Times New Roman" w:eastAsia="宋体" w:cs="Times New Roman"/>
                      <w:color w:val="auto"/>
                      <w:kern w:val="2"/>
                      <w:sz w:val="21"/>
                      <w:szCs w:val="21"/>
                      <w:highlight w:val="none"/>
                      <w:lang w:val="en-US" w:eastAsia="zh-CN" w:bidi="ar-SA"/>
                    </w:rPr>
                    <w:t>92m</w:t>
                  </w:r>
                  <w:r>
                    <w:rPr>
                      <w:rFonts w:hint="eastAsia"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的初期雨水收集池，将初期雨水</w:t>
                  </w:r>
                  <w:r>
                    <w:rPr>
                      <w:rFonts w:hint="eastAsia" w:ascii="Times New Roman" w:hAnsi="Times New Roman" w:eastAsia="宋体" w:cs="Times New Roman"/>
                      <w:color w:val="auto"/>
                      <w:kern w:val="2"/>
                      <w:sz w:val="21"/>
                      <w:szCs w:val="21"/>
                      <w:highlight w:val="none"/>
                      <w:lang w:val="en-US" w:eastAsia="zh-CN" w:bidi="ar-SA"/>
                    </w:rPr>
                    <w:t>经沉淀</w:t>
                  </w:r>
                  <w:r>
                    <w:rPr>
                      <w:rFonts w:hint="default" w:ascii="Times New Roman" w:hAnsi="Times New Roman" w:eastAsia="宋体" w:cs="Times New Roman"/>
                      <w:color w:val="auto"/>
                      <w:kern w:val="2"/>
                      <w:sz w:val="21"/>
                      <w:szCs w:val="21"/>
                      <w:highlight w:val="none"/>
                      <w:lang w:val="en-US" w:eastAsia="zh-CN" w:bidi="ar-SA"/>
                    </w:rPr>
                    <w:t>处理后回用于</w:t>
                  </w:r>
                  <w:r>
                    <w:rPr>
                      <w:rFonts w:hint="eastAsia" w:ascii="Times New Roman" w:hAnsi="Times New Roman" w:eastAsia="宋体" w:cs="Times New Roman"/>
                      <w:color w:val="auto"/>
                      <w:kern w:val="2"/>
                      <w:sz w:val="21"/>
                      <w:szCs w:val="21"/>
                      <w:highlight w:val="none"/>
                      <w:lang w:val="en-US" w:eastAsia="zh-CN" w:bidi="ar-SA"/>
                    </w:rPr>
                    <w:t>厂区洒水抑尘</w:t>
                  </w:r>
                  <w:r>
                    <w:rPr>
                      <w:rFonts w:hint="default" w:ascii="Times New Roman" w:hAnsi="Times New Roman" w:eastAsia="宋体" w:cs="Times New Roman"/>
                      <w:color w:val="auto"/>
                      <w:kern w:val="2"/>
                      <w:sz w:val="21"/>
                      <w:szCs w:val="21"/>
                      <w:highlight w:val="none"/>
                      <w:lang w:val="en-US" w:eastAsia="zh-CN" w:bidi="ar-SA"/>
                    </w:rPr>
                    <w:t>，不外排。</w:t>
                  </w:r>
                </w:p>
              </w:tc>
              <w:tc>
                <w:tcPr>
                  <w:tcW w:w="598" w:type="dxa"/>
                  <w:noWrap w:val="0"/>
                  <w:vAlign w:val="center"/>
                </w:tcPr>
                <w:p w14:paraId="477CA64E">
                  <w:pPr>
                    <w:pStyle w:val="83"/>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r>
                    <w:rPr>
                      <w:rFonts w:hint="eastAsia" w:eastAsia="宋体" w:cs="Times New Roman"/>
                      <w:b w:val="0"/>
                      <w:bCs/>
                      <w:color w:val="auto"/>
                      <w:sz w:val="21"/>
                      <w:szCs w:val="21"/>
                      <w:highlight w:val="none"/>
                      <w:lang w:val="en-US" w:eastAsia="zh-CN"/>
                    </w:rPr>
                    <w:t>个</w:t>
                  </w:r>
                </w:p>
              </w:tc>
              <w:tc>
                <w:tcPr>
                  <w:tcW w:w="676" w:type="dxa"/>
                  <w:noWrap w:val="0"/>
                  <w:vAlign w:val="center"/>
                </w:tcPr>
                <w:p w14:paraId="42819797">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12</w:t>
                  </w:r>
                </w:p>
              </w:tc>
              <w:tc>
                <w:tcPr>
                  <w:tcW w:w="706" w:type="dxa"/>
                  <w:noWrap w:val="0"/>
                  <w:vAlign w:val="center"/>
                </w:tcPr>
                <w:p w14:paraId="598A5A0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11DD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420" w:type="dxa"/>
                  <w:vMerge w:val="continue"/>
                  <w:noWrap w:val="0"/>
                  <w:vAlign w:val="center"/>
                </w:tcPr>
                <w:p w14:paraId="0DCF7F89">
                  <w:pPr>
                    <w:spacing w:line="240" w:lineRule="auto"/>
                    <w:ind w:firstLine="0" w:firstLineChars="0"/>
                    <w:jc w:val="center"/>
                    <w:rPr>
                      <w:color w:val="auto"/>
                      <w:highlight w:val="none"/>
                    </w:rPr>
                  </w:pPr>
                </w:p>
              </w:tc>
              <w:tc>
                <w:tcPr>
                  <w:tcW w:w="1655" w:type="dxa"/>
                  <w:gridSpan w:val="2"/>
                  <w:noWrap w:val="0"/>
                  <w:vAlign w:val="center"/>
                </w:tcPr>
                <w:p w14:paraId="1298A8AE">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rPr>
                    <w:t>化验后的</w:t>
                  </w:r>
                  <w:r>
                    <w:rPr>
                      <w:color w:val="auto"/>
                      <w:sz w:val="21"/>
                      <w:szCs w:val="21"/>
                      <w:highlight w:val="none"/>
                    </w:rPr>
                    <w:t>容器</w:t>
                  </w:r>
                  <w:r>
                    <w:rPr>
                      <w:rFonts w:hint="eastAsia"/>
                      <w:color w:val="auto"/>
                      <w:sz w:val="21"/>
                      <w:szCs w:val="21"/>
                      <w:highlight w:val="none"/>
                    </w:rPr>
                    <w:t>清洗废水</w:t>
                  </w:r>
                  <w:r>
                    <w:rPr>
                      <w:rFonts w:hint="eastAsia"/>
                      <w:color w:val="auto"/>
                      <w:sz w:val="21"/>
                      <w:szCs w:val="21"/>
                      <w:highlight w:val="none"/>
                      <w:lang w:eastAsia="zh-CN"/>
                    </w:rPr>
                    <w:t>处理设施</w:t>
                  </w:r>
                </w:p>
              </w:tc>
              <w:tc>
                <w:tcPr>
                  <w:tcW w:w="4114" w:type="dxa"/>
                  <w:noWrap w:val="0"/>
                  <w:vAlign w:val="center"/>
                </w:tcPr>
                <w:p w14:paraId="337B6ADD">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沉淀</w:t>
                  </w:r>
                  <w:r>
                    <w:rPr>
                      <w:rFonts w:hint="eastAsia"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rPr>
                    <w:t>中和</w:t>
                  </w:r>
                  <w:r>
                    <w:rPr>
                      <w:rFonts w:hint="eastAsia" w:ascii="Times New Roman" w:hAnsi="Times New Roman" w:eastAsia="宋体" w:cs="Times New Roman"/>
                      <w:color w:val="auto"/>
                      <w:sz w:val="21"/>
                      <w:szCs w:val="21"/>
                      <w:highlight w:val="none"/>
                    </w:rPr>
                    <w:t>等</w:t>
                  </w:r>
                  <w:r>
                    <w:rPr>
                      <w:rFonts w:hint="default" w:ascii="Times New Roman" w:hAnsi="Times New Roman" w:eastAsia="宋体" w:cs="Times New Roman"/>
                      <w:color w:val="auto"/>
                      <w:sz w:val="21"/>
                      <w:szCs w:val="21"/>
                      <w:highlight w:val="none"/>
                    </w:rPr>
                    <w:t>简易</w:t>
                  </w:r>
                  <w:r>
                    <w:rPr>
                      <w:rFonts w:hint="eastAsia" w:ascii="Times New Roman" w:hAnsi="Times New Roman" w:eastAsia="宋体" w:cs="Times New Roman"/>
                      <w:color w:val="auto"/>
                      <w:sz w:val="21"/>
                      <w:szCs w:val="21"/>
                      <w:highlight w:val="none"/>
                    </w:rPr>
                    <w:t>处理</w:t>
                  </w:r>
                  <w:r>
                    <w:rPr>
                      <w:rFonts w:hint="eastAsia" w:ascii="Times New Roman" w:hAnsi="Times New Roman" w:eastAsia="宋体" w:cs="Times New Roman"/>
                      <w:color w:val="auto"/>
                      <w:sz w:val="21"/>
                      <w:szCs w:val="21"/>
                      <w:highlight w:val="none"/>
                      <w:lang w:eastAsia="zh-CN"/>
                    </w:rPr>
                    <w:t>设施</w:t>
                  </w:r>
                </w:p>
              </w:tc>
              <w:tc>
                <w:tcPr>
                  <w:tcW w:w="598" w:type="dxa"/>
                  <w:noWrap w:val="0"/>
                  <w:vAlign w:val="center"/>
                </w:tcPr>
                <w:p w14:paraId="3FAFEB45">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1套</w:t>
                  </w:r>
                </w:p>
              </w:tc>
              <w:tc>
                <w:tcPr>
                  <w:tcW w:w="676" w:type="dxa"/>
                  <w:noWrap w:val="0"/>
                  <w:vAlign w:val="center"/>
                </w:tcPr>
                <w:p w14:paraId="41DC9912">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706" w:type="dxa"/>
                  <w:noWrap w:val="0"/>
                  <w:vAlign w:val="center"/>
                </w:tcPr>
                <w:p w14:paraId="13E1C7E4">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3A22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dxa"/>
                  <w:vMerge w:val="continue"/>
                  <w:noWrap w:val="0"/>
                  <w:vAlign w:val="center"/>
                </w:tcPr>
                <w:p w14:paraId="553DBE99">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55" w:type="dxa"/>
                  <w:gridSpan w:val="2"/>
                  <w:noWrap w:val="0"/>
                  <w:vAlign w:val="center"/>
                </w:tcPr>
                <w:p w14:paraId="70CEC6FF">
                  <w:pPr>
                    <w:pStyle w:val="24"/>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Style w:val="106"/>
                      <w:rFonts w:hint="default" w:ascii="Times New Roman" w:hAnsi="Times New Roman" w:eastAsia="宋体" w:cs="Times New Roman"/>
                      <w:color w:val="auto"/>
                      <w:sz w:val="21"/>
                      <w:szCs w:val="21"/>
                      <w:highlight w:val="none"/>
                    </w:rPr>
                    <w:t>冷却水循环系统</w:t>
                  </w:r>
                </w:p>
              </w:tc>
              <w:tc>
                <w:tcPr>
                  <w:tcW w:w="4114" w:type="dxa"/>
                  <w:noWrap w:val="0"/>
                  <w:vAlign w:val="center"/>
                </w:tcPr>
                <w:p w14:paraId="67EDE9C5">
                  <w:pPr>
                    <w:pStyle w:val="24"/>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1"/>
                      <w:szCs w:val="21"/>
                      <w:highlight w:val="none"/>
                      <w:lang w:val="en-US" w:eastAsia="zh-CN" w:bidi="ar-SA"/>
                    </w:rPr>
                    <w:t>设置</w:t>
                  </w:r>
                  <w:r>
                    <w:rPr>
                      <w:rFonts w:hint="eastAsia" w:ascii="Times New Roman" w:hAnsi="Times New Roman" w:eastAsia="宋体" w:cs="Times New Roman"/>
                      <w:bCs/>
                      <w:color w:val="auto"/>
                      <w:kern w:val="2"/>
                      <w:sz w:val="21"/>
                      <w:szCs w:val="21"/>
                      <w:highlight w:val="none"/>
                      <w:lang w:val="en-US" w:eastAsia="zh-CN" w:bidi="ar-SA"/>
                    </w:rPr>
                    <w:t>1</w:t>
                  </w:r>
                  <w:r>
                    <w:rPr>
                      <w:rFonts w:hint="default" w:ascii="Times New Roman" w:hAnsi="Times New Roman" w:eastAsia="宋体" w:cs="Times New Roman"/>
                      <w:bCs/>
                      <w:color w:val="auto"/>
                      <w:kern w:val="2"/>
                      <w:sz w:val="21"/>
                      <w:szCs w:val="21"/>
                      <w:highlight w:val="none"/>
                      <w:lang w:val="en-US" w:eastAsia="zh-CN" w:bidi="ar-SA"/>
                    </w:rPr>
                    <w:t>套循环水处理系统</w:t>
                  </w:r>
                  <w:r>
                    <w:rPr>
                      <w:rFonts w:hint="eastAsia" w:ascii="Times New Roman" w:hAnsi="Times New Roman" w:eastAsia="宋体" w:cs="Times New Roman"/>
                      <w:bCs/>
                      <w:color w:val="auto"/>
                      <w:kern w:val="2"/>
                      <w:sz w:val="21"/>
                      <w:szCs w:val="21"/>
                      <w:highlight w:val="none"/>
                      <w:lang w:val="en-US" w:eastAsia="zh-CN" w:bidi="ar-SA"/>
                    </w:rPr>
                    <w:t>，设备</w:t>
                  </w:r>
                  <w:r>
                    <w:rPr>
                      <w:rFonts w:hint="default" w:ascii="Times New Roman" w:hAnsi="Times New Roman" w:eastAsia="宋体" w:cs="Times New Roman"/>
                      <w:bCs/>
                      <w:color w:val="auto"/>
                      <w:kern w:val="2"/>
                      <w:sz w:val="21"/>
                      <w:szCs w:val="21"/>
                      <w:highlight w:val="none"/>
                      <w:lang w:val="en-US" w:eastAsia="zh-CN" w:bidi="ar-SA"/>
                    </w:rPr>
                    <w:t>冷却废水经循环冷却</w:t>
                  </w:r>
                  <w:r>
                    <w:rPr>
                      <w:rFonts w:hint="default" w:ascii="Times New Roman" w:hAnsi="Times New Roman" w:eastAsia="宋体" w:cs="Times New Roman"/>
                      <w:color w:val="auto"/>
                      <w:sz w:val="21"/>
                      <w:szCs w:val="21"/>
                      <w:highlight w:val="none"/>
                    </w:rPr>
                    <w:t>池冷却后循环使用不外排。</w:t>
                  </w:r>
                </w:p>
              </w:tc>
              <w:tc>
                <w:tcPr>
                  <w:tcW w:w="598" w:type="dxa"/>
                  <w:noWrap w:val="0"/>
                  <w:vAlign w:val="center"/>
                </w:tcPr>
                <w:p w14:paraId="27FA78FB">
                  <w:pPr>
                    <w:pStyle w:val="83"/>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1个</w:t>
                  </w:r>
                </w:p>
              </w:tc>
              <w:tc>
                <w:tcPr>
                  <w:tcW w:w="676" w:type="dxa"/>
                  <w:noWrap w:val="0"/>
                  <w:vAlign w:val="center"/>
                </w:tcPr>
                <w:p w14:paraId="31B3C72E">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80</w:t>
                  </w:r>
                </w:p>
              </w:tc>
              <w:tc>
                <w:tcPr>
                  <w:tcW w:w="706" w:type="dxa"/>
                  <w:noWrap w:val="0"/>
                  <w:vAlign w:val="center"/>
                </w:tcPr>
                <w:p w14:paraId="6C247418">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bCs/>
                      <w:color w:val="auto"/>
                      <w:kern w:val="2"/>
                      <w:sz w:val="21"/>
                      <w:szCs w:val="21"/>
                      <w:highlight w:val="none"/>
                      <w:lang w:val="en-US" w:eastAsia="zh-CN" w:bidi="ar-SA"/>
                    </w:rPr>
                    <w:t>/</w:t>
                  </w:r>
                </w:p>
              </w:tc>
            </w:tr>
            <w:tr w14:paraId="6E47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dxa"/>
                  <w:vMerge w:val="continue"/>
                  <w:noWrap w:val="0"/>
                  <w:vAlign w:val="center"/>
                </w:tcPr>
                <w:p w14:paraId="10D6F576">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55" w:type="dxa"/>
                  <w:gridSpan w:val="2"/>
                  <w:noWrap w:val="0"/>
                  <w:vAlign w:val="center"/>
                </w:tcPr>
                <w:p w14:paraId="1CF8B627">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化粪池</w:t>
                  </w:r>
                </w:p>
              </w:tc>
              <w:tc>
                <w:tcPr>
                  <w:tcW w:w="4114" w:type="dxa"/>
                  <w:noWrap w:val="0"/>
                  <w:vAlign w:val="center"/>
                </w:tcPr>
                <w:p w14:paraId="115C6D05">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w:t>
                  </w:r>
                </w:p>
              </w:tc>
              <w:tc>
                <w:tcPr>
                  <w:tcW w:w="598" w:type="dxa"/>
                  <w:noWrap w:val="0"/>
                  <w:vAlign w:val="center"/>
                </w:tcPr>
                <w:p w14:paraId="22BA83B3">
                  <w:pPr>
                    <w:pStyle w:val="83"/>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个</w:t>
                  </w:r>
                </w:p>
              </w:tc>
              <w:tc>
                <w:tcPr>
                  <w:tcW w:w="676" w:type="dxa"/>
                  <w:noWrap w:val="0"/>
                  <w:vAlign w:val="center"/>
                </w:tcPr>
                <w:p w14:paraId="7AB328B6">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4.0</w:t>
                  </w:r>
                </w:p>
              </w:tc>
              <w:tc>
                <w:tcPr>
                  <w:tcW w:w="706" w:type="dxa"/>
                  <w:noWrap w:val="0"/>
                  <w:vAlign w:val="center"/>
                </w:tcPr>
                <w:p w14:paraId="06F002E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w:t>
                  </w:r>
                </w:p>
              </w:tc>
            </w:tr>
            <w:tr w14:paraId="2B52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dxa"/>
                  <w:vMerge w:val="continue"/>
                  <w:noWrap w:val="0"/>
                  <w:vAlign w:val="center"/>
                </w:tcPr>
                <w:p w14:paraId="5C1475C6">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55" w:type="dxa"/>
                  <w:gridSpan w:val="2"/>
                  <w:noWrap w:val="0"/>
                  <w:vAlign w:val="center"/>
                </w:tcPr>
                <w:p w14:paraId="42D3F3E0">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一体化污水处理设施</w:t>
                  </w:r>
                </w:p>
              </w:tc>
              <w:tc>
                <w:tcPr>
                  <w:tcW w:w="4114" w:type="dxa"/>
                  <w:noWrap w:val="0"/>
                  <w:vAlign w:val="center"/>
                </w:tcPr>
                <w:p w14:paraId="3937CA0D">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1套处理规模为</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w:t>
                  </w:r>
                  <w:r>
                    <w:rPr>
                      <w:rFonts w:hint="default" w:ascii="Times New Roman" w:hAnsi="Times New Roman" w:eastAsia="宋体" w:cs="Times New Roman"/>
                      <w:color w:val="auto"/>
                      <w:sz w:val="21"/>
                      <w:szCs w:val="21"/>
                      <w:highlight w:val="none"/>
                      <w:lang w:val="en-US" w:eastAsia="zh-CN"/>
                    </w:rPr>
                    <w:t>地埋式一体化</w:t>
                  </w:r>
                  <w:r>
                    <w:rPr>
                      <w:rFonts w:hint="default" w:ascii="Times New Roman" w:hAnsi="Times New Roman" w:eastAsia="宋体" w:cs="Times New Roman"/>
                      <w:color w:val="auto"/>
                      <w:sz w:val="21"/>
                      <w:szCs w:val="21"/>
                      <w:highlight w:val="none"/>
                    </w:rPr>
                    <w:t>污水处理站。</w:t>
                  </w:r>
                </w:p>
              </w:tc>
              <w:tc>
                <w:tcPr>
                  <w:tcW w:w="598" w:type="dxa"/>
                  <w:noWrap w:val="0"/>
                  <w:vAlign w:val="center"/>
                </w:tcPr>
                <w:p w14:paraId="4AE50442">
                  <w:pPr>
                    <w:pStyle w:val="83"/>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676" w:type="dxa"/>
                  <w:noWrap w:val="0"/>
                  <w:vAlign w:val="center"/>
                </w:tcPr>
                <w:p w14:paraId="037E9394">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18.0</w:t>
                  </w:r>
                </w:p>
              </w:tc>
              <w:tc>
                <w:tcPr>
                  <w:tcW w:w="706" w:type="dxa"/>
                  <w:noWrap w:val="0"/>
                  <w:vAlign w:val="center"/>
                </w:tcPr>
                <w:p w14:paraId="5DFEB140">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3789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dxa"/>
                  <w:vMerge w:val="continue"/>
                  <w:noWrap w:val="0"/>
                  <w:vAlign w:val="center"/>
                </w:tcPr>
                <w:p w14:paraId="1F5E9E04">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55" w:type="dxa"/>
                  <w:gridSpan w:val="2"/>
                  <w:noWrap w:val="0"/>
                  <w:vAlign w:val="center"/>
                </w:tcPr>
                <w:p w14:paraId="2F8E7A24">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蓄水池</w:t>
                  </w:r>
                </w:p>
              </w:tc>
              <w:tc>
                <w:tcPr>
                  <w:tcW w:w="4114" w:type="dxa"/>
                  <w:noWrap w:val="0"/>
                  <w:vAlign w:val="center"/>
                </w:tcPr>
                <w:p w14:paraId="3391369D">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eastAsia"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的蓄水池。</w:t>
                  </w:r>
                </w:p>
              </w:tc>
              <w:tc>
                <w:tcPr>
                  <w:tcW w:w="598" w:type="dxa"/>
                  <w:noWrap w:val="0"/>
                  <w:vAlign w:val="center"/>
                </w:tcPr>
                <w:p w14:paraId="3811B96C">
                  <w:pPr>
                    <w:pStyle w:val="83"/>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1个</w:t>
                  </w:r>
                </w:p>
              </w:tc>
              <w:tc>
                <w:tcPr>
                  <w:tcW w:w="676" w:type="dxa"/>
                  <w:noWrap w:val="0"/>
                  <w:vAlign w:val="center"/>
                </w:tcPr>
                <w:p w14:paraId="0A65E0CD">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7.0</w:t>
                  </w:r>
                </w:p>
              </w:tc>
              <w:tc>
                <w:tcPr>
                  <w:tcW w:w="706" w:type="dxa"/>
                  <w:noWrap w:val="0"/>
                  <w:vAlign w:val="center"/>
                </w:tcPr>
                <w:p w14:paraId="5C20CD7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FBE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dxa"/>
                  <w:vMerge w:val="continue"/>
                  <w:noWrap w:val="0"/>
                  <w:vAlign w:val="center"/>
                </w:tcPr>
                <w:p w14:paraId="48277D9B">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55" w:type="dxa"/>
                  <w:gridSpan w:val="2"/>
                  <w:noWrap w:val="0"/>
                  <w:vAlign w:val="center"/>
                </w:tcPr>
                <w:p w14:paraId="72B7A393">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清水应急</w:t>
                  </w:r>
                  <w:r>
                    <w:rPr>
                      <w:rFonts w:hint="eastAsia" w:ascii="Times New Roman" w:hAnsi="Times New Roman" w:eastAsia="宋体" w:cs="Times New Roman"/>
                      <w:color w:val="auto"/>
                      <w:sz w:val="21"/>
                      <w:szCs w:val="21"/>
                      <w:highlight w:val="none"/>
                      <w:lang w:val="en-US" w:eastAsia="zh-CN"/>
                    </w:rPr>
                    <w:t>储罐</w:t>
                  </w:r>
                </w:p>
              </w:tc>
              <w:tc>
                <w:tcPr>
                  <w:tcW w:w="4114" w:type="dxa"/>
                  <w:noWrap w:val="0"/>
                  <w:vAlign w:val="center"/>
                </w:tcPr>
                <w:p w14:paraId="288517CD">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vertAlign w:val="baseline"/>
                      <w:lang w:val="en-US" w:eastAsia="zh-CN"/>
                    </w:rPr>
                    <w:t>氨水储罐区域配套一个清水应急罐（容积为20</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p>
              </w:tc>
              <w:tc>
                <w:tcPr>
                  <w:tcW w:w="598" w:type="dxa"/>
                  <w:noWrap w:val="0"/>
                  <w:vAlign w:val="center"/>
                </w:tcPr>
                <w:p w14:paraId="26BCA3EC">
                  <w:pPr>
                    <w:pStyle w:val="83"/>
                    <w:adjustRightInd/>
                    <w:spacing w:before="0" w:after="0" w:line="240" w:lineRule="auto"/>
                    <w:jc w:val="center"/>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1个</w:t>
                  </w:r>
                </w:p>
              </w:tc>
              <w:tc>
                <w:tcPr>
                  <w:tcW w:w="676" w:type="dxa"/>
                  <w:noWrap w:val="0"/>
                  <w:vAlign w:val="center"/>
                </w:tcPr>
                <w:p w14:paraId="612C6B16">
                  <w:pPr>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10</w:t>
                  </w:r>
                </w:p>
              </w:tc>
              <w:tc>
                <w:tcPr>
                  <w:tcW w:w="706" w:type="dxa"/>
                  <w:noWrap w:val="0"/>
                  <w:vAlign w:val="center"/>
                </w:tcPr>
                <w:p w14:paraId="3F58689A">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17B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dxa"/>
                  <w:vMerge w:val="continue"/>
                  <w:noWrap w:val="0"/>
                  <w:vAlign w:val="center"/>
                </w:tcPr>
                <w:p w14:paraId="0EB44997">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55" w:type="dxa"/>
                  <w:gridSpan w:val="2"/>
                  <w:noWrap w:val="0"/>
                  <w:vAlign w:val="center"/>
                </w:tcPr>
                <w:p w14:paraId="41CBF2A3">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事故应急池</w:t>
                  </w:r>
                </w:p>
              </w:tc>
              <w:tc>
                <w:tcPr>
                  <w:tcW w:w="4114" w:type="dxa"/>
                  <w:noWrap w:val="0"/>
                  <w:vAlign w:val="center"/>
                </w:tcPr>
                <w:p w14:paraId="4263DDCD">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的事故应急池。</w:t>
                  </w:r>
                  <w:r>
                    <w:rPr>
                      <w:rFonts w:hint="eastAsia" w:cs="Times New Roman"/>
                      <w:color w:val="auto"/>
                      <w:sz w:val="21"/>
                      <w:szCs w:val="21"/>
                      <w:highlight w:val="none"/>
                      <w:lang w:val="en-US" w:eastAsia="zh-CN"/>
                    </w:rPr>
                    <w:t>氨水储罐区域设置一个容积不小于98m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的事故池，用于暂存氨水储罐区域的事故废水。</w:t>
                  </w:r>
                </w:p>
              </w:tc>
              <w:tc>
                <w:tcPr>
                  <w:tcW w:w="598" w:type="dxa"/>
                  <w:noWrap w:val="0"/>
                  <w:vAlign w:val="center"/>
                </w:tcPr>
                <w:p w14:paraId="406C6E5C">
                  <w:pPr>
                    <w:pStyle w:val="83"/>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lang w:val="en-US" w:eastAsia="zh-CN"/>
                    </w:rPr>
                    <w:t>个</w:t>
                  </w:r>
                </w:p>
              </w:tc>
              <w:tc>
                <w:tcPr>
                  <w:tcW w:w="676" w:type="dxa"/>
                  <w:noWrap w:val="0"/>
                  <w:vAlign w:val="center"/>
                </w:tcPr>
                <w:p w14:paraId="5577F49C">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12.0</w:t>
                  </w:r>
                </w:p>
              </w:tc>
              <w:tc>
                <w:tcPr>
                  <w:tcW w:w="706" w:type="dxa"/>
                  <w:noWrap w:val="0"/>
                  <w:vAlign w:val="center"/>
                </w:tcPr>
                <w:p w14:paraId="3054061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7E81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dxa"/>
                  <w:noWrap w:val="0"/>
                  <w:vAlign w:val="center"/>
                </w:tcPr>
                <w:p w14:paraId="79F36C9C">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655" w:type="dxa"/>
                  <w:gridSpan w:val="2"/>
                  <w:noWrap w:val="0"/>
                  <w:vAlign w:val="center"/>
                </w:tcPr>
                <w:p w14:paraId="3B6B9629">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生产设备噪声</w:t>
                  </w:r>
                </w:p>
              </w:tc>
              <w:tc>
                <w:tcPr>
                  <w:tcW w:w="4114" w:type="dxa"/>
                  <w:noWrap w:val="0"/>
                  <w:vAlign w:val="center"/>
                </w:tcPr>
                <w:p w14:paraId="1F76BED6">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采取</w:t>
                  </w:r>
                  <w:r>
                    <w:rPr>
                      <w:rFonts w:hint="default" w:ascii="Times New Roman" w:hAnsi="Times New Roman" w:eastAsia="宋体" w:cs="Times New Roman"/>
                      <w:color w:val="auto"/>
                      <w:kern w:val="0"/>
                      <w:sz w:val="21"/>
                      <w:szCs w:val="21"/>
                      <w:highlight w:val="none"/>
                      <w:lang w:eastAsia="zh-CN"/>
                    </w:rPr>
                    <w:t>基础减振、建筑隔声</w:t>
                  </w:r>
                  <w:r>
                    <w:rPr>
                      <w:rFonts w:hint="default" w:ascii="Times New Roman" w:hAnsi="Times New Roman" w:eastAsia="宋体" w:cs="Times New Roman"/>
                      <w:color w:val="auto"/>
                      <w:sz w:val="21"/>
                      <w:szCs w:val="21"/>
                      <w:highlight w:val="none"/>
                    </w:rPr>
                    <w:t>，高噪声设备安装消声、减振装置。</w:t>
                  </w:r>
                </w:p>
              </w:tc>
              <w:tc>
                <w:tcPr>
                  <w:tcW w:w="598" w:type="dxa"/>
                  <w:noWrap w:val="0"/>
                  <w:vAlign w:val="center"/>
                </w:tcPr>
                <w:p w14:paraId="7017BE17">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676" w:type="dxa"/>
                  <w:noWrap w:val="0"/>
                  <w:vAlign w:val="center"/>
                </w:tcPr>
                <w:p w14:paraId="10BA7B63">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20.0</w:t>
                  </w:r>
                </w:p>
              </w:tc>
              <w:tc>
                <w:tcPr>
                  <w:tcW w:w="706" w:type="dxa"/>
                  <w:noWrap w:val="0"/>
                  <w:vAlign w:val="center"/>
                </w:tcPr>
                <w:p w14:paraId="6E54C1E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vertAlign w:val="baseline"/>
                      <w:lang w:val="en-US" w:eastAsia="zh-CN" w:bidi="ar-SA"/>
                    </w:rPr>
                    <w:t>/</w:t>
                  </w:r>
                </w:p>
              </w:tc>
            </w:tr>
            <w:tr w14:paraId="16CF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dxa"/>
                  <w:vMerge w:val="restart"/>
                  <w:noWrap w:val="0"/>
                  <w:vAlign w:val="center"/>
                </w:tcPr>
                <w:p w14:paraId="3A9A2C3D">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固废治理</w:t>
                  </w:r>
                </w:p>
              </w:tc>
              <w:tc>
                <w:tcPr>
                  <w:tcW w:w="1655" w:type="dxa"/>
                  <w:gridSpan w:val="2"/>
                  <w:noWrap w:val="0"/>
                  <w:vAlign w:val="center"/>
                </w:tcPr>
                <w:p w14:paraId="6E2F0A70">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4114" w:type="dxa"/>
                  <w:noWrap w:val="0"/>
                  <w:vAlign w:val="center"/>
                </w:tcPr>
                <w:p w14:paraId="4394D9E3">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带盖式生活垃圾收集桶。</w:t>
                  </w:r>
                </w:p>
              </w:tc>
              <w:tc>
                <w:tcPr>
                  <w:tcW w:w="598" w:type="dxa"/>
                  <w:noWrap w:val="0"/>
                  <w:vAlign w:val="center"/>
                </w:tcPr>
                <w:p w14:paraId="4E3289AA">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数个</w:t>
                  </w:r>
                </w:p>
              </w:tc>
              <w:tc>
                <w:tcPr>
                  <w:tcW w:w="676" w:type="dxa"/>
                  <w:noWrap w:val="0"/>
                  <w:vAlign w:val="center"/>
                </w:tcPr>
                <w:p w14:paraId="7CB6C5C0">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w:t>
                  </w:r>
                </w:p>
              </w:tc>
              <w:tc>
                <w:tcPr>
                  <w:tcW w:w="706" w:type="dxa"/>
                  <w:noWrap w:val="0"/>
                  <w:vAlign w:val="center"/>
                </w:tcPr>
                <w:p w14:paraId="224638AD">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w:t>
                  </w:r>
                </w:p>
              </w:tc>
            </w:tr>
            <w:tr w14:paraId="4C53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dxa"/>
                  <w:vMerge w:val="continue"/>
                  <w:noWrap w:val="0"/>
                  <w:vAlign w:val="center"/>
                </w:tcPr>
                <w:p w14:paraId="3F08FF5F">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55" w:type="dxa"/>
                  <w:gridSpan w:val="2"/>
                  <w:noWrap w:val="0"/>
                  <w:vAlign w:val="center"/>
                </w:tcPr>
                <w:p w14:paraId="27AFFCF1">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一般固废暂存区</w:t>
                  </w:r>
                </w:p>
              </w:tc>
              <w:tc>
                <w:tcPr>
                  <w:tcW w:w="4114" w:type="dxa"/>
                  <w:noWrap w:val="0"/>
                  <w:vAlign w:val="center"/>
                </w:tcPr>
                <w:p w14:paraId="09FDA278">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面积为</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的一般固体废物暂存区，收集、暂存设施、清运处置</w:t>
                  </w:r>
                  <w:r>
                    <w:rPr>
                      <w:rFonts w:hint="default" w:ascii="Times New Roman" w:hAnsi="Times New Roman" w:eastAsia="宋体" w:cs="Times New Roman"/>
                      <w:color w:val="auto"/>
                      <w:sz w:val="21"/>
                      <w:szCs w:val="21"/>
                      <w:highlight w:val="none"/>
                      <w:lang w:eastAsia="zh-CN"/>
                    </w:rPr>
                    <w:t>。</w:t>
                  </w:r>
                </w:p>
              </w:tc>
              <w:tc>
                <w:tcPr>
                  <w:tcW w:w="598" w:type="dxa"/>
                  <w:noWrap w:val="0"/>
                  <w:vAlign w:val="center"/>
                </w:tcPr>
                <w:p w14:paraId="2A3903A2">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0m</w:t>
                  </w:r>
                  <w:r>
                    <w:rPr>
                      <w:rFonts w:hint="default" w:ascii="Times New Roman" w:hAnsi="Times New Roman" w:eastAsia="宋体" w:cs="Times New Roman"/>
                      <w:bCs/>
                      <w:color w:val="auto"/>
                      <w:sz w:val="21"/>
                      <w:szCs w:val="21"/>
                      <w:highlight w:val="none"/>
                      <w:vertAlign w:val="superscript"/>
                    </w:rPr>
                    <w:t>2</w:t>
                  </w:r>
                </w:p>
              </w:tc>
              <w:tc>
                <w:tcPr>
                  <w:tcW w:w="676" w:type="dxa"/>
                  <w:noWrap w:val="0"/>
                  <w:vAlign w:val="center"/>
                </w:tcPr>
                <w:p w14:paraId="0E984705">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10.0</w:t>
                  </w:r>
                </w:p>
              </w:tc>
              <w:tc>
                <w:tcPr>
                  <w:tcW w:w="706" w:type="dxa"/>
                  <w:noWrap w:val="0"/>
                  <w:vAlign w:val="center"/>
                </w:tcPr>
                <w:p w14:paraId="31097298">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256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dxa"/>
                  <w:vMerge w:val="continue"/>
                  <w:noWrap w:val="0"/>
                  <w:vAlign w:val="center"/>
                </w:tcPr>
                <w:p w14:paraId="2DBE1572">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55" w:type="dxa"/>
                  <w:gridSpan w:val="2"/>
                  <w:noWrap w:val="0"/>
                  <w:vAlign w:val="center"/>
                </w:tcPr>
                <w:p w14:paraId="622B67E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废机油、</w:t>
                  </w:r>
                  <w:r>
                    <w:rPr>
                      <w:rFonts w:hint="default" w:ascii="Times New Roman" w:hAnsi="Times New Roman" w:eastAsia="宋体" w:cs="Times New Roman"/>
                      <w:color w:val="auto"/>
                      <w:sz w:val="21"/>
                      <w:szCs w:val="21"/>
                      <w:highlight w:val="none"/>
                      <w:lang w:val="en-US" w:eastAsia="zh-CN"/>
                    </w:rPr>
                    <w:t>机修废物、</w:t>
                  </w:r>
                  <w:r>
                    <w:rPr>
                      <w:rFonts w:hint="eastAsia" w:cs="Times New Roman"/>
                      <w:color w:val="auto"/>
                      <w:sz w:val="21"/>
                      <w:szCs w:val="21"/>
                      <w:highlight w:val="none"/>
                      <w:lang w:val="en-US" w:eastAsia="zh-CN"/>
                    </w:rPr>
                    <w:t>废液压油、废试剂瓶、废液</w:t>
                  </w:r>
                </w:p>
              </w:tc>
              <w:tc>
                <w:tcPr>
                  <w:tcW w:w="4114" w:type="dxa"/>
                  <w:noWrap w:val="0"/>
                  <w:vAlign w:val="center"/>
                </w:tcPr>
                <w:p w14:paraId="1678C7DB">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项目区内</w:t>
                  </w:r>
                  <w:r>
                    <w:rPr>
                      <w:rFonts w:hint="default" w:ascii="Times New Roman" w:hAnsi="Times New Roman" w:eastAsia="宋体" w:cs="Times New Roman"/>
                      <w:color w:val="auto"/>
                      <w:sz w:val="21"/>
                      <w:szCs w:val="21"/>
                      <w:highlight w:val="none"/>
                      <w:lang w:val="en-US" w:eastAsia="zh-CN"/>
                    </w:rPr>
                    <w:t>拟</w:t>
                  </w:r>
                  <w:r>
                    <w:rPr>
                      <w:rFonts w:hint="default" w:ascii="Times New Roman" w:hAnsi="Times New Roman" w:eastAsia="宋体" w:cs="Times New Roman"/>
                      <w:color w:val="auto"/>
                      <w:sz w:val="21"/>
                      <w:szCs w:val="21"/>
                      <w:highlight w:val="none"/>
                    </w:rPr>
                    <w:t>设置1间</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的危废暂存间，内设</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个危废收集容器，渗透系数≤1×10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cm/s，危险废物分区暂存，并设危废暂存间标识牌和转移台账，委托资质单位清运、处置。</w:t>
                  </w:r>
                </w:p>
              </w:tc>
              <w:tc>
                <w:tcPr>
                  <w:tcW w:w="598" w:type="dxa"/>
                  <w:noWrap w:val="0"/>
                  <w:vAlign w:val="center"/>
                </w:tcPr>
                <w:p w14:paraId="4D51D4B3">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10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p>
              </w:tc>
              <w:tc>
                <w:tcPr>
                  <w:tcW w:w="676" w:type="dxa"/>
                  <w:noWrap w:val="0"/>
                  <w:vAlign w:val="center"/>
                </w:tcPr>
                <w:p w14:paraId="6F02CAC5">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10.0</w:t>
                  </w:r>
                </w:p>
              </w:tc>
              <w:tc>
                <w:tcPr>
                  <w:tcW w:w="706" w:type="dxa"/>
                  <w:noWrap w:val="0"/>
                  <w:vAlign w:val="center"/>
                </w:tcPr>
                <w:p w14:paraId="30E3E7C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B5F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dxa"/>
                  <w:noWrap w:val="0"/>
                  <w:vAlign w:val="center"/>
                </w:tcPr>
                <w:p w14:paraId="09D83856">
                  <w:pPr>
                    <w:pStyle w:val="6"/>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风险治理</w:t>
                  </w:r>
                </w:p>
              </w:tc>
              <w:tc>
                <w:tcPr>
                  <w:tcW w:w="1655" w:type="dxa"/>
                  <w:gridSpan w:val="2"/>
                  <w:noWrap w:val="0"/>
                  <w:vAlign w:val="center"/>
                </w:tcPr>
                <w:p w14:paraId="374EEFCF">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氨水储罐</w:t>
                  </w:r>
                </w:p>
              </w:tc>
              <w:tc>
                <w:tcPr>
                  <w:tcW w:w="4114" w:type="dxa"/>
                  <w:noWrap w:val="0"/>
                  <w:vAlign w:val="center"/>
                </w:tcPr>
                <w:p w14:paraId="38E7C916">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项目区拟设置一个容积为</w:t>
                  </w:r>
                  <w:r>
                    <w:rPr>
                      <w:rFonts w:hint="eastAsia" w:cs="Times New Roman"/>
                      <w:color w:val="auto"/>
                      <w:sz w:val="21"/>
                      <w:szCs w:val="21"/>
                      <w:highlight w:val="none"/>
                      <w:lang w:val="en-US" w:eastAsia="zh-CN"/>
                    </w:rPr>
                    <w:t>30m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的氨水储罐，氨水储罐区域需进行重点防渗，</w:t>
                  </w:r>
                  <w:r>
                    <w:rPr>
                      <w:rFonts w:hint="default" w:ascii="Times New Roman" w:hAnsi="Times New Roman" w:eastAsia="宋体" w:cs="Times New Roman"/>
                      <w:color w:val="auto"/>
                      <w:sz w:val="21"/>
                      <w:szCs w:val="21"/>
                      <w:highlight w:val="none"/>
                      <w:lang w:val="zh-CN"/>
                    </w:rPr>
                    <w:t>按照</w:t>
                  </w:r>
                  <w:r>
                    <w:rPr>
                      <w:rFonts w:hint="eastAsia" w:cs="Times New Roman"/>
                      <w:color w:val="auto"/>
                      <w:sz w:val="21"/>
                      <w:szCs w:val="21"/>
                      <w:highlight w:val="none"/>
                      <w:lang w:val="zh-CN"/>
                    </w:rPr>
                    <w:t>等</w:t>
                  </w:r>
                  <w:r>
                    <w:rPr>
                      <w:rFonts w:hint="default" w:ascii="Times New Roman" w:hAnsi="Times New Roman" w:eastAsia="宋体" w:cs="Times New Roman"/>
                      <w:color w:val="auto"/>
                      <w:kern w:val="2"/>
                      <w:sz w:val="21"/>
                      <w:szCs w:val="21"/>
                      <w:highlight w:val="none"/>
                    </w:rPr>
                    <w:t>效黏土防渗层厚度Mb≥6m，渗透系数K≤1.0×10</w:t>
                  </w:r>
                  <w:r>
                    <w:rPr>
                      <w:rFonts w:hint="default" w:ascii="Times New Roman" w:hAnsi="Times New Roman" w:eastAsia="宋体" w:cs="Times New Roman"/>
                      <w:color w:val="auto"/>
                      <w:kern w:val="2"/>
                      <w:sz w:val="21"/>
                      <w:szCs w:val="21"/>
                      <w:highlight w:val="none"/>
                      <w:vertAlign w:val="superscript"/>
                    </w:rPr>
                    <w:t>-</w:t>
                  </w:r>
                  <w:r>
                    <w:rPr>
                      <w:rFonts w:hint="eastAsia" w:ascii="Times New Roman" w:hAnsi="Times New Roman" w:eastAsia="宋体" w:cs="Times New Roman"/>
                      <w:color w:val="auto"/>
                      <w:kern w:val="2"/>
                      <w:sz w:val="21"/>
                      <w:szCs w:val="21"/>
                      <w:highlight w:val="none"/>
                      <w:vertAlign w:val="superscript"/>
                      <w:lang w:val="en-US" w:eastAsia="zh-CN"/>
                    </w:rPr>
                    <w:t>7</w:t>
                  </w:r>
                  <w:r>
                    <w:rPr>
                      <w:rFonts w:hint="default" w:ascii="Times New Roman" w:hAnsi="Times New Roman" w:eastAsia="宋体" w:cs="Times New Roman"/>
                      <w:color w:val="auto"/>
                      <w:kern w:val="2"/>
                      <w:sz w:val="21"/>
                      <w:szCs w:val="21"/>
                      <w:highlight w:val="none"/>
                    </w:rPr>
                    <w:t>cm/s</w:t>
                  </w:r>
                  <w:r>
                    <w:rPr>
                      <w:rFonts w:hint="default" w:ascii="Times New Roman" w:hAnsi="Times New Roman" w:eastAsia="宋体" w:cs="Times New Roman"/>
                      <w:color w:val="auto"/>
                      <w:sz w:val="21"/>
                      <w:szCs w:val="21"/>
                      <w:highlight w:val="none"/>
                    </w:rPr>
                    <w:t>进行重点防渗</w:t>
                  </w:r>
                  <w:r>
                    <w:rPr>
                      <w:rFonts w:hint="eastAsia" w:ascii="Times New Roman" w:hAnsi="Times New Roman" w:eastAsia="宋体" w:cs="Times New Roman"/>
                      <w:color w:val="auto"/>
                      <w:sz w:val="21"/>
                      <w:szCs w:val="21"/>
                      <w:highlight w:val="none"/>
                      <w:lang w:eastAsia="zh-CN"/>
                    </w:rPr>
                    <w:t>，还需设置围堰。</w:t>
                  </w:r>
                </w:p>
              </w:tc>
              <w:tc>
                <w:tcPr>
                  <w:tcW w:w="598" w:type="dxa"/>
                  <w:noWrap w:val="0"/>
                  <w:vAlign w:val="center"/>
                </w:tcPr>
                <w:p w14:paraId="66041DCD">
                  <w:pPr>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676" w:type="dxa"/>
                  <w:noWrap w:val="0"/>
                  <w:vAlign w:val="center"/>
                </w:tcPr>
                <w:p w14:paraId="18871293">
                  <w:pPr>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10.0</w:t>
                  </w:r>
                </w:p>
              </w:tc>
              <w:tc>
                <w:tcPr>
                  <w:tcW w:w="706" w:type="dxa"/>
                  <w:noWrap w:val="0"/>
                  <w:vAlign w:val="center"/>
                </w:tcPr>
                <w:p w14:paraId="4A9CAF6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3549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89" w:type="dxa"/>
                  <w:gridSpan w:val="4"/>
                  <w:noWrap w:val="0"/>
                  <w:vAlign w:val="center"/>
                </w:tcPr>
                <w:p w14:paraId="41CF6029">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598" w:type="dxa"/>
                  <w:noWrap w:val="0"/>
                  <w:vAlign w:val="center"/>
                </w:tcPr>
                <w:p w14:paraId="54904BAB">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676" w:type="dxa"/>
                  <w:noWrap w:val="0"/>
                  <w:vAlign w:val="center"/>
                </w:tcPr>
                <w:p w14:paraId="08D2177F">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2981</w:t>
                  </w:r>
                </w:p>
              </w:tc>
              <w:tc>
                <w:tcPr>
                  <w:tcW w:w="706" w:type="dxa"/>
                  <w:noWrap w:val="0"/>
                  <w:vAlign w:val="center"/>
                </w:tcPr>
                <w:p w14:paraId="3AFEA84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04F56C8E">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9、水平衡</w:t>
            </w:r>
          </w:p>
          <w:p w14:paraId="6CE03DF0">
            <w:pPr>
              <w:pStyle w:val="11"/>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2" w:firstLineChars="200"/>
              <w:textAlignment w:val="auto"/>
              <w:rPr>
                <w:rFonts w:hint="default" w:ascii="Times New Roman" w:hAnsi="Times New Roman" w:eastAsia="宋体" w:cs="Times New Roman"/>
                <w:b/>
                <w:bCs/>
                <w:caps w:val="0"/>
                <w:snapToGrid w:val="0"/>
                <w:color w:val="auto"/>
                <w:spacing w:val="0"/>
                <w:w w:val="100"/>
                <w:position w:val="0"/>
                <w:sz w:val="24"/>
                <w:szCs w:val="24"/>
                <w:highlight w:val="none"/>
              </w:rPr>
            </w:pPr>
            <w:r>
              <w:rPr>
                <w:rFonts w:hint="default" w:ascii="Times New Roman" w:hAnsi="Times New Roman" w:eastAsia="宋体" w:cs="Times New Roman"/>
                <w:b/>
                <w:bCs/>
                <w:caps w:val="0"/>
                <w:snapToGrid w:val="0"/>
                <w:color w:val="auto"/>
                <w:spacing w:val="0"/>
                <w:w w:val="100"/>
                <w:position w:val="0"/>
                <w:sz w:val="24"/>
                <w:szCs w:val="24"/>
                <w:highlight w:val="none"/>
              </w:rPr>
              <w:t>（</w:t>
            </w:r>
            <w:r>
              <w:rPr>
                <w:rFonts w:hint="default" w:ascii="Times New Roman" w:hAnsi="Times New Roman" w:eastAsia="宋体" w:cs="Times New Roman"/>
                <w:b/>
                <w:bCs/>
                <w:caps w:val="0"/>
                <w:snapToGrid w:val="0"/>
                <w:color w:val="auto"/>
                <w:spacing w:val="0"/>
                <w:w w:val="100"/>
                <w:position w:val="0"/>
                <w:sz w:val="24"/>
                <w:szCs w:val="24"/>
                <w:highlight w:val="none"/>
                <w:lang w:val="en-US" w:eastAsia="zh-CN"/>
              </w:rPr>
              <w:t>1</w:t>
            </w:r>
            <w:r>
              <w:rPr>
                <w:rFonts w:hint="default" w:ascii="Times New Roman" w:hAnsi="Times New Roman" w:eastAsia="宋体" w:cs="Times New Roman"/>
                <w:b/>
                <w:bCs/>
                <w:caps w:val="0"/>
                <w:snapToGrid w:val="0"/>
                <w:color w:val="auto"/>
                <w:spacing w:val="0"/>
                <w:w w:val="100"/>
                <w:position w:val="0"/>
                <w:sz w:val="24"/>
                <w:szCs w:val="24"/>
                <w:highlight w:val="none"/>
              </w:rPr>
              <w:t>）产排污参数计算</w:t>
            </w:r>
          </w:p>
          <w:p w14:paraId="14D2F31B">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本项目用水主要包括设备</w:t>
            </w:r>
            <w:r>
              <w:rPr>
                <w:rFonts w:hint="eastAsia" w:cs="Times New Roman"/>
                <w:snapToGrid w:val="0"/>
                <w:color w:val="auto"/>
                <w:sz w:val="24"/>
                <w:highlight w:val="none"/>
                <w:lang w:eastAsia="zh-CN"/>
              </w:rPr>
              <w:t>冷却</w:t>
            </w:r>
            <w:r>
              <w:rPr>
                <w:rFonts w:hint="default" w:ascii="Times New Roman" w:hAnsi="Times New Roman" w:eastAsia="宋体" w:cs="Times New Roman"/>
                <w:snapToGrid w:val="0"/>
                <w:color w:val="auto"/>
                <w:sz w:val="24"/>
                <w:highlight w:val="none"/>
              </w:rPr>
              <w:t>用水</w:t>
            </w:r>
            <w:r>
              <w:rPr>
                <w:rFonts w:hint="eastAsia" w:cs="Times New Roman"/>
                <w:snapToGrid w:val="0"/>
                <w:color w:val="auto"/>
                <w:sz w:val="24"/>
                <w:highlight w:val="none"/>
                <w:lang w:eastAsia="zh-CN"/>
              </w:rPr>
              <w:t>、</w:t>
            </w:r>
            <w:r>
              <w:rPr>
                <w:rFonts w:hint="default" w:cs="Times New Roman"/>
                <w:snapToGrid w:val="0"/>
                <w:color w:val="auto"/>
                <w:sz w:val="24"/>
                <w:highlight w:val="none"/>
                <w:lang w:val="en-US" w:eastAsia="zh-CN"/>
              </w:rPr>
              <w:t>绿化、道路场地洒水</w:t>
            </w:r>
            <w:r>
              <w:rPr>
                <w:rFonts w:hint="eastAsia" w:cs="Times New Roman"/>
                <w:snapToGrid w:val="0"/>
                <w:color w:val="auto"/>
                <w:sz w:val="24"/>
                <w:highlight w:val="none"/>
                <w:lang w:val="en-US" w:eastAsia="zh-CN"/>
              </w:rPr>
              <w:t>降尘用水</w:t>
            </w:r>
            <w:r>
              <w:rPr>
                <w:rFonts w:hint="eastAsia" w:cs="Times New Roman"/>
                <w:snapToGrid w:val="0"/>
                <w:color w:val="auto"/>
                <w:sz w:val="24"/>
                <w:highlight w:val="none"/>
                <w:lang w:eastAsia="zh-CN"/>
              </w:rPr>
              <w:t>、化验用水、氨气清水罐用水</w:t>
            </w:r>
            <w:r>
              <w:rPr>
                <w:rFonts w:hint="default" w:ascii="Times New Roman" w:hAnsi="Times New Roman" w:eastAsia="宋体" w:cs="Times New Roman"/>
                <w:snapToGrid w:val="0"/>
                <w:color w:val="auto"/>
                <w:sz w:val="24"/>
                <w:highlight w:val="none"/>
              </w:rPr>
              <w:t>及办公生活用水，废水主要为设备</w:t>
            </w:r>
            <w:r>
              <w:rPr>
                <w:rFonts w:hint="eastAsia" w:cs="Times New Roman"/>
                <w:snapToGrid w:val="0"/>
                <w:color w:val="auto"/>
                <w:sz w:val="24"/>
                <w:highlight w:val="none"/>
                <w:lang w:eastAsia="zh-CN"/>
              </w:rPr>
              <w:t>冷却</w:t>
            </w:r>
            <w:r>
              <w:rPr>
                <w:rFonts w:hint="default" w:ascii="Times New Roman" w:hAnsi="Times New Roman" w:eastAsia="宋体" w:cs="Times New Roman"/>
                <w:snapToGrid w:val="0"/>
                <w:color w:val="auto"/>
                <w:sz w:val="24"/>
                <w:highlight w:val="none"/>
              </w:rPr>
              <w:t>废水</w:t>
            </w:r>
            <w:r>
              <w:rPr>
                <w:rFonts w:hint="eastAsia" w:ascii="Times New Roman" w:hAnsi="Times New Roman" w:eastAsia="宋体" w:cs="Times New Roman"/>
                <w:color w:val="auto"/>
                <w:sz w:val="24"/>
                <w:highlight w:val="none"/>
                <w:lang w:eastAsia="zh-CN"/>
              </w:rPr>
              <w:t>、化验废水、初期雨水</w:t>
            </w:r>
            <w:r>
              <w:rPr>
                <w:rFonts w:hint="default" w:ascii="Times New Roman" w:hAnsi="Times New Roman" w:eastAsia="宋体" w:cs="Times New Roman"/>
                <w:snapToGrid w:val="0"/>
                <w:color w:val="auto"/>
                <w:sz w:val="24"/>
                <w:highlight w:val="none"/>
              </w:rPr>
              <w:t>及办公生活污水。</w:t>
            </w:r>
          </w:p>
          <w:p w14:paraId="0B5446EC">
            <w:pPr>
              <w:pStyle w:val="11"/>
              <w:widowControl/>
              <w:snapToGrid w:val="0"/>
              <w:spacing w:after="0" w:line="360" w:lineRule="auto"/>
              <w:ind w:firstLine="482" w:firstLineChars="200"/>
              <w:rPr>
                <w:rFonts w:hint="default" w:ascii="Times New Roman" w:hAnsi="Times New Roman" w:eastAsia="宋体" w:cs="Times New Roman"/>
                <w:b/>
                <w:bCs/>
                <w:snapToGrid w:val="0"/>
                <w:color w:val="auto"/>
                <w:sz w:val="24"/>
                <w:highlight w:val="none"/>
              </w:rPr>
            </w:pPr>
            <w:r>
              <w:rPr>
                <w:rFonts w:hint="default" w:ascii="Times New Roman" w:hAnsi="Times New Roman" w:eastAsia="宋体" w:cs="Times New Roman"/>
                <w:b/>
                <w:bCs/>
                <w:snapToGrid w:val="0"/>
                <w:color w:val="auto"/>
                <w:sz w:val="24"/>
                <w:highlight w:val="none"/>
              </w:rPr>
              <w:t>1）设备</w:t>
            </w:r>
            <w:r>
              <w:rPr>
                <w:rFonts w:hint="eastAsia" w:ascii="Times New Roman" w:hAnsi="Times New Roman" w:eastAsia="宋体" w:cs="Times New Roman"/>
                <w:b/>
                <w:bCs/>
                <w:snapToGrid w:val="0"/>
                <w:color w:val="auto"/>
                <w:sz w:val="24"/>
                <w:highlight w:val="none"/>
                <w:lang w:eastAsia="zh-CN"/>
              </w:rPr>
              <w:t>冷却</w:t>
            </w:r>
            <w:r>
              <w:rPr>
                <w:rFonts w:hint="default" w:ascii="Times New Roman" w:hAnsi="Times New Roman" w:eastAsia="宋体" w:cs="Times New Roman"/>
                <w:b/>
                <w:bCs/>
                <w:snapToGrid w:val="0"/>
                <w:color w:val="auto"/>
                <w:sz w:val="24"/>
                <w:highlight w:val="none"/>
              </w:rPr>
              <w:t>用</w:t>
            </w:r>
            <w:r>
              <w:rPr>
                <w:rFonts w:hint="eastAsia" w:ascii="Times New Roman" w:hAnsi="Times New Roman" w:cs="Times New Roman"/>
                <w:b/>
                <w:bCs/>
                <w:snapToGrid w:val="0"/>
                <w:color w:val="auto"/>
                <w:sz w:val="24"/>
                <w:highlight w:val="none"/>
                <w:lang w:eastAsia="zh-CN"/>
              </w:rPr>
              <w:t>排</w:t>
            </w:r>
            <w:r>
              <w:rPr>
                <w:rFonts w:hint="default" w:ascii="Times New Roman" w:hAnsi="Times New Roman" w:eastAsia="宋体" w:cs="Times New Roman"/>
                <w:b/>
                <w:bCs/>
                <w:snapToGrid w:val="0"/>
                <w:color w:val="auto"/>
                <w:sz w:val="24"/>
                <w:highlight w:val="none"/>
              </w:rPr>
              <w:t>水</w:t>
            </w:r>
          </w:p>
          <w:p w14:paraId="56BF7B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eastAsia="zh-CN"/>
              </w:rPr>
              <w:t>根据业主提供的设备参数，</w:t>
            </w:r>
            <w:r>
              <w:rPr>
                <w:rFonts w:hint="eastAsia"/>
                <w:color w:val="auto"/>
                <w:sz w:val="24"/>
                <w:highlight w:val="none"/>
              </w:rPr>
              <w:t>项目</w:t>
            </w:r>
            <w:r>
              <w:rPr>
                <w:rFonts w:hint="eastAsia" w:ascii="Times New Roman" w:hAnsi="Times New Roman" w:cs="Times New Roman"/>
                <w:color w:val="auto"/>
                <w:sz w:val="24"/>
                <w:highlight w:val="none"/>
                <w:lang w:val="en-US"/>
              </w:rPr>
              <w:t>烘干机液压油站及大风机</w:t>
            </w:r>
            <w:r>
              <w:rPr>
                <w:rFonts w:hint="eastAsia"/>
                <w:color w:val="auto"/>
                <w:sz w:val="24"/>
                <w:highlight w:val="none"/>
              </w:rPr>
              <w:t>冷却</w:t>
            </w:r>
            <w:r>
              <w:rPr>
                <w:rFonts w:hint="eastAsia"/>
                <w:color w:val="auto"/>
                <w:sz w:val="24"/>
                <w:highlight w:val="none"/>
                <w:lang w:eastAsia="zh-CN"/>
              </w:rPr>
              <w:t>水</w:t>
            </w:r>
            <w:r>
              <w:rPr>
                <w:rFonts w:hint="eastAsia"/>
                <w:color w:val="auto"/>
                <w:sz w:val="24"/>
                <w:highlight w:val="none"/>
              </w:rPr>
              <w:t>用</w:t>
            </w:r>
            <w:r>
              <w:rPr>
                <w:rFonts w:hint="eastAsia"/>
                <w:color w:val="auto"/>
                <w:sz w:val="24"/>
                <w:highlight w:val="none"/>
                <w:lang w:eastAsia="zh-CN"/>
              </w:rPr>
              <w:t>量为</w:t>
            </w:r>
            <w:r>
              <w:rPr>
                <w:rFonts w:hint="eastAsia"/>
                <w:color w:val="auto"/>
                <w:sz w:val="24"/>
                <w:highlight w:val="none"/>
                <w:lang w:val="en-US" w:eastAsia="zh-CN"/>
              </w:rPr>
              <w:t>52.8</w:t>
            </w:r>
            <w:r>
              <w:rPr>
                <w:color w:val="auto"/>
                <w:sz w:val="24"/>
                <w:highlight w:val="none"/>
              </w:rPr>
              <w:t>m</w:t>
            </w:r>
            <w:r>
              <w:rPr>
                <w:color w:val="auto"/>
                <w:sz w:val="24"/>
                <w:highlight w:val="none"/>
                <w:vertAlign w:val="superscript"/>
              </w:rPr>
              <w:t>3</w:t>
            </w:r>
            <w:r>
              <w:rPr>
                <w:color w:val="auto"/>
                <w:sz w:val="24"/>
                <w:highlight w:val="none"/>
              </w:rPr>
              <w:t>/</w:t>
            </w:r>
            <w:r>
              <w:rPr>
                <w:rFonts w:hint="eastAsia"/>
                <w:color w:val="auto"/>
                <w:sz w:val="24"/>
                <w:highlight w:val="none"/>
                <w:lang w:val="en-US" w:eastAsia="zh-CN"/>
              </w:rPr>
              <w:t>h，1267.2</w:t>
            </w:r>
            <w:r>
              <w:rPr>
                <w:color w:val="auto"/>
                <w:sz w:val="24"/>
                <w:highlight w:val="none"/>
              </w:rPr>
              <w:t>m</w:t>
            </w:r>
            <w:r>
              <w:rPr>
                <w:color w:val="auto"/>
                <w:sz w:val="24"/>
                <w:highlight w:val="none"/>
                <w:vertAlign w:val="superscript"/>
              </w:rPr>
              <w:t>3</w:t>
            </w:r>
            <w:r>
              <w:rPr>
                <w:color w:val="auto"/>
                <w:sz w:val="24"/>
                <w:highlight w:val="none"/>
              </w:rPr>
              <w:t>/</w:t>
            </w:r>
            <w:r>
              <w:rPr>
                <w:rFonts w:hint="eastAsia"/>
                <w:color w:val="auto"/>
                <w:sz w:val="24"/>
                <w:highlight w:val="none"/>
                <w:lang w:val="en-US" w:eastAsia="zh-CN"/>
              </w:rPr>
              <w:t>d</w:t>
            </w:r>
            <w:r>
              <w:rPr>
                <w:color w:val="auto"/>
                <w:sz w:val="24"/>
                <w:highlight w:val="none"/>
              </w:rPr>
              <w:t>，</w:t>
            </w:r>
            <w:r>
              <w:rPr>
                <w:rFonts w:hint="eastAsia"/>
                <w:color w:val="auto"/>
                <w:sz w:val="24"/>
                <w:highlight w:val="none"/>
                <w:lang w:eastAsia="zh-CN"/>
              </w:rPr>
              <w:t>设备冷却为间接冷却，不与产品直接接触，冷却</w:t>
            </w:r>
            <w:r>
              <w:rPr>
                <w:rFonts w:hint="default" w:ascii="Times New Roman" w:hAnsi="Times New Roman" w:eastAsia="宋体" w:cs="Times New Roman"/>
                <w:color w:val="auto"/>
                <w:sz w:val="24"/>
                <w:szCs w:val="24"/>
                <w:highlight w:val="none"/>
              </w:rPr>
              <w:t>过程中由于</w:t>
            </w:r>
            <w:r>
              <w:rPr>
                <w:rFonts w:hint="default" w:ascii="Times New Roman" w:hAnsi="Times New Roman" w:eastAsia="宋体" w:cs="Times New Roman"/>
                <w:color w:val="auto"/>
                <w:kern w:val="2"/>
                <w:sz w:val="24"/>
                <w:szCs w:val="24"/>
                <w:highlight w:val="none"/>
                <w:lang w:eastAsia="zh-CN" w:bidi="ar"/>
              </w:rPr>
              <w:t>蒸发损耗</w:t>
            </w:r>
            <w:r>
              <w:rPr>
                <w:rFonts w:hint="default" w:ascii="Times New Roman" w:hAnsi="Times New Roman" w:eastAsia="宋体" w:cs="Times New Roman"/>
                <w:color w:val="auto"/>
                <w:sz w:val="24"/>
                <w:szCs w:val="24"/>
                <w:highlight w:val="none"/>
              </w:rPr>
              <w:t>，需要补充新鲜水。</w:t>
            </w:r>
          </w:p>
          <w:p w14:paraId="52E2004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蒸发损耗补水量参照</w:t>
            </w:r>
            <w:r>
              <w:rPr>
                <w:rFonts w:hint="default" w:ascii="Times New Roman" w:hAnsi="Times New Roman" w:eastAsia="宋体" w:cs="Times New Roman"/>
                <w:color w:val="auto"/>
                <w:sz w:val="24"/>
                <w:szCs w:val="24"/>
                <w:highlight w:val="none"/>
                <w:lang w:eastAsia="zh-CN"/>
              </w:rPr>
              <w:t>《冷却塔补水量计算方法》进行计算，</w:t>
            </w:r>
            <w:r>
              <w:rPr>
                <w:rFonts w:hint="default" w:ascii="Times New Roman" w:hAnsi="Times New Roman" w:eastAsia="宋体" w:cs="Times New Roman"/>
                <w:color w:val="auto"/>
                <w:sz w:val="24"/>
                <w:szCs w:val="24"/>
                <w:highlight w:val="none"/>
              </w:rPr>
              <w:t>补给水量</w:t>
            </w:r>
            <w:r>
              <w:rPr>
                <w:rFonts w:hint="default" w:ascii="Times New Roman" w:hAnsi="Times New Roman" w:eastAsia="宋体" w:cs="Times New Roman"/>
                <w:color w:val="auto"/>
                <w:sz w:val="24"/>
                <w:szCs w:val="24"/>
                <w:highlight w:val="none"/>
                <w:lang w:eastAsia="zh-CN"/>
              </w:rPr>
              <w:t>计算</w:t>
            </w:r>
            <w:r>
              <w:rPr>
                <w:rFonts w:hint="default" w:ascii="Times New Roman" w:hAnsi="Times New Roman" w:eastAsia="宋体" w:cs="Times New Roman"/>
                <w:color w:val="auto"/>
                <w:sz w:val="24"/>
                <w:szCs w:val="24"/>
                <w:highlight w:val="none"/>
              </w:rPr>
              <w:t>公式</w:t>
            </w:r>
            <w:r>
              <w:rPr>
                <w:rFonts w:hint="default" w:ascii="Times New Roman" w:hAnsi="Times New Roman" w:eastAsia="宋体" w:cs="Times New Roman"/>
                <w:color w:val="auto"/>
                <w:sz w:val="24"/>
                <w:szCs w:val="24"/>
                <w:highlight w:val="none"/>
                <w:lang w:eastAsia="zh-CN"/>
              </w:rPr>
              <w:t>如下</w:t>
            </w:r>
            <w:r>
              <w:rPr>
                <w:rFonts w:hint="default" w:ascii="Times New Roman" w:hAnsi="Times New Roman" w:eastAsia="宋体" w:cs="Times New Roman"/>
                <w:color w:val="auto"/>
                <w:sz w:val="24"/>
                <w:szCs w:val="24"/>
                <w:highlight w:val="none"/>
              </w:rPr>
              <w:t>：</w:t>
            </w:r>
          </w:p>
          <w:p w14:paraId="3CFAC0E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E=（T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）*L/600</w:t>
            </w:r>
            <w:r>
              <w:rPr>
                <w:rFonts w:hint="default" w:ascii="Times New Roman" w:hAnsi="Times New Roman" w:eastAsia="宋体" w:cs="Times New Roman"/>
                <w:color w:val="auto"/>
                <w:sz w:val="24"/>
                <w:szCs w:val="24"/>
                <w:highlight w:val="none"/>
                <w:lang w:val="en-US" w:eastAsia="zh-CN"/>
              </w:rPr>
              <w:t xml:space="preserve">   （1）</w:t>
            </w:r>
          </w:p>
          <w:p w14:paraId="0516C2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其中：600代表水的蒸发潜热(Kcal/h)；</w:t>
            </w:r>
          </w:p>
          <w:p w14:paraId="7567A64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T1代表</w:t>
            </w:r>
            <w:r>
              <w:rPr>
                <w:rFonts w:hint="eastAsia" w:cs="Times New Roman"/>
                <w:color w:val="auto"/>
                <w:sz w:val="24"/>
                <w:szCs w:val="24"/>
                <w:highlight w:val="none"/>
                <w:lang w:eastAsia="zh-CN"/>
              </w:rPr>
              <w:t>冷却塔出</w:t>
            </w:r>
            <w:r>
              <w:rPr>
                <w:rFonts w:hint="default" w:ascii="Times New Roman" w:hAnsi="Times New Roman" w:eastAsia="宋体" w:cs="Times New Roman"/>
                <w:color w:val="auto"/>
                <w:sz w:val="24"/>
                <w:szCs w:val="24"/>
                <w:highlight w:val="none"/>
              </w:rPr>
              <w:t>水温度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），本项目取</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p>
          <w:p w14:paraId="1CE26EE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T2代表</w:t>
            </w:r>
            <w:r>
              <w:rPr>
                <w:rFonts w:hint="eastAsia" w:cs="Times New Roman"/>
                <w:color w:val="auto"/>
                <w:sz w:val="24"/>
                <w:szCs w:val="24"/>
                <w:highlight w:val="none"/>
                <w:lang w:eastAsia="zh-CN"/>
              </w:rPr>
              <w:t>冷却塔入</w:t>
            </w:r>
            <w:r>
              <w:rPr>
                <w:rFonts w:hint="default" w:ascii="Times New Roman" w:hAnsi="Times New Roman" w:eastAsia="宋体" w:cs="Times New Roman"/>
                <w:color w:val="auto"/>
                <w:sz w:val="24"/>
                <w:szCs w:val="24"/>
                <w:highlight w:val="none"/>
              </w:rPr>
              <w:t>水温度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），本项目取</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w:t>
            </w:r>
          </w:p>
          <w:p w14:paraId="46DB54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L代表循环水量(kg/h）</w:t>
            </w:r>
            <w:r>
              <w:rPr>
                <w:rFonts w:hint="default" w:ascii="Times New Roman" w:hAnsi="Times New Roman" w:eastAsia="宋体" w:cs="Times New Roman"/>
                <w:color w:val="auto"/>
                <w:sz w:val="24"/>
                <w:szCs w:val="24"/>
                <w:highlight w:val="none"/>
                <w:lang w:eastAsia="zh-CN"/>
              </w:rPr>
              <w:t>，由上计算可知循环水量为</w:t>
            </w:r>
            <w:r>
              <w:rPr>
                <w:rFonts w:hint="eastAsia" w:cs="Times New Roman"/>
                <w:color w:val="auto"/>
                <w:sz w:val="24"/>
                <w:szCs w:val="24"/>
                <w:highlight w:val="none"/>
                <w:lang w:val="en-US" w:eastAsia="zh-CN"/>
              </w:rPr>
              <w:t>528</w:t>
            </w:r>
            <w:r>
              <w:rPr>
                <w:rFonts w:hint="default" w:ascii="Times New Roman" w:hAnsi="Times New Roman" w:eastAsia="宋体" w:cs="Times New Roman"/>
                <w:color w:val="auto"/>
                <w:sz w:val="24"/>
                <w:szCs w:val="24"/>
                <w:highlight w:val="none"/>
                <w:lang w:val="en-US" w:eastAsia="zh-CN"/>
              </w:rPr>
              <w:t>00</w:t>
            </w:r>
            <w:r>
              <w:rPr>
                <w:rFonts w:hint="default" w:ascii="Times New Roman" w:hAnsi="Times New Roman" w:eastAsia="宋体" w:cs="Times New Roman"/>
                <w:color w:val="auto"/>
                <w:sz w:val="24"/>
                <w:szCs w:val="24"/>
                <w:highlight w:val="none"/>
              </w:rPr>
              <w:t>kg/h。</w:t>
            </w:r>
          </w:p>
          <w:p w14:paraId="419281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rPr>
              <w:t>根据计算，</w:t>
            </w:r>
            <w:r>
              <w:rPr>
                <w:rFonts w:hint="default" w:ascii="Times New Roman" w:hAnsi="Times New Roman" w:eastAsia="宋体" w:cs="Times New Roman"/>
                <w:color w:val="auto"/>
                <w:sz w:val="24"/>
                <w:szCs w:val="24"/>
                <w:highlight w:val="none"/>
                <w:lang w:eastAsia="zh-CN"/>
              </w:rPr>
              <w:t>本项目</w:t>
            </w:r>
            <w:r>
              <w:rPr>
                <w:rFonts w:hint="eastAsia" w:cs="Times New Roman"/>
                <w:color w:val="auto"/>
                <w:sz w:val="24"/>
                <w:szCs w:val="24"/>
                <w:highlight w:val="none"/>
                <w:lang w:eastAsia="zh-CN"/>
              </w:rPr>
              <w:t>一期</w:t>
            </w:r>
            <w:r>
              <w:rPr>
                <w:rFonts w:hint="eastAsia" w:ascii="Times New Roman" w:hAnsi="Times New Roman" w:eastAsia="宋体" w:cs="Times New Roman"/>
                <w:color w:val="auto"/>
                <w:sz w:val="24"/>
                <w:szCs w:val="24"/>
                <w:highlight w:val="none"/>
                <w:lang w:eastAsia="zh-CN"/>
              </w:rPr>
              <w:t>设备冷却水</w:t>
            </w:r>
            <w:r>
              <w:rPr>
                <w:rFonts w:hint="default" w:ascii="Times New Roman" w:hAnsi="Times New Roman" w:eastAsia="宋体" w:cs="Times New Roman"/>
                <w:color w:val="auto"/>
                <w:sz w:val="24"/>
                <w:szCs w:val="24"/>
                <w:highlight w:val="none"/>
              </w:rPr>
              <w:t>蒸发损耗补水量为</w:t>
            </w:r>
            <w:r>
              <w:rPr>
                <w:rFonts w:hint="eastAsia" w:cs="Times New Roman"/>
                <w:color w:val="auto"/>
                <w:kern w:val="2"/>
                <w:sz w:val="24"/>
                <w:szCs w:val="24"/>
                <w:highlight w:val="none"/>
                <w:lang w:val="en-US" w:eastAsia="zh-CN" w:bidi="ar"/>
              </w:rPr>
              <w:t>3.52</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/h，</w:t>
            </w:r>
            <w:r>
              <w:rPr>
                <w:rFonts w:hint="eastAsia" w:cs="Times New Roman"/>
                <w:color w:val="auto"/>
                <w:kern w:val="2"/>
                <w:sz w:val="24"/>
                <w:szCs w:val="24"/>
                <w:highlight w:val="none"/>
                <w:lang w:val="en-US" w:eastAsia="zh-CN" w:bidi="ar"/>
              </w:rPr>
              <w:t>84.48</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/d，</w:t>
            </w:r>
            <w:r>
              <w:rPr>
                <w:rFonts w:hint="eastAsia" w:cs="Times New Roman"/>
                <w:color w:val="auto"/>
                <w:kern w:val="2"/>
                <w:sz w:val="24"/>
                <w:szCs w:val="24"/>
                <w:highlight w:val="none"/>
                <w:lang w:val="en-US" w:eastAsia="zh-CN" w:bidi="ar"/>
              </w:rPr>
              <w:t>23654.4</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/a</w:t>
            </w:r>
            <w:r>
              <w:rPr>
                <w:rFonts w:hint="default" w:ascii="Times New Roman" w:hAnsi="Times New Roman" w:eastAsia="宋体" w:cs="Times New Roman"/>
                <w:color w:val="auto"/>
                <w:sz w:val="24"/>
                <w:szCs w:val="24"/>
                <w:highlight w:val="none"/>
              </w:rPr>
              <w:t>。蒸发损耗补水来源于</w:t>
            </w:r>
            <w:r>
              <w:rPr>
                <w:rFonts w:hint="eastAsia"/>
                <w:color w:val="auto"/>
                <w:sz w:val="24"/>
                <w:highlight w:val="none"/>
              </w:rPr>
              <w:t>项目接入的自来水作为水源。</w:t>
            </w:r>
          </w:p>
          <w:p w14:paraId="5F6A551B">
            <w:pPr>
              <w:pStyle w:val="77"/>
              <w:adjustRightInd w:val="0"/>
              <w:snapToGrid w:val="0"/>
              <w:ind w:firstLine="600" w:firstLineChars="250"/>
              <w:rPr>
                <w:rFonts w:hint="eastAsia" w:cs="Times New Roman"/>
                <w:b/>
                <w:bCs/>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bCs/>
                <w:color w:val="auto"/>
                <w:kern w:val="2"/>
                <w:sz w:val="24"/>
                <w:szCs w:val="24"/>
                <w:highlight w:val="none"/>
                <w:lang w:val="en-US" w:eastAsia="zh-CN" w:bidi="ar-SA"/>
              </w:rPr>
              <w:t>业主提供资料，建设单位拟在项目生产</w:t>
            </w:r>
            <w:r>
              <w:rPr>
                <w:rFonts w:hint="eastAsia" w:ascii="Times New Roman" w:hAnsi="Times New Roman" w:eastAsia="宋体" w:cs="Times New Roman"/>
                <w:bCs/>
                <w:color w:val="auto"/>
                <w:kern w:val="2"/>
                <w:sz w:val="24"/>
                <w:szCs w:val="24"/>
                <w:highlight w:val="none"/>
                <w:lang w:val="en-US" w:eastAsia="zh-CN" w:bidi="ar-SA"/>
              </w:rPr>
              <w:t>区</w:t>
            </w:r>
            <w:r>
              <w:rPr>
                <w:rFonts w:hint="default" w:ascii="Times New Roman" w:hAnsi="Times New Roman" w:eastAsia="宋体" w:cs="Times New Roman"/>
                <w:bCs/>
                <w:color w:val="auto"/>
                <w:kern w:val="2"/>
                <w:sz w:val="24"/>
                <w:szCs w:val="24"/>
                <w:highlight w:val="none"/>
                <w:lang w:val="en-US" w:eastAsia="zh-CN" w:bidi="ar-SA"/>
              </w:rPr>
              <w:t>内设置</w:t>
            </w:r>
            <w:r>
              <w:rPr>
                <w:rFonts w:hint="eastAsia" w:ascii="Times New Roman" w:hAnsi="Times New Roman" w:eastAsia="宋体" w:cs="Times New Roman"/>
                <w:bCs/>
                <w:color w:val="auto"/>
                <w:kern w:val="2"/>
                <w:sz w:val="24"/>
                <w:szCs w:val="24"/>
                <w:highlight w:val="none"/>
                <w:lang w:val="en-US" w:eastAsia="zh-CN" w:bidi="ar-SA"/>
              </w:rPr>
              <w:t>1</w:t>
            </w:r>
            <w:r>
              <w:rPr>
                <w:rFonts w:hint="default" w:ascii="Times New Roman" w:hAnsi="Times New Roman" w:eastAsia="宋体" w:cs="Times New Roman"/>
                <w:bCs/>
                <w:color w:val="auto"/>
                <w:kern w:val="2"/>
                <w:sz w:val="24"/>
                <w:szCs w:val="24"/>
                <w:highlight w:val="none"/>
                <w:lang w:val="en-US" w:eastAsia="zh-CN" w:bidi="ar-SA"/>
              </w:rPr>
              <w:t>套循环水处理系统</w:t>
            </w:r>
            <w:r>
              <w:rPr>
                <w:rFonts w:hint="eastAsia"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冷却废水经循环冷却</w:t>
            </w:r>
            <w:r>
              <w:rPr>
                <w:rFonts w:hint="default" w:ascii="Times New Roman" w:hAnsi="Times New Roman" w:eastAsia="宋体" w:cs="Times New Roman"/>
                <w:color w:val="auto"/>
                <w:sz w:val="24"/>
                <w:highlight w:val="none"/>
              </w:rPr>
              <w:t>池冷却后循环使用不外排。</w:t>
            </w:r>
          </w:p>
          <w:p w14:paraId="45DDC8E5">
            <w:pPr>
              <w:adjustRightInd w:val="0"/>
              <w:snapToGrid w:val="0"/>
              <w:spacing w:line="360" w:lineRule="auto"/>
              <w:ind w:firstLine="482" w:firstLineChars="200"/>
              <w:rPr>
                <w:b/>
                <w:color w:val="auto"/>
                <w:sz w:val="24"/>
                <w:highlight w:val="none"/>
              </w:rPr>
            </w:pPr>
            <w:r>
              <w:rPr>
                <w:rFonts w:hint="eastAsia" w:cs="Times New Roman"/>
                <w:b/>
                <w:bCs/>
                <w:caps w:val="0"/>
                <w:snapToGrid w:val="0"/>
                <w:color w:val="auto"/>
                <w:spacing w:val="0"/>
                <w:w w:val="100"/>
                <w:kern w:val="2"/>
                <w:position w:val="0"/>
                <w:sz w:val="24"/>
                <w:szCs w:val="24"/>
                <w:highlight w:val="none"/>
                <w:lang w:val="en-US" w:eastAsia="zh-CN" w:bidi="ar-SA"/>
              </w:rPr>
              <w:t>2）</w:t>
            </w:r>
            <w:r>
              <w:rPr>
                <w:rFonts w:hint="eastAsia"/>
                <w:b/>
                <w:color w:val="auto"/>
                <w:sz w:val="24"/>
                <w:highlight w:val="none"/>
                <w:lang w:eastAsia="zh-CN"/>
              </w:rPr>
              <w:t>化验用</w:t>
            </w:r>
            <w:r>
              <w:rPr>
                <w:rFonts w:hint="eastAsia"/>
                <w:b/>
                <w:color w:val="auto"/>
                <w:sz w:val="24"/>
                <w:highlight w:val="none"/>
              </w:rPr>
              <w:t>排水</w:t>
            </w:r>
          </w:p>
          <w:p w14:paraId="3266FBDA">
            <w:pPr>
              <w:adjustRightInd w:val="0"/>
              <w:snapToGrid w:val="0"/>
              <w:spacing w:line="360" w:lineRule="auto"/>
              <w:ind w:firstLine="480" w:firstLineChars="200"/>
              <w:rPr>
                <w:rFonts w:hint="eastAsia"/>
                <w:color w:val="auto"/>
                <w:sz w:val="24"/>
                <w:highlight w:val="none"/>
                <w:lang w:eastAsia="zh-CN"/>
              </w:rPr>
            </w:pPr>
            <w:r>
              <w:rPr>
                <w:rFonts w:hint="eastAsia"/>
                <w:color w:val="auto"/>
                <w:sz w:val="24"/>
                <w:highlight w:val="none"/>
              </w:rPr>
              <w:t>项目设置一</w:t>
            </w:r>
            <w:r>
              <w:rPr>
                <w:rFonts w:hint="eastAsia"/>
                <w:color w:val="auto"/>
                <w:sz w:val="24"/>
                <w:highlight w:val="none"/>
                <w:lang w:eastAsia="zh-CN"/>
              </w:rPr>
              <w:t>中控</w:t>
            </w:r>
            <w:r>
              <w:rPr>
                <w:rFonts w:hint="eastAsia"/>
                <w:color w:val="auto"/>
                <w:sz w:val="24"/>
                <w:highlight w:val="none"/>
              </w:rPr>
              <w:t>化验室对生产所用的原煤及产出的成品煤进行煤质化验。按生产线每天化验10个煤样，每次化验后容器清洗用水2L计，则化验室日用水量</w:t>
            </w:r>
            <w:r>
              <w:rPr>
                <w:rFonts w:hint="eastAsia"/>
                <w:color w:val="auto"/>
                <w:sz w:val="24"/>
                <w:highlight w:val="none"/>
                <w:lang w:eastAsia="zh-CN"/>
              </w:rPr>
              <w:t>为</w:t>
            </w:r>
            <w:r>
              <w:rPr>
                <w:rFonts w:hint="eastAsia"/>
                <w:color w:val="auto"/>
                <w:sz w:val="24"/>
                <w:highlight w:val="none"/>
              </w:rPr>
              <w:t>0.02</w:t>
            </w:r>
            <w:r>
              <w:rPr>
                <w:color w:val="auto"/>
                <w:sz w:val="24"/>
                <w:highlight w:val="none"/>
              </w:rPr>
              <w:t>m</w:t>
            </w:r>
            <w:r>
              <w:rPr>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5.6</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eastAsia="zh-CN"/>
              </w:rPr>
              <w:t>，</w:t>
            </w:r>
            <w:r>
              <w:rPr>
                <w:color w:val="auto"/>
                <w:sz w:val="24"/>
                <w:highlight w:val="none"/>
              </w:rPr>
              <w:t>废水产生量按用水量的</w:t>
            </w:r>
            <w:r>
              <w:rPr>
                <w:rFonts w:hint="eastAsia"/>
                <w:color w:val="auto"/>
                <w:sz w:val="24"/>
                <w:highlight w:val="none"/>
                <w:lang w:val="en-US" w:eastAsia="zh-CN"/>
              </w:rPr>
              <w:t>10</w:t>
            </w:r>
            <w:r>
              <w:rPr>
                <w:color w:val="auto"/>
                <w:sz w:val="24"/>
                <w:highlight w:val="none"/>
              </w:rPr>
              <w:t>0%计</w:t>
            </w:r>
            <w:r>
              <w:rPr>
                <w:rFonts w:hint="eastAsia"/>
                <w:color w:val="auto"/>
                <w:sz w:val="24"/>
                <w:highlight w:val="none"/>
                <w:lang w:eastAsia="zh-CN"/>
              </w:rPr>
              <w:t>。</w:t>
            </w:r>
          </w:p>
          <w:p w14:paraId="1F4B521B">
            <w:pPr>
              <w:adjustRightInd w:val="0"/>
              <w:snapToGrid w:val="0"/>
              <w:spacing w:line="360" w:lineRule="auto"/>
              <w:ind w:firstLine="480" w:firstLineChars="200"/>
              <w:rPr>
                <w:rFonts w:hint="eastAsia" w:cs="Times New Roman"/>
                <w:b/>
                <w:bCs/>
                <w:caps w:val="0"/>
                <w:snapToGrid w:val="0"/>
                <w:color w:val="auto"/>
                <w:spacing w:val="0"/>
                <w:w w:val="100"/>
                <w:kern w:val="2"/>
                <w:position w:val="0"/>
                <w:sz w:val="24"/>
                <w:szCs w:val="24"/>
                <w:highlight w:val="none"/>
                <w:lang w:val="en-US" w:eastAsia="zh-CN" w:bidi="ar-SA"/>
              </w:rPr>
            </w:pPr>
            <w:r>
              <w:rPr>
                <w:rFonts w:hint="eastAsia"/>
                <w:color w:val="auto"/>
                <w:sz w:val="24"/>
                <w:highlight w:val="none"/>
              </w:rPr>
              <w:t>由于煤质化验的</w:t>
            </w:r>
            <w:r>
              <w:rPr>
                <w:color w:val="auto"/>
                <w:sz w:val="24"/>
                <w:highlight w:val="none"/>
              </w:rPr>
              <w:t>化验</w:t>
            </w:r>
            <w:r>
              <w:rPr>
                <w:rFonts w:hint="eastAsia"/>
                <w:color w:val="auto"/>
                <w:sz w:val="24"/>
                <w:highlight w:val="none"/>
              </w:rPr>
              <w:t>项目主要为含水率、灰分、硫分、挥发分、热值等理化指标，其检测方法多以物理方法及仪器检测为主，仅少量涉及化学试剂的使用。故化验后的容器清洗废水成分较为</w:t>
            </w:r>
            <w:r>
              <w:rPr>
                <w:color w:val="auto"/>
                <w:sz w:val="24"/>
                <w:highlight w:val="none"/>
              </w:rPr>
              <w:t>简单</w:t>
            </w:r>
            <w:r>
              <w:rPr>
                <w:rFonts w:hint="eastAsia"/>
                <w:color w:val="auto"/>
                <w:sz w:val="24"/>
                <w:highlight w:val="none"/>
              </w:rPr>
              <w:t>，</w:t>
            </w:r>
            <w:r>
              <w:rPr>
                <w:color w:val="auto"/>
                <w:sz w:val="24"/>
                <w:highlight w:val="none"/>
              </w:rPr>
              <w:t>主要</w:t>
            </w:r>
            <w:r>
              <w:rPr>
                <w:rFonts w:hint="eastAsia"/>
                <w:color w:val="auto"/>
                <w:sz w:val="24"/>
                <w:highlight w:val="none"/>
              </w:rPr>
              <w:t>是将容器</w:t>
            </w:r>
            <w:r>
              <w:rPr>
                <w:color w:val="auto"/>
                <w:sz w:val="24"/>
                <w:highlight w:val="none"/>
              </w:rPr>
              <w:t>内</w:t>
            </w:r>
            <w:r>
              <w:rPr>
                <w:rFonts w:hint="eastAsia"/>
                <w:color w:val="auto"/>
                <w:sz w:val="24"/>
                <w:highlight w:val="none"/>
              </w:rPr>
              <w:t>残留</w:t>
            </w:r>
            <w:r>
              <w:rPr>
                <w:color w:val="auto"/>
                <w:sz w:val="24"/>
                <w:highlight w:val="none"/>
              </w:rPr>
              <w:t>的</w:t>
            </w:r>
            <w:r>
              <w:rPr>
                <w:rFonts w:hint="eastAsia"/>
                <w:color w:val="auto"/>
                <w:sz w:val="24"/>
                <w:highlight w:val="none"/>
              </w:rPr>
              <w:t>少量煤粉冲洗</w:t>
            </w:r>
            <w:r>
              <w:rPr>
                <w:color w:val="auto"/>
                <w:sz w:val="24"/>
                <w:highlight w:val="none"/>
              </w:rPr>
              <w:t>干净，</w:t>
            </w:r>
            <w:r>
              <w:rPr>
                <w:rFonts w:hint="eastAsia"/>
                <w:color w:val="auto"/>
                <w:sz w:val="24"/>
                <w:highlight w:val="none"/>
              </w:rPr>
              <w:t>此外可能含有</w:t>
            </w:r>
            <w:r>
              <w:rPr>
                <w:color w:val="auto"/>
                <w:sz w:val="24"/>
                <w:highlight w:val="none"/>
              </w:rPr>
              <w:t>少量</w:t>
            </w:r>
            <w:r>
              <w:rPr>
                <w:rFonts w:hint="eastAsia"/>
                <w:color w:val="auto"/>
                <w:sz w:val="24"/>
                <w:highlight w:val="none"/>
              </w:rPr>
              <w:t>酸</w:t>
            </w:r>
            <w:r>
              <w:rPr>
                <w:color w:val="auto"/>
                <w:sz w:val="24"/>
                <w:highlight w:val="none"/>
              </w:rPr>
              <w:t>、碱</w:t>
            </w:r>
            <w:r>
              <w:rPr>
                <w:rFonts w:hint="eastAsia"/>
                <w:color w:val="auto"/>
                <w:sz w:val="24"/>
                <w:highlight w:val="none"/>
              </w:rPr>
              <w:t>等。要求实验室内设废液桶对化验后的</w:t>
            </w:r>
            <w:r>
              <w:rPr>
                <w:color w:val="auto"/>
                <w:sz w:val="24"/>
                <w:highlight w:val="none"/>
              </w:rPr>
              <w:t>容器</w:t>
            </w:r>
            <w:r>
              <w:rPr>
                <w:rFonts w:hint="eastAsia"/>
                <w:color w:val="auto"/>
                <w:sz w:val="24"/>
                <w:highlight w:val="none"/>
              </w:rPr>
              <w:t>清洗废水进行收集，通过投加絮凝剂、加入酸碱中和剂等</w:t>
            </w:r>
            <w:r>
              <w:rPr>
                <w:color w:val="auto"/>
                <w:sz w:val="24"/>
                <w:highlight w:val="none"/>
              </w:rPr>
              <w:t>方式</w:t>
            </w:r>
            <w:r>
              <w:rPr>
                <w:rFonts w:hint="eastAsia"/>
                <w:color w:val="auto"/>
                <w:sz w:val="24"/>
                <w:highlight w:val="none"/>
              </w:rPr>
              <w:t>对</w:t>
            </w:r>
            <w:r>
              <w:rPr>
                <w:color w:val="auto"/>
                <w:sz w:val="24"/>
                <w:highlight w:val="none"/>
              </w:rPr>
              <w:t>废水</w:t>
            </w:r>
            <w:r>
              <w:rPr>
                <w:rFonts w:hint="eastAsia"/>
                <w:color w:val="auto"/>
                <w:sz w:val="24"/>
                <w:highlight w:val="none"/>
              </w:rPr>
              <w:t>进行</w:t>
            </w:r>
            <w:r>
              <w:rPr>
                <w:color w:val="auto"/>
                <w:sz w:val="24"/>
                <w:highlight w:val="none"/>
              </w:rPr>
              <w:t>沉淀</w:t>
            </w:r>
            <w:r>
              <w:rPr>
                <w:rFonts w:hint="eastAsia"/>
                <w:color w:val="auto"/>
                <w:sz w:val="24"/>
                <w:highlight w:val="none"/>
              </w:rPr>
              <w:t>、</w:t>
            </w:r>
            <w:r>
              <w:rPr>
                <w:color w:val="auto"/>
                <w:sz w:val="24"/>
                <w:highlight w:val="none"/>
              </w:rPr>
              <w:t>中和</w:t>
            </w:r>
            <w:r>
              <w:rPr>
                <w:rFonts w:hint="eastAsia"/>
                <w:color w:val="auto"/>
                <w:sz w:val="24"/>
                <w:highlight w:val="none"/>
              </w:rPr>
              <w:t>等</w:t>
            </w:r>
            <w:r>
              <w:rPr>
                <w:color w:val="auto"/>
                <w:sz w:val="24"/>
                <w:highlight w:val="none"/>
              </w:rPr>
              <w:t>简易</w:t>
            </w:r>
            <w:r>
              <w:rPr>
                <w:rFonts w:hint="eastAsia"/>
                <w:color w:val="auto"/>
                <w:sz w:val="24"/>
                <w:highlight w:val="none"/>
              </w:rPr>
              <w:t>处理</w:t>
            </w:r>
            <w:r>
              <w:rPr>
                <w:color w:val="auto"/>
                <w:sz w:val="24"/>
                <w:highlight w:val="none"/>
              </w:rPr>
              <w:t>，</w:t>
            </w:r>
            <w:r>
              <w:rPr>
                <w:rFonts w:hint="eastAsia"/>
                <w:color w:val="auto"/>
                <w:sz w:val="24"/>
                <w:highlight w:val="none"/>
              </w:rPr>
              <w:t>处理后的废水可排入厂内</w:t>
            </w:r>
            <w:r>
              <w:rPr>
                <w:color w:val="auto"/>
                <w:sz w:val="24"/>
                <w:highlight w:val="none"/>
              </w:rPr>
              <w:t>拟建</w:t>
            </w:r>
            <w:r>
              <w:rPr>
                <w:rFonts w:hint="eastAsia"/>
                <w:color w:val="auto"/>
                <w:sz w:val="24"/>
                <w:highlight w:val="none"/>
              </w:rPr>
              <w:t>的</w:t>
            </w:r>
            <w:r>
              <w:rPr>
                <w:rFonts w:hint="eastAsia"/>
                <w:color w:val="auto"/>
                <w:sz w:val="24"/>
                <w:highlight w:val="none"/>
                <w:lang w:eastAsia="zh-CN"/>
              </w:rPr>
              <w:t>污水</w:t>
            </w:r>
            <w:r>
              <w:rPr>
                <w:rFonts w:hint="eastAsia"/>
                <w:color w:val="auto"/>
                <w:sz w:val="24"/>
                <w:highlight w:val="none"/>
              </w:rPr>
              <w:t>处理站统一</w:t>
            </w:r>
            <w:r>
              <w:rPr>
                <w:color w:val="auto"/>
                <w:sz w:val="24"/>
                <w:highlight w:val="none"/>
              </w:rPr>
              <w:t>处置</w:t>
            </w:r>
            <w:r>
              <w:rPr>
                <w:rFonts w:hint="eastAsia"/>
                <w:color w:val="auto"/>
                <w:sz w:val="24"/>
                <w:highlight w:val="none"/>
              </w:rPr>
              <w:t>。</w:t>
            </w:r>
          </w:p>
          <w:p w14:paraId="3DFF032D">
            <w:pPr>
              <w:pStyle w:val="11"/>
              <w:keepNext w:val="0"/>
              <w:keepLines w:val="0"/>
              <w:pageBreakBefore w:val="0"/>
              <w:kinsoku/>
              <w:wordWrap/>
              <w:overflowPunct/>
              <w:topLinePunct w:val="0"/>
              <w:autoSpaceDE/>
              <w:autoSpaceDN/>
              <w:bidi w:val="0"/>
              <w:snapToGrid w:val="0"/>
              <w:spacing w:before="0" w:after="0" w:line="360" w:lineRule="auto"/>
              <w:ind w:left="0" w:right="0" w:firstLine="482" w:firstLineChars="200"/>
              <w:jc w:val="both"/>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3）氨气清水罐用水</w:t>
            </w:r>
          </w:p>
          <w:p w14:paraId="182328F9">
            <w:pPr>
              <w:pStyle w:val="11"/>
              <w:keepNext w:val="0"/>
              <w:keepLines w:val="0"/>
              <w:pageBreakBefore w:val="0"/>
              <w:kinsoku/>
              <w:wordWrap/>
              <w:overflowPunct/>
              <w:topLinePunct w:val="0"/>
              <w:autoSpaceDE/>
              <w:autoSpaceDN/>
              <w:bidi w:val="0"/>
              <w:snapToGrid w:val="0"/>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w:t>
            </w:r>
            <w:r>
              <w:rPr>
                <w:rFonts w:hint="eastAsia" w:cs="Times New Roman"/>
                <w:color w:val="auto"/>
                <w:kern w:val="2"/>
                <w:sz w:val="24"/>
                <w:szCs w:val="24"/>
                <w:highlight w:val="none"/>
                <w:lang w:val="en-US" w:eastAsia="zh-CN" w:bidi="ar-SA"/>
              </w:rPr>
              <w:t>烘干阶段产生的废气氮氧化物</w:t>
            </w:r>
            <w:r>
              <w:rPr>
                <w:rFonts w:hint="eastAsia" w:ascii="Times New Roman" w:hAnsi="Times New Roman" w:eastAsia="宋体" w:cs="Times New Roman"/>
                <w:color w:val="auto"/>
                <w:kern w:val="2"/>
                <w:sz w:val="24"/>
                <w:szCs w:val="24"/>
                <w:highlight w:val="none"/>
                <w:lang w:val="en-US" w:eastAsia="zh-CN" w:bidi="ar-SA"/>
              </w:rPr>
              <w:t>使用</w:t>
            </w:r>
            <w:r>
              <w:rPr>
                <w:rFonts w:hint="eastAsia" w:cs="Times New Roman"/>
                <w:color w:val="auto"/>
                <w:sz w:val="24"/>
                <w:highlight w:val="none"/>
                <w:lang w:val="en-US" w:eastAsia="zh-CN"/>
              </w:rPr>
              <w:t>SCNR喷氨脱硝，项目区设置一个容积为30m</w:t>
            </w:r>
            <w:r>
              <w:rPr>
                <w:rFonts w:hint="eastAsia"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的氨水储罐。一个氨水储罐配套设置一个清水罐及一个清水应急罐（容积均为20</w:t>
            </w:r>
            <w:r>
              <w:rPr>
                <w:rFonts w:hint="eastAsia" w:cs="Times New Roman"/>
                <w:color w:val="auto"/>
                <w:sz w:val="24"/>
                <w:highlight w:val="none"/>
                <w:lang w:val="en-US" w:eastAsia="zh-CN"/>
              </w:rPr>
              <w:t>m</w:t>
            </w:r>
            <w:r>
              <w:rPr>
                <w:rFonts w:hint="eastAsia"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呼吸口接管直接与清水罐相连接，利用氨水溶水性强的特点，逸出的氨气直接被水吸收，当浓度大于10%时，根据经验，约为半年，吸收氨气的清水直接作为脱硝使用喷入炉膛内，不外排，因此项目氨气清水罐用水为40t/a。</w:t>
            </w:r>
          </w:p>
          <w:p w14:paraId="260244B0">
            <w:pPr>
              <w:pStyle w:val="11"/>
              <w:keepNext w:val="0"/>
              <w:keepLines w:val="0"/>
              <w:pageBreakBefore w:val="0"/>
              <w:kinsoku/>
              <w:wordWrap/>
              <w:overflowPunct/>
              <w:topLinePunct w:val="0"/>
              <w:autoSpaceDE/>
              <w:autoSpaceDN/>
              <w:bidi w:val="0"/>
              <w:snapToGrid w:val="0"/>
              <w:spacing w:before="0" w:after="0" w:line="360" w:lineRule="auto"/>
              <w:ind w:left="0" w:right="0" w:firstLine="482" w:firstLineChars="200"/>
              <w:jc w:val="both"/>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4）初期雨水</w:t>
            </w:r>
          </w:p>
          <w:p w14:paraId="24710F12">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项目</w:t>
            </w:r>
            <w:r>
              <w:rPr>
                <w:rFonts w:hint="eastAsia" w:cs="Times New Roman"/>
                <w:color w:val="auto"/>
                <w:kern w:val="0"/>
                <w:sz w:val="24"/>
                <w:szCs w:val="24"/>
                <w:highlight w:val="none"/>
                <w:lang w:val="en-US" w:eastAsia="zh-CN"/>
              </w:rPr>
              <w:t>设计雨污分流系统，</w:t>
            </w:r>
            <w:r>
              <w:rPr>
                <w:rFonts w:hint="default" w:ascii="Times New Roman" w:hAnsi="Times New Roman" w:eastAsia="宋体" w:cs="Times New Roman"/>
                <w:color w:val="auto"/>
                <w:kern w:val="0"/>
                <w:sz w:val="24"/>
                <w:szCs w:val="24"/>
                <w:highlight w:val="none"/>
                <w:lang w:val="en-US" w:eastAsia="zh-CN"/>
              </w:rPr>
              <w:t>如遇到雨季，</w:t>
            </w:r>
            <w:r>
              <w:rPr>
                <w:rFonts w:hint="default" w:ascii="Times New Roman" w:hAnsi="Times New Roman" w:eastAsia="宋体" w:cs="Times New Roman"/>
                <w:color w:val="auto"/>
                <w:sz w:val="24"/>
                <w:szCs w:val="24"/>
                <w:highlight w:val="none"/>
                <w:lang w:val="en-US" w:eastAsia="zh-CN"/>
              </w:rPr>
              <w:t>厂区道路及</w:t>
            </w:r>
            <w:r>
              <w:rPr>
                <w:rFonts w:hint="eastAsia" w:cs="Times New Roman"/>
                <w:color w:val="auto"/>
                <w:sz w:val="24"/>
                <w:szCs w:val="24"/>
                <w:highlight w:val="none"/>
                <w:lang w:val="en-US" w:eastAsia="zh-CN"/>
              </w:rPr>
              <w:t>广场</w:t>
            </w:r>
            <w:r>
              <w:rPr>
                <w:rFonts w:hint="default"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kern w:val="0"/>
                <w:sz w:val="24"/>
                <w:szCs w:val="24"/>
                <w:highlight w:val="none"/>
                <w:lang w:val="en-US" w:eastAsia="zh-CN"/>
              </w:rPr>
              <w:t>露天区域会产生初期雨水</w:t>
            </w:r>
            <w:r>
              <w:rPr>
                <w:rFonts w:hint="eastAsia" w:cs="Times New Roman"/>
                <w:color w:val="auto"/>
                <w:kern w:val="0"/>
                <w:sz w:val="24"/>
                <w:szCs w:val="24"/>
                <w:highlight w:val="none"/>
                <w:lang w:val="en-US" w:eastAsia="zh-CN"/>
              </w:rPr>
              <w:t>，根据设计资料，</w:t>
            </w:r>
            <w:r>
              <w:rPr>
                <w:rFonts w:hint="default" w:ascii="Times New Roman" w:hAnsi="Times New Roman" w:eastAsia="宋体" w:cs="Times New Roman"/>
                <w:b w:val="0"/>
                <w:bCs w:val="0"/>
                <w:color w:val="auto"/>
                <w:sz w:val="24"/>
                <w:szCs w:val="24"/>
                <w:highlight w:val="none"/>
                <w:lang w:val="en-US" w:eastAsia="zh-CN"/>
              </w:rPr>
              <w:t>厂区道路及</w:t>
            </w:r>
            <w:r>
              <w:rPr>
                <w:rFonts w:hint="eastAsia" w:cs="Times New Roman"/>
                <w:b w:val="0"/>
                <w:bCs w:val="0"/>
                <w:color w:val="auto"/>
                <w:sz w:val="24"/>
                <w:szCs w:val="24"/>
                <w:highlight w:val="none"/>
                <w:lang w:val="en-US" w:eastAsia="zh-CN"/>
              </w:rPr>
              <w:t>广</w:t>
            </w:r>
            <w:r>
              <w:rPr>
                <w:rFonts w:hint="default" w:ascii="Times New Roman" w:hAnsi="Times New Roman" w:eastAsia="宋体" w:cs="Times New Roman"/>
                <w:b w:val="0"/>
                <w:bCs w:val="0"/>
                <w:color w:val="auto"/>
                <w:sz w:val="24"/>
                <w:szCs w:val="24"/>
                <w:highlight w:val="none"/>
                <w:lang w:val="en-US" w:eastAsia="zh-CN"/>
              </w:rPr>
              <w:t>场</w:t>
            </w:r>
            <w:r>
              <w:rPr>
                <w:rFonts w:hint="eastAsia" w:cs="Times New Roman"/>
                <w:b w:val="0"/>
                <w:bCs w:val="0"/>
                <w:color w:val="auto"/>
                <w:sz w:val="24"/>
                <w:szCs w:val="24"/>
                <w:highlight w:val="none"/>
                <w:lang w:val="en-US" w:eastAsia="zh-CN"/>
              </w:rPr>
              <w:t>的占地面积为13621.65m</w:t>
            </w:r>
            <w:r>
              <w:rPr>
                <w:rFonts w:hint="eastAsia" w:cs="Times New Roman"/>
                <w:b w:val="0"/>
                <w:bCs w:val="0"/>
                <w:color w:val="auto"/>
                <w:sz w:val="24"/>
                <w:szCs w:val="24"/>
                <w:highlight w:val="none"/>
                <w:vertAlign w:val="superscript"/>
                <w:lang w:val="en-US" w:eastAsia="zh-CN"/>
              </w:rPr>
              <w:t>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初期雨水冲刷项目区会产生高浊度地表径流，夹带大量煤泥和泥沙。</w:t>
            </w:r>
          </w:p>
          <w:p w14:paraId="447180DA">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根据昆明市地区暴雨强度（</w:t>
            </w:r>
            <w:r>
              <w:rPr>
                <w:rFonts w:hint="default" w:ascii="Times New Roman" w:hAnsi="Times New Roman" w:eastAsia="宋体" w:cs="Times New Roman"/>
                <w:color w:val="auto"/>
                <w:kern w:val="0"/>
                <w:sz w:val="24"/>
                <w:szCs w:val="24"/>
                <w:highlight w:val="none"/>
                <w:lang w:val="en-US" w:eastAsia="zh-CN" w:bidi="ar"/>
              </w:rPr>
              <w:t>2015</w:t>
            </w:r>
            <w:r>
              <w:rPr>
                <w:rFonts w:hint="eastAsia" w:ascii="宋体" w:hAnsi="宋体" w:eastAsia="宋体" w:cs="宋体"/>
                <w:color w:val="auto"/>
                <w:kern w:val="0"/>
                <w:sz w:val="24"/>
                <w:szCs w:val="24"/>
                <w:highlight w:val="none"/>
                <w:lang w:val="en-US" w:eastAsia="zh-CN" w:bidi="ar"/>
              </w:rPr>
              <w:t>年版）公式：</w:t>
            </w:r>
          </w:p>
          <w:p w14:paraId="644EF7D2">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lang w:val="en-US" w:eastAsia="zh-CN" w:bidi="ar"/>
              </w:rPr>
            </w:pPr>
          </w:p>
          <w:p w14:paraId="3DB857B7">
            <w:pPr>
              <w:keepNext w:val="0"/>
              <w:keepLines w:val="0"/>
              <w:widowControl/>
              <w:suppressLineNumbers w:val="0"/>
              <w:jc w:val="left"/>
              <w:rPr>
                <w:color w:val="auto"/>
                <w:highlight w:val="none"/>
              </w:rPr>
            </w:pPr>
            <w:r>
              <w:rPr>
                <w:color w:val="auto"/>
                <w:highlight w:val="none"/>
              </w:rPr>
              <w:drawing>
                <wp:anchor distT="0" distB="0" distL="114300" distR="114300" simplePos="0" relativeHeight="251662336" behindDoc="0" locked="0" layoutInCell="1" allowOverlap="1">
                  <wp:simplePos x="0" y="0"/>
                  <wp:positionH relativeFrom="column">
                    <wp:posOffset>669925</wp:posOffset>
                  </wp:positionH>
                  <wp:positionV relativeFrom="paragraph">
                    <wp:posOffset>62865</wp:posOffset>
                  </wp:positionV>
                  <wp:extent cx="3867150" cy="771525"/>
                  <wp:effectExtent l="0" t="0" r="0" b="9525"/>
                  <wp:wrapSquare wrapText="bothSides"/>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0"/>
                          <a:stretch>
                            <a:fillRect/>
                          </a:stretch>
                        </pic:blipFill>
                        <pic:spPr>
                          <a:xfrm>
                            <a:off x="0" y="0"/>
                            <a:ext cx="3867150" cy="771525"/>
                          </a:xfrm>
                          <a:prstGeom prst="rect">
                            <a:avLst/>
                          </a:prstGeom>
                          <a:noFill/>
                          <a:ln>
                            <a:noFill/>
                          </a:ln>
                        </pic:spPr>
                      </pic:pic>
                    </a:graphicData>
                  </a:graphic>
                </wp:anchor>
              </w:drawing>
            </w:r>
          </w:p>
          <w:p w14:paraId="28009E8E">
            <w:pPr>
              <w:pStyle w:val="62"/>
              <w:ind w:firstLine="480"/>
              <w:rPr>
                <w:color w:val="auto"/>
                <w:highlight w:val="none"/>
              </w:rPr>
            </w:pPr>
          </w:p>
          <w:p w14:paraId="30C1C896">
            <w:pPr>
              <w:spacing w:line="360" w:lineRule="auto"/>
              <w:jc w:val="center"/>
              <w:rPr>
                <w:rFonts w:ascii="Times New Roman" w:hAnsi="Times New Roman" w:cs="Times New Roman"/>
                <w:color w:val="auto"/>
                <w:sz w:val="24"/>
                <w:highlight w:val="none"/>
              </w:rPr>
            </w:pPr>
          </w:p>
          <w:p w14:paraId="757943F3">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1CB30CB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720" w:firstLineChars="3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式中：</w:t>
            </w:r>
            <w:r>
              <w:rPr>
                <w:rFonts w:hint="default" w:ascii="Times New Roman" w:hAnsi="Times New Roman" w:eastAsia="宋体" w:cs="Times New Roman"/>
                <w:color w:val="auto"/>
                <w:kern w:val="0"/>
                <w:sz w:val="24"/>
                <w:szCs w:val="24"/>
                <w:highlight w:val="none"/>
                <w:lang w:val="en-US" w:eastAsia="zh-CN" w:bidi="ar"/>
              </w:rPr>
              <w:t>P-</w:t>
            </w:r>
            <w:r>
              <w:rPr>
                <w:rFonts w:hint="eastAsia" w:ascii="宋体" w:hAnsi="宋体" w:eastAsia="宋体" w:cs="宋体"/>
                <w:color w:val="auto"/>
                <w:kern w:val="0"/>
                <w:sz w:val="24"/>
                <w:szCs w:val="24"/>
                <w:highlight w:val="none"/>
                <w:lang w:val="en-US" w:eastAsia="zh-CN" w:bidi="ar"/>
              </w:rPr>
              <w:t>设计降雨重现期</w:t>
            </w:r>
            <w:r>
              <w:rPr>
                <w:rFonts w:hint="default" w:ascii="Times New Roman" w:hAnsi="Times New Roman" w:eastAsia="宋体" w:cs="Times New Roman"/>
                <w:color w:val="auto"/>
                <w:kern w:val="0"/>
                <w:sz w:val="24"/>
                <w:szCs w:val="24"/>
                <w:highlight w:val="none"/>
                <w:lang w:val="en-US" w:eastAsia="zh-CN" w:bidi="ar"/>
              </w:rPr>
              <w:t>2a</w:t>
            </w:r>
            <w:r>
              <w:rPr>
                <w:rFonts w:hint="eastAsia" w:ascii="宋体" w:hAnsi="宋体" w:eastAsia="宋体" w:cs="宋体"/>
                <w:color w:val="auto"/>
                <w:kern w:val="0"/>
                <w:sz w:val="24"/>
                <w:szCs w:val="24"/>
                <w:highlight w:val="none"/>
                <w:lang w:val="en-US" w:eastAsia="zh-CN" w:bidi="ar"/>
              </w:rPr>
              <w:t>；</w:t>
            </w:r>
          </w:p>
          <w:p w14:paraId="0F06CF2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1200" w:firstLineChars="5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t-</w:t>
            </w:r>
            <w:r>
              <w:rPr>
                <w:rFonts w:hint="eastAsia" w:ascii="宋体" w:hAnsi="宋体" w:eastAsia="宋体" w:cs="宋体"/>
                <w:color w:val="auto"/>
                <w:kern w:val="0"/>
                <w:sz w:val="24"/>
                <w:szCs w:val="24"/>
                <w:highlight w:val="none"/>
                <w:lang w:val="en-US" w:eastAsia="zh-CN" w:bidi="ar"/>
              </w:rPr>
              <w:t>降雨历时（以</w:t>
            </w:r>
            <w:r>
              <w:rPr>
                <w:rFonts w:hint="default" w:ascii="Times New Roman" w:hAnsi="Times New Roman" w:eastAsia="宋体" w:cs="Times New Roman"/>
                <w:color w:val="auto"/>
                <w:kern w:val="0"/>
                <w:sz w:val="24"/>
                <w:szCs w:val="24"/>
                <w:highlight w:val="none"/>
                <w:lang w:val="en-US" w:eastAsia="zh-CN" w:bidi="ar"/>
              </w:rPr>
              <w:t>120min</w:t>
            </w:r>
            <w:r>
              <w:rPr>
                <w:rFonts w:hint="eastAsia" w:ascii="宋体" w:hAnsi="宋体" w:eastAsia="宋体" w:cs="宋体"/>
                <w:color w:val="auto"/>
                <w:kern w:val="0"/>
                <w:sz w:val="24"/>
                <w:szCs w:val="24"/>
                <w:highlight w:val="none"/>
                <w:lang w:val="en-US" w:eastAsia="zh-CN" w:bidi="ar"/>
              </w:rPr>
              <w:t>计）；</w:t>
            </w:r>
          </w:p>
          <w:p w14:paraId="6A6ED37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1200" w:firstLineChars="5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q-</w:t>
            </w:r>
            <w:r>
              <w:rPr>
                <w:rFonts w:hint="eastAsia" w:ascii="宋体" w:hAnsi="宋体" w:eastAsia="宋体" w:cs="宋体"/>
                <w:color w:val="auto"/>
                <w:kern w:val="0"/>
                <w:sz w:val="24"/>
                <w:szCs w:val="24"/>
                <w:highlight w:val="none"/>
                <w:lang w:val="en-US" w:eastAsia="zh-CN" w:bidi="ar"/>
              </w:rPr>
              <w:t>暴雨强度，</w:t>
            </w:r>
            <w:r>
              <w:rPr>
                <w:rFonts w:hint="default" w:ascii="Times New Roman" w:hAnsi="Times New Roman" w:eastAsia="宋体" w:cs="Times New Roman"/>
                <w:color w:val="auto"/>
                <w:kern w:val="0"/>
                <w:sz w:val="24"/>
                <w:szCs w:val="24"/>
                <w:highlight w:val="none"/>
                <w:lang w:val="en-US" w:eastAsia="zh-CN" w:bidi="ar"/>
              </w:rPr>
              <w:t>L/s•hm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w:t>
            </w:r>
          </w:p>
          <w:p w14:paraId="0A55766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经计算，</w:t>
            </w:r>
            <w:r>
              <w:rPr>
                <w:rFonts w:hint="default" w:ascii="Times New Roman" w:hAnsi="Times New Roman" w:eastAsia="宋体" w:cs="Times New Roman"/>
                <w:color w:val="auto"/>
                <w:kern w:val="0"/>
                <w:sz w:val="24"/>
                <w:szCs w:val="24"/>
                <w:highlight w:val="none"/>
                <w:lang w:val="en-US" w:eastAsia="zh-CN" w:bidi="ar"/>
              </w:rPr>
              <w:t>q=69L/s•hm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w:t>
            </w:r>
          </w:p>
          <w:p w14:paraId="4574605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cs="Times New Roman"/>
                <w:color w:val="auto"/>
                <w:sz w:val="24"/>
                <w:highlight w:val="none"/>
              </w:rPr>
            </w:pPr>
            <w:r>
              <w:rPr>
                <w:rFonts w:hint="eastAsia" w:ascii="宋体" w:hAnsi="宋体" w:eastAsia="宋体" w:cs="宋体"/>
                <w:color w:val="auto"/>
                <w:kern w:val="0"/>
                <w:sz w:val="24"/>
                <w:szCs w:val="24"/>
                <w:highlight w:val="none"/>
                <w:lang w:val="en-US" w:eastAsia="zh-CN" w:bidi="ar"/>
              </w:rPr>
              <w:t>根据雨水设计流量公式：</w:t>
            </w:r>
          </w:p>
          <w:p w14:paraId="6B295D69">
            <w:pPr>
              <w:keepNext w:val="0"/>
              <w:keepLines w:val="0"/>
              <w:pageBreakBefore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Q=Ψ·</w:t>
            </w:r>
            <w:r>
              <w:rPr>
                <w:rFonts w:hint="eastAsia" w:cs="Times New Roman"/>
                <w:color w:val="auto"/>
                <w:sz w:val="24"/>
                <w:highlight w:val="none"/>
                <w:lang w:val="en-US" w:eastAsia="zh-CN"/>
              </w:rPr>
              <w:t>q</w:t>
            </w:r>
            <w:r>
              <w:rPr>
                <w:rFonts w:ascii="Times New Roman" w:hAnsi="Times New Roman" w:cs="Times New Roman"/>
                <w:color w:val="auto"/>
                <w:sz w:val="24"/>
                <w:highlight w:val="none"/>
              </w:rPr>
              <w:t>·F</w:t>
            </w:r>
          </w:p>
          <w:p w14:paraId="1908B69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式中：</w:t>
            </w:r>
            <w:r>
              <w:rPr>
                <w:rFonts w:hint="default" w:ascii="Times New Roman" w:hAnsi="Times New Roman" w:eastAsia="宋体" w:cs="Times New Roman"/>
                <w:color w:val="auto"/>
                <w:kern w:val="0"/>
                <w:sz w:val="24"/>
                <w:szCs w:val="24"/>
                <w:highlight w:val="none"/>
                <w:lang w:val="en-US" w:eastAsia="zh-CN" w:bidi="ar"/>
              </w:rPr>
              <w:t>Q-</w:t>
            </w:r>
            <w:r>
              <w:rPr>
                <w:rFonts w:hint="eastAsia" w:ascii="宋体" w:hAnsi="宋体" w:eastAsia="宋体" w:cs="宋体"/>
                <w:color w:val="auto"/>
                <w:kern w:val="0"/>
                <w:sz w:val="24"/>
                <w:szCs w:val="24"/>
                <w:highlight w:val="none"/>
                <w:lang w:val="en-US" w:eastAsia="zh-CN" w:bidi="ar"/>
              </w:rPr>
              <w:t>雨水流量，</w:t>
            </w:r>
            <w:r>
              <w:rPr>
                <w:rFonts w:hint="default" w:ascii="Times New Roman" w:hAnsi="Times New Roman" w:eastAsia="宋体" w:cs="Times New Roman"/>
                <w:color w:val="auto"/>
                <w:kern w:val="0"/>
                <w:sz w:val="24"/>
                <w:szCs w:val="24"/>
                <w:highlight w:val="none"/>
                <w:lang w:val="en-US" w:eastAsia="zh-CN" w:bidi="ar"/>
              </w:rPr>
              <w:t>L/s</w:t>
            </w:r>
            <w:r>
              <w:rPr>
                <w:rFonts w:hint="eastAsia" w:ascii="宋体" w:hAnsi="宋体" w:eastAsia="宋体" w:cs="宋体"/>
                <w:color w:val="auto"/>
                <w:kern w:val="0"/>
                <w:sz w:val="24"/>
                <w:szCs w:val="24"/>
                <w:highlight w:val="none"/>
                <w:lang w:val="en-US" w:eastAsia="zh-CN" w:bidi="ar"/>
              </w:rPr>
              <w:t xml:space="preserve">； </w:t>
            </w:r>
          </w:p>
          <w:p w14:paraId="11ECD27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1200" w:firstLineChars="500"/>
              <w:jc w:val="left"/>
              <w:textAlignment w:val="auto"/>
              <w:rPr>
                <w:color w:val="auto"/>
                <w:highlight w:val="none"/>
              </w:rPr>
            </w:pPr>
            <w:r>
              <w:rPr>
                <w:rFonts w:ascii="Times New Roman" w:hAnsi="Times New Roman" w:cs="Times New Roman"/>
                <w:color w:val="auto"/>
                <w:sz w:val="24"/>
                <w:highlight w:val="none"/>
              </w:rPr>
              <w:t>Ψ</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径流系数，项目区地面进行硬化，因此径流系数取值</w:t>
            </w:r>
            <w:r>
              <w:rPr>
                <w:rFonts w:hint="default" w:ascii="Times New Roman" w:hAnsi="Times New Roman" w:eastAsia="宋体" w:cs="Times New Roman"/>
                <w:color w:val="auto"/>
                <w:kern w:val="0"/>
                <w:sz w:val="24"/>
                <w:szCs w:val="24"/>
                <w:highlight w:val="none"/>
                <w:lang w:val="en-US" w:eastAsia="zh-CN" w:bidi="ar"/>
              </w:rPr>
              <w:t>0.9</w:t>
            </w:r>
            <w:r>
              <w:rPr>
                <w:rFonts w:hint="eastAsia" w:ascii="宋体" w:hAnsi="宋体" w:eastAsia="宋体" w:cs="宋体"/>
                <w:color w:val="auto"/>
                <w:kern w:val="0"/>
                <w:sz w:val="24"/>
                <w:szCs w:val="24"/>
                <w:highlight w:val="none"/>
                <w:lang w:val="en-US" w:eastAsia="zh-CN" w:bidi="ar"/>
              </w:rPr>
              <w:t xml:space="preserve">； </w:t>
            </w:r>
          </w:p>
          <w:p w14:paraId="6944CB7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1200" w:firstLineChars="5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q-</w:t>
            </w:r>
            <w:r>
              <w:rPr>
                <w:rFonts w:hint="eastAsia" w:ascii="宋体" w:hAnsi="宋体" w:eastAsia="宋体" w:cs="宋体"/>
                <w:color w:val="auto"/>
                <w:kern w:val="0"/>
                <w:sz w:val="24"/>
                <w:szCs w:val="24"/>
                <w:highlight w:val="none"/>
                <w:lang w:val="en-US" w:eastAsia="zh-CN" w:bidi="ar"/>
              </w:rPr>
              <w:t>暴雨强度，</w:t>
            </w:r>
            <w:r>
              <w:rPr>
                <w:rFonts w:hint="default" w:ascii="Times New Roman" w:hAnsi="Times New Roman" w:eastAsia="宋体" w:cs="Times New Roman"/>
                <w:color w:val="auto"/>
                <w:kern w:val="0"/>
                <w:sz w:val="24"/>
                <w:szCs w:val="24"/>
                <w:highlight w:val="none"/>
                <w:lang w:val="en-US" w:eastAsia="zh-CN" w:bidi="ar"/>
              </w:rPr>
              <w:t>L/s•hm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69L/s•hm</w:t>
            </w:r>
            <w:r>
              <w:rPr>
                <w:rFonts w:hint="eastAsia" w:ascii="Times New Roman" w:hAnsi="Times New Roman" w:eastAsia="宋体" w:cs="Times New Roman"/>
                <w:color w:val="auto"/>
                <w:kern w:val="0"/>
                <w:sz w:val="24"/>
                <w:szCs w:val="24"/>
                <w:highlight w:val="none"/>
                <w:vertAlign w:val="superscript"/>
                <w:lang w:val="en-US" w:eastAsia="zh-CN" w:bidi="ar"/>
              </w:rPr>
              <w:t>2</w:t>
            </w:r>
          </w:p>
          <w:p w14:paraId="478E83F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1200" w:firstLineChars="5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F-</w:t>
            </w:r>
            <w:r>
              <w:rPr>
                <w:rFonts w:hint="eastAsia" w:ascii="宋体" w:hAnsi="宋体" w:eastAsia="宋体" w:cs="宋体"/>
                <w:color w:val="auto"/>
                <w:kern w:val="0"/>
                <w:sz w:val="24"/>
                <w:szCs w:val="24"/>
                <w:highlight w:val="none"/>
                <w:lang w:val="en-US" w:eastAsia="zh-CN" w:bidi="ar"/>
              </w:rPr>
              <w:t>汇水面积，</w:t>
            </w:r>
            <w:r>
              <w:rPr>
                <w:rFonts w:hint="default" w:ascii="Times New Roman" w:hAnsi="Times New Roman" w:eastAsia="宋体" w:cs="Times New Roman"/>
                <w:color w:val="auto"/>
                <w:kern w:val="0"/>
                <w:sz w:val="24"/>
                <w:szCs w:val="24"/>
                <w:highlight w:val="none"/>
                <w:lang w:val="en-US" w:eastAsia="zh-CN" w:bidi="ar"/>
              </w:rPr>
              <w:t>hm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1.362165</w:t>
            </w:r>
            <w:r>
              <w:rPr>
                <w:rFonts w:hint="default" w:ascii="Times New Roman" w:hAnsi="Times New Roman" w:eastAsia="宋体" w:cs="Times New Roman"/>
                <w:color w:val="auto"/>
                <w:kern w:val="0"/>
                <w:sz w:val="24"/>
                <w:szCs w:val="24"/>
                <w:highlight w:val="none"/>
                <w:lang w:val="en-US" w:eastAsia="zh-CN" w:bidi="ar"/>
              </w:rPr>
              <w:t>hm</w:t>
            </w:r>
            <w:r>
              <w:rPr>
                <w:rFonts w:hint="eastAsia" w:ascii="Times New Roman" w:hAnsi="Times New Roman" w:eastAsia="宋体" w:cs="Times New Roman"/>
                <w:color w:val="auto"/>
                <w:kern w:val="0"/>
                <w:sz w:val="24"/>
                <w:szCs w:val="24"/>
                <w:highlight w:val="none"/>
                <w:vertAlign w:val="superscript"/>
                <w:lang w:val="en-US" w:eastAsia="zh-CN" w:bidi="ar"/>
              </w:rPr>
              <w:t>2</w:t>
            </w:r>
          </w:p>
          <w:p w14:paraId="4B04FF18">
            <w:pPr>
              <w:pStyle w:val="82"/>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480" w:firstLineChars="200"/>
              <w:jc w:val="both"/>
              <w:textAlignment w:val="auto"/>
              <w:rPr>
                <w:rFonts w:hint="default" w:cs="Times New Roman"/>
                <w:b/>
                <w:bCs/>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经计算，</w:t>
            </w:r>
            <w:r>
              <w:rPr>
                <w:rFonts w:hint="default" w:ascii="Times New Roman" w:hAnsi="Times New Roman" w:eastAsia="宋体" w:cs="Times New Roman"/>
                <w:color w:val="auto"/>
                <w:kern w:val="0"/>
                <w:sz w:val="24"/>
                <w:szCs w:val="24"/>
                <w:highlight w:val="none"/>
                <w:lang w:val="en-US" w:eastAsia="zh-CN" w:bidi="ar"/>
              </w:rPr>
              <w:t>Q=</w:t>
            </w:r>
            <w:r>
              <w:rPr>
                <w:rFonts w:hint="eastAsia" w:ascii="Times New Roman" w:hAnsi="Times New Roman" w:eastAsia="宋体" w:cs="Times New Roman"/>
                <w:color w:val="auto"/>
                <w:kern w:val="0"/>
                <w:sz w:val="24"/>
                <w:szCs w:val="24"/>
                <w:highlight w:val="none"/>
                <w:lang w:val="en-US" w:eastAsia="zh-CN" w:bidi="ar"/>
              </w:rPr>
              <w:t>84.5904</w:t>
            </w:r>
            <w:r>
              <w:rPr>
                <w:rFonts w:hint="default" w:ascii="Times New Roman" w:hAnsi="Times New Roman" w:eastAsia="宋体" w:cs="Times New Roman"/>
                <w:color w:val="auto"/>
                <w:kern w:val="0"/>
                <w:sz w:val="24"/>
                <w:szCs w:val="24"/>
                <w:highlight w:val="none"/>
                <w:lang w:val="en-US" w:eastAsia="zh-CN" w:bidi="ar"/>
              </w:rPr>
              <w:t>L/s</w:t>
            </w:r>
            <w:r>
              <w:rPr>
                <w:rFonts w:hint="eastAsia" w:ascii="宋体" w:hAnsi="宋体" w:eastAsia="宋体" w:cs="宋体"/>
                <w:color w:val="auto"/>
                <w:kern w:val="0"/>
                <w:sz w:val="24"/>
                <w:szCs w:val="24"/>
                <w:highlight w:val="none"/>
                <w:lang w:val="en-US" w:eastAsia="zh-CN" w:bidi="ar"/>
              </w:rPr>
              <w:t>，项目应集中收集、沉淀</w:t>
            </w:r>
            <w:r>
              <w:rPr>
                <w:rFonts w:hint="default" w:ascii="Times New Roman" w:hAnsi="Times New Roman" w:eastAsia="宋体" w:cs="Times New Roman"/>
                <w:color w:val="auto"/>
                <w:kern w:val="0"/>
                <w:sz w:val="24"/>
                <w:szCs w:val="24"/>
                <w:highlight w:val="none"/>
                <w:lang w:val="en-US" w:eastAsia="zh-CN" w:bidi="ar"/>
              </w:rPr>
              <w:t>15min</w:t>
            </w:r>
            <w:r>
              <w:rPr>
                <w:rFonts w:hint="eastAsia" w:ascii="宋体" w:hAnsi="宋体" w:eastAsia="宋体" w:cs="宋体"/>
                <w:color w:val="auto"/>
                <w:kern w:val="0"/>
                <w:sz w:val="24"/>
                <w:szCs w:val="24"/>
                <w:highlight w:val="none"/>
                <w:lang w:val="en-US" w:eastAsia="zh-CN" w:bidi="ar"/>
              </w:rPr>
              <w:t>左右的雨水，因此本项目</w:t>
            </w:r>
            <w:r>
              <w:rPr>
                <w:rFonts w:hint="eastAsia" w:ascii="宋体" w:hAnsi="宋体" w:cs="宋体"/>
                <w:color w:val="auto"/>
                <w:kern w:val="0"/>
                <w:sz w:val="24"/>
                <w:szCs w:val="24"/>
                <w:highlight w:val="none"/>
                <w:lang w:val="en-US" w:eastAsia="zh-CN" w:bidi="ar"/>
              </w:rPr>
              <w:t>需</w:t>
            </w:r>
            <w:r>
              <w:rPr>
                <w:rFonts w:hint="eastAsia" w:ascii="宋体" w:hAnsi="宋体" w:eastAsia="宋体" w:cs="宋体"/>
                <w:color w:val="auto"/>
                <w:kern w:val="0"/>
                <w:sz w:val="24"/>
                <w:szCs w:val="24"/>
                <w:highlight w:val="none"/>
                <w:lang w:val="en-US" w:eastAsia="zh-CN" w:bidi="ar"/>
              </w:rPr>
              <w:t>收集、沉淀</w:t>
            </w:r>
            <w:r>
              <w:rPr>
                <w:rFonts w:hint="eastAsia" w:ascii="Times New Roman" w:hAnsi="Times New Roman" w:eastAsia="宋体" w:cs="Times New Roman"/>
                <w:color w:val="auto"/>
                <w:kern w:val="0"/>
                <w:sz w:val="24"/>
                <w:szCs w:val="24"/>
                <w:highlight w:val="none"/>
                <w:lang w:val="en-US" w:eastAsia="zh-CN" w:bidi="ar"/>
              </w:rPr>
              <w:t>76.1314</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初期雨水</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highlight w:val="none"/>
                <w:lang w:val="en-US" w:eastAsia="zh-CN"/>
              </w:rPr>
              <w:t>考虑1.2的安全系数，建设单位拟在厂区最低处建设</w:t>
            </w:r>
            <w:r>
              <w:rPr>
                <w:rFonts w:hint="default" w:ascii="Times New Roman" w:hAnsi="Times New Roman" w:eastAsia="宋体" w:cs="Times New Roman"/>
                <w:color w:val="auto"/>
                <w:spacing w:val="-11"/>
                <w:sz w:val="24"/>
                <w:highlight w:val="none"/>
              </w:rPr>
              <w:t>一座容</w:t>
            </w:r>
            <w:r>
              <w:rPr>
                <w:rFonts w:hint="default" w:ascii="Times New Roman" w:hAnsi="Times New Roman" w:eastAsia="宋体" w:cs="Times New Roman"/>
                <w:color w:val="auto"/>
                <w:spacing w:val="-20"/>
                <w:sz w:val="24"/>
                <w:highlight w:val="none"/>
              </w:rPr>
              <w:t>积为</w:t>
            </w:r>
            <w:r>
              <w:rPr>
                <w:rFonts w:hint="eastAsia" w:cs="Times New Roman"/>
                <w:color w:val="auto"/>
                <w:spacing w:val="-20"/>
                <w:sz w:val="24"/>
                <w:highlight w:val="none"/>
                <w:lang w:val="en-US" w:eastAsia="zh-CN"/>
              </w:rPr>
              <w:t>92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position w:val="8"/>
                <w:sz w:val="15"/>
                <w:highlight w:val="none"/>
              </w:rPr>
              <w:t>3</w:t>
            </w:r>
            <w:r>
              <w:rPr>
                <w:rFonts w:hint="default" w:ascii="Times New Roman" w:hAnsi="Times New Roman" w:eastAsia="宋体" w:cs="Times New Roman"/>
                <w:color w:val="auto"/>
                <w:spacing w:val="-8"/>
                <w:sz w:val="24"/>
                <w:highlight w:val="none"/>
              </w:rPr>
              <w:t>的初期雨水</w:t>
            </w:r>
            <w:r>
              <w:rPr>
                <w:rFonts w:hint="default" w:ascii="Times New Roman" w:hAnsi="Times New Roman" w:eastAsia="宋体" w:cs="Times New Roman"/>
                <w:color w:val="auto"/>
                <w:spacing w:val="-8"/>
                <w:sz w:val="24"/>
                <w:highlight w:val="none"/>
                <w:lang w:val="en-US" w:eastAsia="zh-CN"/>
              </w:rPr>
              <w:t>收集</w:t>
            </w:r>
            <w:r>
              <w:rPr>
                <w:rFonts w:hint="default" w:ascii="Times New Roman" w:hAnsi="Times New Roman" w:eastAsia="宋体" w:cs="Times New Roman"/>
                <w:color w:val="auto"/>
                <w:spacing w:val="-8"/>
                <w:sz w:val="24"/>
                <w:highlight w:val="none"/>
              </w:rPr>
              <w:t>池</w:t>
            </w:r>
            <w:r>
              <w:rPr>
                <w:rFonts w:hint="default" w:ascii="Times New Roman" w:hAnsi="Times New Roman" w:eastAsia="宋体" w:cs="Times New Roman"/>
                <w:color w:val="auto"/>
                <w:spacing w:val="-8"/>
                <w:sz w:val="24"/>
                <w:highlight w:val="none"/>
                <w:lang w:eastAsia="zh-CN"/>
              </w:rPr>
              <w:t>，</w:t>
            </w:r>
            <w:r>
              <w:rPr>
                <w:rFonts w:hint="default" w:ascii="Times New Roman" w:hAnsi="Times New Roman" w:eastAsia="宋体" w:cs="Times New Roman"/>
                <w:color w:val="auto"/>
                <w:sz w:val="24"/>
                <w:highlight w:val="none"/>
              </w:rPr>
              <w:t>将初期雨水</w:t>
            </w:r>
            <w:r>
              <w:rPr>
                <w:rFonts w:hint="eastAsia" w:ascii="Times New Roman" w:hAnsi="Times New Roman" w:eastAsia="宋体" w:cs="Times New Roman"/>
                <w:color w:val="auto"/>
                <w:sz w:val="24"/>
                <w:highlight w:val="none"/>
                <w:lang w:eastAsia="zh-CN"/>
              </w:rPr>
              <w:t>经沉淀</w:t>
            </w:r>
            <w:r>
              <w:rPr>
                <w:rFonts w:hint="default" w:ascii="Times New Roman" w:hAnsi="Times New Roman" w:eastAsia="宋体" w:cs="Times New Roman"/>
                <w:color w:val="auto"/>
                <w:sz w:val="24"/>
                <w:highlight w:val="none"/>
              </w:rPr>
              <w:t>处理后回用</w:t>
            </w:r>
            <w:r>
              <w:rPr>
                <w:rFonts w:hint="default" w:ascii="Times New Roman" w:hAnsi="Times New Roman" w:eastAsia="宋体" w:cs="Times New Roman"/>
                <w:color w:val="auto"/>
                <w:sz w:val="24"/>
                <w:highlight w:val="none"/>
                <w:lang w:val="en-US" w:eastAsia="zh-CN"/>
              </w:rPr>
              <w:t>于</w:t>
            </w:r>
            <w:r>
              <w:rPr>
                <w:rFonts w:hint="eastAsia" w:ascii="Times New Roman" w:hAnsi="Times New Roman" w:eastAsia="宋体" w:cs="Times New Roman"/>
                <w:color w:val="auto"/>
                <w:sz w:val="24"/>
                <w:highlight w:val="none"/>
                <w:lang w:eastAsia="zh-CN"/>
              </w:rPr>
              <w:t>厂区洒水抑尘</w:t>
            </w:r>
            <w:r>
              <w:rPr>
                <w:rFonts w:hint="default" w:ascii="Times New Roman" w:hAnsi="Times New Roman" w:eastAsia="宋体" w:cs="Times New Roman"/>
                <w:color w:val="auto"/>
                <w:sz w:val="24"/>
                <w:highlight w:val="none"/>
              </w:rPr>
              <w:t>，不外排。</w:t>
            </w:r>
          </w:p>
          <w:p w14:paraId="1300FF0F">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textAlignment w:val="auto"/>
              <w:rPr>
                <w:rFonts w:hint="default" w:ascii="Times New Roman" w:hAnsi="Times New Roman" w:eastAsia="宋体" w:cs="Times New Roman"/>
                <w:b/>
                <w:bCs/>
                <w:color w:val="auto"/>
                <w:sz w:val="24"/>
                <w:szCs w:val="24"/>
                <w:highlight w:val="none"/>
                <w:lang w:val="en-US"/>
              </w:rPr>
            </w:pP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绿化、道路场地洒水</w:t>
            </w:r>
            <w:r>
              <w:rPr>
                <w:rFonts w:hint="eastAsia" w:cs="Times New Roman"/>
                <w:b/>
                <w:bCs/>
                <w:color w:val="auto"/>
                <w:sz w:val="24"/>
                <w:szCs w:val="24"/>
                <w:highlight w:val="none"/>
                <w:lang w:val="en-US" w:eastAsia="zh-CN"/>
              </w:rPr>
              <w:t>降尘用水</w:t>
            </w:r>
          </w:p>
          <w:p w14:paraId="728C8F24">
            <w:pPr>
              <w:pStyle w:val="41"/>
              <w:ind w:firstLine="47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项目区内</w:t>
            </w:r>
            <w:r>
              <w:rPr>
                <w:rFonts w:hint="default" w:ascii="Times New Roman" w:hAnsi="Times New Roman" w:eastAsia="宋体" w:cs="Times New Roman"/>
                <w:b w:val="0"/>
                <w:bCs w:val="0"/>
                <w:color w:val="auto"/>
                <w:sz w:val="24"/>
                <w:szCs w:val="24"/>
                <w:highlight w:val="none"/>
                <w:lang w:val="en-US" w:eastAsia="zh-CN"/>
              </w:rPr>
              <w:t>绿化面积为</w:t>
            </w:r>
            <w:r>
              <w:rPr>
                <w:rFonts w:hint="eastAsia" w:cs="Times New Roman"/>
                <w:b w:val="0"/>
                <w:bCs w:val="0"/>
                <w:color w:val="auto"/>
                <w:sz w:val="24"/>
                <w:szCs w:val="24"/>
                <w:highlight w:val="none"/>
                <w:lang w:val="en-US" w:eastAsia="zh-CN"/>
              </w:rPr>
              <w:t>7348.86</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，道路及</w:t>
            </w:r>
            <w:r>
              <w:rPr>
                <w:rFonts w:hint="eastAsia" w:ascii="Times New Roman" w:hAnsi="Times New Roman" w:eastAsia="宋体" w:cs="Times New Roman"/>
                <w:b w:val="0"/>
                <w:bCs w:val="0"/>
                <w:color w:val="auto"/>
                <w:sz w:val="24"/>
                <w:szCs w:val="24"/>
                <w:highlight w:val="none"/>
                <w:lang w:val="en-US" w:eastAsia="zh-CN"/>
              </w:rPr>
              <w:t>广场</w:t>
            </w:r>
            <w:r>
              <w:rPr>
                <w:rFonts w:hint="default" w:ascii="Times New Roman" w:hAnsi="Times New Roman" w:eastAsia="宋体" w:cs="Times New Roman"/>
                <w:b w:val="0"/>
                <w:bCs w:val="0"/>
                <w:color w:val="auto"/>
                <w:sz w:val="24"/>
                <w:szCs w:val="24"/>
                <w:highlight w:val="none"/>
                <w:lang w:val="en-US" w:eastAsia="zh-CN"/>
              </w:rPr>
              <w:t>面积约为</w:t>
            </w:r>
            <w:r>
              <w:rPr>
                <w:rFonts w:hint="eastAsia" w:cs="Times New Roman"/>
                <w:color w:val="auto"/>
                <w:sz w:val="24"/>
                <w:szCs w:val="24"/>
                <w:highlight w:val="none"/>
                <w:lang w:val="en-US" w:eastAsia="zh-CN"/>
              </w:rPr>
              <w:t>13621.65m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根据</w:t>
            </w:r>
            <w:r>
              <w:rPr>
                <w:rFonts w:hint="default" w:ascii="Times New Roman" w:hAnsi="Times New Roman" w:eastAsia="宋体" w:cs="Times New Roman"/>
                <w:color w:val="auto"/>
                <w:sz w:val="24"/>
                <w:szCs w:val="24"/>
                <w:highlight w:val="none"/>
                <w:lang w:bidi="ar"/>
              </w:rPr>
              <w:t>《云南省地方标准 用水定额》（DB53/168-201</w:t>
            </w:r>
            <w:r>
              <w:rPr>
                <w:rFonts w:hint="default" w:ascii="Times New Roman" w:hAnsi="Times New Roman" w:eastAsia="宋体" w:cs="Times New Roman"/>
                <w:color w:val="auto"/>
                <w:sz w:val="24"/>
                <w:szCs w:val="24"/>
                <w:highlight w:val="none"/>
                <w:lang w:val="en-US" w:eastAsia="zh-CN" w:bidi="ar"/>
              </w:rPr>
              <w:t>9</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b w:val="0"/>
                <w:bCs w:val="0"/>
                <w:color w:val="auto"/>
                <w:sz w:val="24"/>
                <w:szCs w:val="24"/>
                <w:highlight w:val="none"/>
                <w:lang w:val="en-US" w:eastAsia="zh-CN"/>
              </w:rPr>
              <w:t>场地</w:t>
            </w:r>
            <w:r>
              <w:rPr>
                <w:rFonts w:hint="default" w:ascii="Times New Roman" w:hAnsi="Times New Roman" w:eastAsia="宋体" w:cs="Times New Roman"/>
                <w:color w:val="auto"/>
                <w:sz w:val="24"/>
                <w:szCs w:val="24"/>
                <w:highlight w:val="none"/>
                <w:lang w:val="en-US" w:eastAsia="zh-CN"/>
              </w:rPr>
              <w:t>浇洒</w:t>
            </w:r>
            <w:r>
              <w:rPr>
                <w:rFonts w:hint="default" w:ascii="Times New Roman" w:hAnsi="Times New Roman" w:eastAsia="宋体" w:cs="Times New Roman"/>
                <w:b w:val="0"/>
                <w:bCs w:val="0"/>
                <w:color w:val="auto"/>
                <w:sz w:val="24"/>
                <w:szCs w:val="24"/>
                <w:highlight w:val="none"/>
                <w:lang w:eastAsia="zh-CN"/>
              </w:rPr>
              <w:t>用水</w:t>
            </w:r>
            <w:r>
              <w:rPr>
                <w:rFonts w:hint="default" w:ascii="Times New Roman" w:hAnsi="Times New Roman" w:eastAsia="宋体" w:cs="Times New Roman"/>
                <w:b w:val="0"/>
                <w:bCs w:val="0"/>
                <w:color w:val="auto"/>
                <w:sz w:val="24"/>
                <w:szCs w:val="24"/>
                <w:highlight w:val="none"/>
                <w:lang w:val="en-US" w:eastAsia="zh-CN"/>
              </w:rPr>
              <w:t>为2</w:t>
            </w:r>
            <w:r>
              <w:rPr>
                <w:rFonts w:hint="default" w:ascii="Times New Roman" w:hAnsi="Times New Roman" w:eastAsia="宋体" w:cs="Times New Roman"/>
                <w:b w:val="0"/>
                <w:bCs w:val="0"/>
                <w:color w:val="auto"/>
                <w:sz w:val="24"/>
                <w:szCs w:val="24"/>
                <w:highlight w:val="none"/>
                <w:lang w:eastAsia="zh-CN"/>
              </w:rPr>
              <w:t>L/（m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园林绿化用水为3</w:t>
            </w:r>
            <w:r>
              <w:rPr>
                <w:rFonts w:hint="default" w:ascii="Times New Roman" w:hAnsi="Times New Roman" w:eastAsia="宋体" w:cs="Times New Roman"/>
                <w:b w:val="0"/>
                <w:bCs w:val="0"/>
                <w:color w:val="auto"/>
                <w:sz w:val="24"/>
                <w:szCs w:val="24"/>
                <w:highlight w:val="none"/>
                <w:lang w:eastAsia="zh-CN"/>
              </w:rPr>
              <w:t>L/（m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道路及绿化均为非雨天每天</w:t>
            </w:r>
            <w:r>
              <w:rPr>
                <w:rFonts w:hint="default" w:ascii="Times New Roman" w:hAnsi="Times New Roman" w:eastAsia="宋体" w:cs="Times New Roman"/>
                <w:color w:val="auto"/>
                <w:sz w:val="24"/>
                <w:szCs w:val="24"/>
                <w:highlight w:val="none"/>
                <w:lang w:val="en-US" w:eastAsia="zh-CN"/>
              </w:rPr>
              <w:t>浇洒</w:t>
            </w:r>
            <w:r>
              <w:rPr>
                <w:rFonts w:hint="eastAsia"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eastAsia="zh-CN"/>
              </w:rPr>
              <w:t>则</w:t>
            </w:r>
            <w:r>
              <w:rPr>
                <w:rFonts w:hint="default" w:ascii="Times New Roman" w:hAnsi="Times New Roman" w:eastAsia="宋体" w:cs="Times New Roman"/>
                <w:b w:val="0"/>
                <w:bCs w:val="0"/>
                <w:color w:val="auto"/>
                <w:sz w:val="24"/>
                <w:szCs w:val="24"/>
                <w:highlight w:val="none"/>
                <w:lang w:val="en-US" w:eastAsia="zh-CN"/>
              </w:rPr>
              <w:t>项目绿化及</w:t>
            </w:r>
            <w:r>
              <w:rPr>
                <w:rFonts w:hint="default" w:ascii="Times New Roman" w:hAnsi="Times New Roman" w:eastAsia="宋体" w:cs="Times New Roman"/>
                <w:color w:val="auto"/>
                <w:sz w:val="24"/>
                <w:szCs w:val="24"/>
                <w:highlight w:val="none"/>
                <w:lang w:val="en-US" w:eastAsia="zh-CN"/>
              </w:rPr>
              <w:t>道路场地</w:t>
            </w:r>
            <w:r>
              <w:rPr>
                <w:rFonts w:hint="default" w:ascii="Times New Roman" w:hAnsi="Times New Roman" w:eastAsia="宋体" w:cs="Times New Roman"/>
                <w:b w:val="0"/>
                <w:bCs w:val="0"/>
                <w:color w:val="auto"/>
                <w:sz w:val="24"/>
                <w:szCs w:val="24"/>
                <w:highlight w:val="none"/>
                <w:lang w:val="en-US" w:eastAsia="zh-CN"/>
              </w:rPr>
              <w:t>洒水</w:t>
            </w:r>
            <w:r>
              <w:rPr>
                <w:rFonts w:hint="default" w:ascii="Times New Roman" w:hAnsi="Times New Roman" w:eastAsia="宋体" w:cs="Times New Roman"/>
                <w:b w:val="0"/>
                <w:bCs w:val="0"/>
                <w:color w:val="auto"/>
                <w:sz w:val="24"/>
                <w:szCs w:val="24"/>
                <w:highlight w:val="none"/>
                <w:lang w:eastAsia="zh-CN"/>
              </w:rPr>
              <w:t>用水</w:t>
            </w:r>
            <w:r>
              <w:rPr>
                <w:rFonts w:hint="default" w:ascii="Times New Roman" w:hAnsi="Times New Roman" w:eastAsia="宋体" w:cs="Times New Roman"/>
                <w:b w:val="0"/>
                <w:bCs w:val="0"/>
                <w:color w:val="auto"/>
                <w:sz w:val="24"/>
                <w:szCs w:val="24"/>
                <w:highlight w:val="none"/>
                <w:lang w:val="en-US" w:eastAsia="zh-CN"/>
              </w:rPr>
              <w:t>量为</w:t>
            </w:r>
            <w:r>
              <w:rPr>
                <w:rFonts w:hint="eastAsia" w:cs="Times New Roman"/>
                <w:b w:val="0"/>
                <w:bCs w:val="0"/>
                <w:color w:val="auto"/>
                <w:sz w:val="24"/>
                <w:szCs w:val="24"/>
                <w:highlight w:val="none"/>
                <w:lang w:val="en-US" w:eastAsia="zh-CN"/>
              </w:rPr>
              <w:t>98.5798</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eastAsia" w:cs="Times New Roman"/>
                <w:color w:val="auto"/>
                <w:sz w:val="24"/>
                <w:szCs w:val="24"/>
                <w:highlight w:val="none"/>
                <w:lang w:val="en-US" w:eastAsia="zh-CN"/>
              </w:rPr>
              <w:t>20603.1782</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非雨天按209d计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绿化及道路场地洒水使用</w:t>
            </w:r>
            <w:r>
              <w:rPr>
                <w:rFonts w:hint="eastAsia" w:ascii="Times New Roman" w:hAnsi="Times New Roman" w:eastAsia="宋体" w:cs="Times New Roman"/>
                <w:b w:val="0"/>
                <w:bCs w:val="0"/>
                <w:color w:val="auto"/>
                <w:sz w:val="24"/>
                <w:szCs w:val="24"/>
                <w:highlight w:val="none"/>
                <w:lang w:val="en-US" w:eastAsia="zh-CN"/>
              </w:rPr>
              <w:t>处理后的初期雨水和办公生活污水、化验废水，</w:t>
            </w:r>
            <w:r>
              <w:rPr>
                <w:rFonts w:hint="default" w:ascii="Times New Roman" w:hAnsi="Times New Roman" w:eastAsia="宋体" w:cs="Times New Roman"/>
                <w:b w:val="0"/>
                <w:bCs w:val="0"/>
                <w:color w:val="auto"/>
                <w:sz w:val="24"/>
                <w:szCs w:val="24"/>
                <w:highlight w:val="none"/>
                <w:lang w:val="en-US" w:eastAsia="zh-CN"/>
              </w:rPr>
              <w:t>不足部分补充新鲜水，洒水后水分自然蒸发，不产生废水。</w:t>
            </w:r>
          </w:p>
          <w:p w14:paraId="2FEDE520">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firstLineChars="200"/>
              <w:jc w:val="both"/>
              <w:textAlignment w:val="auto"/>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pPr>
            <w:r>
              <w:rPr>
                <w:rFonts w:hint="eastAsia" w:cs="Times New Roman"/>
                <w:b/>
                <w:bCs/>
                <w:caps w:val="0"/>
                <w:snapToGrid w:val="0"/>
                <w:color w:val="auto"/>
                <w:spacing w:val="0"/>
                <w:w w:val="100"/>
                <w:kern w:val="2"/>
                <w:position w:val="0"/>
                <w:sz w:val="24"/>
                <w:szCs w:val="24"/>
                <w:highlight w:val="none"/>
                <w:lang w:val="en-US" w:eastAsia="zh-CN" w:bidi="ar-SA"/>
              </w:rPr>
              <w:t>6</w:t>
            </w:r>
            <w:r>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t>）生活用水</w:t>
            </w:r>
          </w:p>
          <w:p w14:paraId="6AAD722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bidi="en-US"/>
              </w:rPr>
            </w:pPr>
            <w:r>
              <w:rPr>
                <w:rFonts w:hint="default" w:ascii="Times New Roman" w:hAnsi="Times New Roman" w:eastAsia="宋体" w:cs="Times New Roman"/>
                <w:color w:val="auto"/>
                <w:sz w:val="24"/>
                <w:szCs w:val="24"/>
                <w:highlight w:val="none"/>
              </w:rPr>
              <w:t>项目劳动定员</w:t>
            </w:r>
            <w:r>
              <w:rPr>
                <w:rFonts w:hint="eastAsia"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rPr>
              <w:t>人，全年工作</w:t>
            </w:r>
            <w:r>
              <w:rPr>
                <w:rFonts w:hint="eastAsia"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rPr>
              <w:t>0天</w:t>
            </w:r>
            <w:r>
              <w:rPr>
                <w:rFonts w:hint="default" w:ascii="Times New Roman" w:hAnsi="Times New Roman" w:eastAsia="宋体" w:cs="Times New Roman"/>
                <w:color w:val="auto"/>
                <w:sz w:val="24"/>
                <w:szCs w:val="24"/>
                <w:highlight w:val="none"/>
                <w:lang w:eastAsia="zh-CN"/>
              </w:rPr>
              <w:t>，</w:t>
            </w:r>
            <w:r>
              <w:rPr>
                <w:color w:val="auto"/>
                <w:sz w:val="24"/>
                <w:highlight w:val="none"/>
              </w:rPr>
              <w:t>项目区内</w:t>
            </w:r>
            <w:r>
              <w:rPr>
                <w:rFonts w:hint="eastAsia"/>
                <w:color w:val="auto"/>
                <w:sz w:val="24"/>
                <w:highlight w:val="none"/>
                <w:lang w:eastAsia="zh-CN"/>
              </w:rPr>
              <w:t>不</w:t>
            </w:r>
            <w:r>
              <w:rPr>
                <w:color w:val="auto"/>
                <w:sz w:val="24"/>
                <w:highlight w:val="none"/>
              </w:rPr>
              <w:t>设食宿，</w:t>
            </w:r>
            <w:r>
              <w:rPr>
                <w:rFonts w:hint="default" w:ascii="Times New Roman" w:hAnsi="Times New Roman" w:eastAsia="宋体" w:cs="Times New Roman"/>
                <w:color w:val="auto"/>
                <w:sz w:val="24"/>
                <w:highlight w:val="none"/>
              </w:rPr>
              <w:t>因此生活污水主要为</w:t>
            </w:r>
            <w:r>
              <w:rPr>
                <w:rFonts w:hint="eastAsia" w:cs="Times New Roman"/>
                <w:color w:val="auto"/>
                <w:sz w:val="24"/>
                <w:highlight w:val="none"/>
                <w:lang w:eastAsia="zh-CN"/>
              </w:rPr>
              <w:t>办公</w:t>
            </w:r>
            <w:r>
              <w:rPr>
                <w:rFonts w:hint="default" w:ascii="Times New Roman" w:hAnsi="Times New Roman" w:eastAsia="宋体" w:cs="Times New Roman"/>
                <w:color w:val="auto"/>
                <w:sz w:val="24"/>
                <w:highlight w:val="none"/>
              </w:rPr>
              <w:t>生活污水。</w:t>
            </w:r>
          </w:p>
          <w:p w14:paraId="3120CA28">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highlight w:val="none"/>
              </w:rPr>
            </w:pPr>
            <w:r>
              <w:rPr>
                <w:bCs/>
                <w:color w:val="auto"/>
                <w:sz w:val="24"/>
                <w:highlight w:val="none"/>
              </w:rPr>
              <w:t>项目区内</w:t>
            </w:r>
            <w:r>
              <w:rPr>
                <w:rFonts w:hint="eastAsia"/>
                <w:bCs/>
                <w:color w:val="auto"/>
                <w:sz w:val="24"/>
                <w:highlight w:val="none"/>
                <w:lang w:eastAsia="zh-CN"/>
              </w:rPr>
              <w:t>不设食宿，主要为</w:t>
            </w:r>
            <w:r>
              <w:rPr>
                <w:bCs/>
                <w:color w:val="auto"/>
                <w:sz w:val="24"/>
                <w:highlight w:val="none"/>
              </w:rPr>
              <w:t>办公生活污水，</w:t>
            </w:r>
            <w:r>
              <w:rPr>
                <w:rFonts w:hint="eastAsia" w:cs="宋体"/>
                <w:color w:val="auto"/>
                <w:sz w:val="24"/>
                <w:szCs w:val="22"/>
                <w:highlight w:val="none"/>
              </w:rPr>
              <w:t>根据《云南省地方标准用水定额》（DB53/T168-2019）“国家机构 办公楼 无食堂”用水量按30L/（人·d）计</w:t>
            </w:r>
            <w:r>
              <w:rPr>
                <w:rFonts w:hint="default"/>
                <w:bCs/>
                <w:color w:val="auto"/>
                <w:sz w:val="24"/>
                <w:highlight w:val="none"/>
              </w:rPr>
              <w:t>。</w:t>
            </w:r>
            <w:r>
              <w:rPr>
                <w:rFonts w:hint="eastAsia"/>
                <w:bCs/>
                <w:color w:val="auto"/>
                <w:sz w:val="24"/>
                <w:highlight w:val="none"/>
                <w:lang w:val="zh-CN"/>
              </w:rPr>
              <w:t>则</w:t>
            </w:r>
            <w:r>
              <w:rPr>
                <w:rFonts w:hint="eastAsia"/>
                <w:bCs/>
                <w:color w:val="auto"/>
                <w:sz w:val="24"/>
                <w:highlight w:val="none"/>
                <w:lang w:eastAsia="zh-CN"/>
              </w:rPr>
              <w:t>办公生活</w:t>
            </w:r>
            <w:r>
              <w:rPr>
                <w:rFonts w:hint="eastAsia"/>
                <w:bCs/>
                <w:color w:val="auto"/>
                <w:sz w:val="24"/>
                <w:highlight w:val="none"/>
                <w:lang w:val="zh-CN"/>
              </w:rPr>
              <w:t>用水量</w:t>
            </w:r>
            <w:r>
              <w:rPr>
                <w:color w:val="auto"/>
                <w:sz w:val="24"/>
                <w:highlight w:val="none"/>
                <w:lang w:val="zh-CN"/>
              </w:rPr>
              <w:t>约</w:t>
            </w:r>
            <w:r>
              <w:rPr>
                <w:rFonts w:hint="eastAsia"/>
                <w:color w:val="auto"/>
                <w:sz w:val="24"/>
                <w:highlight w:val="none"/>
                <w:lang w:val="en-US" w:eastAsia="zh-CN"/>
              </w:rPr>
              <w:t>2.55</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val="en-US" w:eastAsia="zh-CN"/>
              </w:rPr>
              <w:t>714</w:t>
            </w:r>
            <w:r>
              <w:rPr>
                <w:color w:val="auto"/>
                <w:sz w:val="24"/>
                <w:highlight w:val="none"/>
              </w:rPr>
              <w:t>m</w:t>
            </w:r>
            <w:r>
              <w:rPr>
                <w:color w:val="auto"/>
                <w:sz w:val="24"/>
                <w:highlight w:val="none"/>
                <w:vertAlign w:val="superscript"/>
              </w:rPr>
              <w:t>3</w:t>
            </w:r>
            <w:r>
              <w:rPr>
                <w:color w:val="auto"/>
                <w:sz w:val="24"/>
                <w:highlight w:val="none"/>
              </w:rPr>
              <w:t>/a；废水产生量按用水量的80%计，则废水量为</w:t>
            </w:r>
            <w:r>
              <w:rPr>
                <w:rFonts w:hint="eastAsia"/>
                <w:color w:val="auto"/>
                <w:sz w:val="24"/>
                <w:highlight w:val="none"/>
                <w:lang w:val="en-US" w:eastAsia="zh-CN"/>
              </w:rPr>
              <w:t>2.04</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val="en-US" w:eastAsia="zh-CN"/>
              </w:rPr>
              <w:t>571.2</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eastAsia="zh-CN"/>
              </w:rPr>
              <w:t>。</w:t>
            </w:r>
          </w:p>
          <w:p w14:paraId="2BA6A790">
            <w:pPr>
              <w:keepNext w:val="0"/>
              <w:keepLines w:val="0"/>
              <w:pageBreakBefore w:val="0"/>
              <w:widowControl w:val="0"/>
              <w:numPr>
                <w:ilvl w:val="0"/>
                <w:numId w:val="0"/>
              </w:numPr>
              <w:tabs>
                <w:tab w:val="left" w:pos="933"/>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cs="Times New Roman"/>
                <w:color w:val="auto"/>
                <w:kern w:val="2"/>
                <w:sz w:val="21"/>
                <w:szCs w:val="24"/>
                <w:highlight w:val="none"/>
                <w:vertAlign w:val="baseline"/>
                <w:lang w:val="en-US" w:eastAsia="zh-CN" w:bidi="ar-SA"/>
              </w:rPr>
            </w:pPr>
            <w:r>
              <w:rPr>
                <w:rFonts w:hint="eastAsia" w:cs="Times New Roman"/>
                <w:b w:val="0"/>
                <w:bCs w:val="0"/>
                <w:color w:val="auto"/>
                <w:sz w:val="24"/>
                <w:szCs w:val="24"/>
                <w:highlight w:val="none"/>
                <w:lang w:eastAsia="zh-CN"/>
              </w:rPr>
              <w:t>根据烟气露点及冷凝水计算结果（详见附件</w:t>
            </w:r>
            <w:r>
              <w:rPr>
                <w:rFonts w:hint="eastAsia" w:cs="Times New Roman"/>
                <w:b w:val="0"/>
                <w:bCs w:val="0"/>
                <w:color w:val="auto"/>
                <w:sz w:val="24"/>
                <w:szCs w:val="24"/>
                <w:highlight w:val="none"/>
                <w:lang w:val="en-US" w:eastAsia="zh-CN"/>
              </w:rPr>
              <w:t>15</w:t>
            </w:r>
            <w:r>
              <w:rPr>
                <w:rFonts w:hint="eastAsia" w:cs="Times New Roman"/>
                <w:b w:val="0"/>
                <w:bCs w:val="0"/>
                <w:color w:val="auto"/>
                <w:sz w:val="24"/>
                <w:szCs w:val="24"/>
                <w:highlight w:val="none"/>
                <w:lang w:eastAsia="zh-CN"/>
              </w:rPr>
              <w:t>），烘干废气（</w:t>
            </w:r>
            <w:r>
              <w:rPr>
                <w:rFonts w:hint="eastAsia" w:cs="Times New Roman"/>
                <w:b w:val="0"/>
                <w:bCs w:val="0"/>
                <w:color w:val="auto"/>
                <w:sz w:val="24"/>
                <w:szCs w:val="24"/>
                <w:highlight w:val="none"/>
                <w:lang w:val="en-US" w:eastAsia="zh-CN"/>
              </w:rPr>
              <w:t>DA005</w:t>
            </w:r>
            <w:r>
              <w:rPr>
                <w:rFonts w:hint="eastAsia" w:cs="Times New Roman"/>
                <w:b w:val="0"/>
                <w:bCs w:val="0"/>
                <w:color w:val="auto"/>
                <w:sz w:val="24"/>
                <w:szCs w:val="24"/>
                <w:highlight w:val="none"/>
                <w:lang w:eastAsia="zh-CN"/>
              </w:rPr>
              <w:t>）</w:t>
            </w:r>
            <w:r>
              <w:rPr>
                <w:rFonts w:hint="eastAsia" w:cs="Times New Roman"/>
                <w:b w:val="0"/>
                <w:bCs w:val="0"/>
                <w:color w:val="auto"/>
                <w:kern w:val="2"/>
                <w:sz w:val="24"/>
                <w:szCs w:val="24"/>
                <w:highlight w:val="none"/>
                <w:vertAlign w:val="baseline"/>
                <w:lang w:val="en-US" w:eastAsia="zh-CN" w:bidi="ar-SA"/>
              </w:rPr>
              <w:t>排烟温度控制在65度以上，不会有结露现象，不会产生冷凝水。</w:t>
            </w:r>
          </w:p>
          <w:p w14:paraId="6704EBE9">
            <w:pPr>
              <w:pStyle w:val="82"/>
              <w:keepNext w:val="0"/>
              <w:keepLines w:val="0"/>
              <w:pageBreakBefore w:val="0"/>
              <w:widowControl w:val="0"/>
              <w:kinsoku/>
              <w:wordWrap/>
              <w:overflowPunct/>
              <w:topLinePunct w:val="0"/>
              <w:autoSpaceDE/>
              <w:autoSpaceDN/>
              <w:bidi w:val="0"/>
              <w:spacing w:beforeLines="0" w:afterLines="0" w:line="360" w:lineRule="auto"/>
              <w:ind w:left="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）项目用排水情况汇总统计</w:t>
            </w:r>
          </w:p>
          <w:p w14:paraId="5485D22F">
            <w:pPr>
              <w:adjustRightInd w:val="0"/>
              <w:snapToGrid w:val="0"/>
              <w:spacing w:line="360" w:lineRule="auto"/>
              <w:ind w:firstLine="480" w:firstLineChars="200"/>
              <w:rPr>
                <w:rFonts w:hint="eastAsia" w:eastAsia="宋体" w:cs="Times New Roman"/>
                <w:b/>
                <w:bCs/>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项目排水采用雨污分流的排水方式，</w:t>
            </w:r>
            <w:r>
              <w:rPr>
                <w:rFonts w:hint="eastAsia" w:cs="Times New Roman"/>
                <w:caps w:val="0"/>
                <w:snapToGrid w:val="0"/>
                <w:color w:val="auto"/>
                <w:spacing w:val="0"/>
                <w:w w:val="100"/>
                <w:kern w:val="2"/>
                <w:position w:val="0"/>
                <w:sz w:val="24"/>
                <w:szCs w:val="24"/>
                <w:highlight w:val="none"/>
                <w:lang w:val="en-US" w:eastAsia="zh-CN" w:bidi="ar-SA"/>
              </w:rPr>
              <w:t>设备冷却废水</w:t>
            </w:r>
            <w:r>
              <w:rPr>
                <w:rFonts w:hint="default" w:ascii="Times New Roman" w:hAnsi="Times New Roman" w:eastAsia="宋体" w:cs="Times New Roman"/>
                <w:bCs/>
                <w:color w:val="auto"/>
                <w:kern w:val="2"/>
                <w:sz w:val="24"/>
                <w:szCs w:val="24"/>
                <w:highlight w:val="none"/>
                <w:lang w:val="en-US" w:eastAsia="zh-CN" w:bidi="ar-SA"/>
              </w:rPr>
              <w:t>经循环冷却</w:t>
            </w:r>
            <w:r>
              <w:rPr>
                <w:rFonts w:hint="default" w:ascii="Times New Roman" w:hAnsi="Times New Roman" w:eastAsia="宋体" w:cs="Times New Roman"/>
                <w:color w:val="auto"/>
                <w:sz w:val="24"/>
                <w:highlight w:val="none"/>
              </w:rPr>
              <w:t>池冷却后循环使用不外排</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w:t>
            </w:r>
            <w:r>
              <w:rPr>
                <w:rFonts w:hint="eastAsia"/>
                <w:color w:val="auto"/>
                <w:sz w:val="24"/>
                <w:highlight w:val="none"/>
              </w:rPr>
              <w:t>化验后的</w:t>
            </w:r>
            <w:r>
              <w:rPr>
                <w:color w:val="auto"/>
                <w:sz w:val="24"/>
                <w:highlight w:val="none"/>
              </w:rPr>
              <w:t>容器</w:t>
            </w:r>
            <w:r>
              <w:rPr>
                <w:rFonts w:hint="eastAsia"/>
                <w:color w:val="auto"/>
                <w:sz w:val="24"/>
                <w:highlight w:val="none"/>
              </w:rPr>
              <w:t>清洗废水通过投加絮凝剂、加入酸碱中和剂等</w:t>
            </w:r>
            <w:r>
              <w:rPr>
                <w:color w:val="auto"/>
                <w:sz w:val="24"/>
                <w:highlight w:val="none"/>
              </w:rPr>
              <w:t>方式</w:t>
            </w:r>
            <w:r>
              <w:rPr>
                <w:rFonts w:hint="eastAsia"/>
                <w:color w:val="auto"/>
                <w:sz w:val="24"/>
                <w:highlight w:val="none"/>
              </w:rPr>
              <w:t>对</w:t>
            </w:r>
            <w:r>
              <w:rPr>
                <w:color w:val="auto"/>
                <w:sz w:val="24"/>
                <w:highlight w:val="none"/>
              </w:rPr>
              <w:t>废水</w:t>
            </w:r>
            <w:r>
              <w:rPr>
                <w:rFonts w:hint="eastAsia"/>
                <w:color w:val="auto"/>
                <w:sz w:val="24"/>
                <w:highlight w:val="none"/>
              </w:rPr>
              <w:t>进行</w:t>
            </w:r>
            <w:r>
              <w:rPr>
                <w:color w:val="auto"/>
                <w:sz w:val="24"/>
                <w:highlight w:val="none"/>
              </w:rPr>
              <w:t>沉淀</w:t>
            </w:r>
            <w:r>
              <w:rPr>
                <w:rFonts w:hint="eastAsia"/>
                <w:color w:val="auto"/>
                <w:sz w:val="24"/>
                <w:highlight w:val="none"/>
              </w:rPr>
              <w:t>、</w:t>
            </w:r>
            <w:r>
              <w:rPr>
                <w:color w:val="auto"/>
                <w:sz w:val="24"/>
                <w:highlight w:val="none"/>
              </w:rPr>
              <w:t>中和</w:t>
            </w:r>
            <w:r>
              <w:rPr>
                <w:rFonts w:hint="eastAsia"/>
                <w:color w:val="auto"/>
                <w:sz w:val="24"/>
                <w:highlight w:val="none"/>
              </w:rPr>
              <w:t>等</w:t>
            </w:r>
            <w:r>
              <w:rPr>
                <w:color w:val="auto"/>
                <w:sz w:val="24"/>
                <w:highlight w:val="none"/>
              </w:rPr>
              <w:t>简易</w:t>
            </w:r>
            <w:r>
              <w:rPr>
                <w:rFonts w:hint="eastAsia"/>
                <w:color w:val="auto"/>
                <w:sz w:val="24"/>
                <w:highlight w:val="none"/>
              </w:rPr>
              <w:t>处理</w:t>
            </w:r>
            <w:r>
              <w:rPr>
                <w:color w:val="auto"/>
                <w:sz w:val="24"/>
                <w:highlight w:val="none"/>
              </w:rPr>
              <w:t>，</w:t>
            </w:r>
            <w:r>
              <w:rPr>
                <w:rFonts w:hint="eastAsia"/>
                <w:color w:val="auto"/>
                <w:sz w:val="24"/>
                <w:highlight w:val="none"/>
              </w:rPr>
              <w:t>处理后的废水排入厂内拟建的</w:t>
            </w:r>
            <w:r>
              <w:rPr>
                <w:rFonts w:hint="eastAsia"/>
                <w:color w:val="auto"/>
                <w:sz w:val="24"/>
                <w:highlight w:val="none"/>
                <w:lang w:eastAsia="zh-CN"/>
              </w:rPr>
              <w:t>污水</w:t>
            </w:r>
            <w:r>
              <w:rPr>
                <w:rFonts w:hint="eastAsia"/>
                <w:color w:val="auto"/>
                <w:sz w:val="24"/>
                <w:highlight w:val="none"/>
              </w:rPr>
              <w:t>处理站统一处置</w:t>
            </w:r>
            <w:r>
              <w:rPr>
                <w:rFonts w:hint="eastAsia"/>
                <w:color w:val="auto"/>
                <w:sz w:val="24"/>
                <w:highlight w:val="none"/>
                <w:lang w:eastAsia="zh-CN"/>
              </w:rPr>
              <w:t>；</w:t>
            </w:r>
            <w:r>
              <w:rPr>
                <w:rFonts w:hint="eastAsia"/>
                <w:color w:val="auto"/>
                <w:sz w:val="24"/>
                <w:highlight w:val="none"/>
                <w:lang w:val="en-US" w:eastAsia="zh-CN"/>
              </w:rPr>
              <w:t>吸收氨气的清水浓度大于10%时直接作为脱硝使用喷入炉膛内</w:t>
            </w:r>
            <w:r>
              <w:rPr>
                <w:rFonts w:hint="eastAsia" w:cs="Times New Roman"/>
                <w:color w:val="auto"/>
                <w:sz w:val="24"/>
                <w:highlight w:val="none"/>
                <w:vertAlign w:val="baseline"/>
                <w:lang w:val="en-US" w:eastAsia="zh-CN"/>
              </w:rPr>
              <w:t>，不外排；</w:t>
            </w:r>
            <w:r>
              <w:rPr>
                <w:rFonts w:hint="default" w:ascii="Times New Roman" w:hAnsi="Times New Roman" w:eastAsia="宋体" w:cs="Times New Roman"/>
                <w:color w:val="auto"/>
                <w:sz w:val="24"/>
                <w:highlight w:val="none"/>
              </w:rPr>
              <w:t>初期雨水</w:t>
            </w:r>
            <w:r>
              <w:rPr>
                <w:rFonts w:hint="eastAsia" w:ascii="Times New Roman" w:hAnsi="Times New Roman" w:eastAsia="宋体" w:cs="Times New Roman"/>
                <w:color w:val="auto"/>
                <w:sz w:val="24"/>
                <w:highlight w:val="none"/>
                <w:lang w:eastAsia="zh-CN"/>
              </w:rPr>
              <w:t>经沉淀</w:t>
            </w:r>
            <w:r>
              <w:rPr>
                <w:rFonts w:hint="default" w:ascii="Times New Roman" w:hAnsi="Times New Roman" w:eastAsia="宋体" w:cs="Times New Roman"/>
                <w:color w:val="auto"/>
                <w:sz w:val="24"/>
                <w:highlight w:val="none"/>
              </w:rPr>
              <w:t>处理后回用</w:t>
            </w:r>
            <w:r>
              <w:rPr>
                <w:rFonts w:hint="default" w:ascii="Times New Roman" w:hAnsi="Times New Roman" w:eastAsia="宋体" w:cs="Times New Roman"/>
                <w:color w:val="auto"/>
                <w:sz w:val="24"/>
                <w:highlight w:val="none"/>
                <w:lang w:val="en-US" w:eastAsia="zh-CN"/>
              </w:rPr>
              <w:t>于</w:t>
            </w:r>
            <w:r>
              <w:rPr>
                <w:rFonts w:hint="eastAsia" w:ascii="Times New Roman" w:hAnsi="Times New Roman" w:eastAsia="宋体" w:cs="Times New Roman"/>
                <w:color w:val="auto"/>
                <w:sz w:val="24"/>
                <w:highlight w:val="none"/>
                <w:lang w:eastAsia="zh-CN"/>
              </w:rPr>
              <w:t>厂区洒水抑尘</w:t>
            </w:r>
            <w:r>
              <w:rPr>
                <w:rFonts w:hint="default" w:ascii="Times New Roman" w:hAnsi="Times New Roman" w:eastAsia="宋体" w:cs="Times New Roman"/>
                <w:color w:val="auto"/>
                <w:sz w:val="24"/>
                <w:highlight w:val="none"/>
              </w:rPr>
              <w:t>，不外排</w:t>
            </w:r>
            <w:r>
              <w:rPr>
                <w:rFonts w:hint="eastAsia" w:ascii="Times New Roman" w:hAnsi="Times New Roman" w:eastAsia="宋体" w:cs="Times New Roman"/>
                <w:color w:val="auto"/>
                <w:sz w:val="24"/>
                <w:highlight w:val="none"/>
                <w:lang w:eastAsia="zh-CN"/>
              </w:rPr>
              <w:t>；</w:t>
            </w:r>
          </w:p>
          <w:p w14:paraId="4FAA83CD">
            <w:pPr>
              <w:pStyle w:val="82"/>
              <w:keepNext w:val="0"/>
              <w:keepLines w:val="0"/>
              <w:pageBreakBefore w:val="0"/>
              <w:widowControl w:val="0"/>
              <w:kinsoku/>
              <w:wordWrap/>
              <w:overflowPunct/>
              <w:topLinePunct w:val="0"/>
              <w:autoSpaceDE/>
              <w:autoSpaceDN/>
              <w:bidi w:val="0"/>
              <w:spacing w:beforeLines="0" w:afterLines="0" w:line="360"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办公生活污水</w:t>
            </w:r>
            <w:r>
              <w:rPr>
                <w:rFonts w:hint="eastAsia" w:cs="Times New Roman"/>
                <w:caps w:val="0"/>
                <w:snapToGrid w:val="0"/>
                <w:color w:val="auto"/>
                <w:spacing w:val="0"/>
                <w:w w:val="100"/>
                <w:kern w:val="2"/>
                <w:position w:val="0"/>
                <w:sz w:val="24"/>
                <w:szCs w:val="24"/>
                <w:highlight w:val="none"/>
                <w:lang w:val="en-US" w:eastAsia="zh-CN" w:bidi="ar-SA"/>
              </w:rPr>
              <w:t>排入</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化粪</w:t>
            </w:r>
            <w:r>
              <w:rPr>
                <w:rFonts w:hint="eastAsia" w:cs="Times New Roman"/>
                <w:caps w:val="0"/>
                <w:snapToGrid w:val="0"/>
                <w:color w:val="auto"/>
                <w:spacing w:val="0"/>
                <w:w w:val="100"/>
                <w:kern w:val="2"/>
                <w:position w:val="0"/>
                <w:sz w:val="24"/>
                <w:szCs w:val="24"/>
                <w:highlight w:val="none"/>
                <w:lang w:val="en-US" w:eastAsia="zh-CN" w:bidi="ar-SA"/>
              </w:rPr>
              <w:t>池处理后同化验废水一并进入</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地埋式一体化污水处理站处理达《城市污水再生利用 城市杂用水水质》（GB/T18920-2020）中的城市绿化、道路清扫、消防、建筑施工标准后，用于项目区内绿化及道路场地洒水降尘，不外排。</w:t>
            </w:r>
          </w:p>
          <w:p w14:paraId="41399463">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综上，项目用水量、污水排放量详见表</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2</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r>
              <w:rPr>
                <w:rFonts w:hint="eastAsia" w:cs="Times New Roman"/>
                <w:caps w:val="0"/>
                <w:snapToGrid w:val="0"/>
                <w:color w:val="auto"/>
                <w:spacing w:val="0"/>
                <w:w w:val="100"/>
                <w:kern w:val="2"/>
                <w:position w:val="0"/>
                <w:sz w:val="24"/>
                <w:szCs w:val="24"/>
                <w:highlight w:val="none"/>
                <w:lang w:val="en-US" w:eastAsia="zh-CN" w:bidi="ar-SA"/>
              </w:rPr>
              <w:t>10。</w:t>
            </w:r>
          </w:p>
          <w:p w14:paraId="036E6826">
            <w:pPr>
              <w:tabs>
                <w:tab w:val="left" w:pos="1050"/>
                <w:tab w:val="center" w:pos="4314"/>
              </w:tabs>
              <w:adjustRightInd w:val="0"/>
              <w:snapToGrid w:val="0"/>
              <w:spacing w:line="360" w:lineRule="auto"/>
              <w:jc w:val="center"/>
              <w:rPr>
                <w:rFonts w:hint="eastAsia"/>
                <w:b/>
                <w:bCs w:val="0"/>
                <w:color w:val="auto"/>
                <w:szCs w:val="21"/>
                <w:highlight w:val="none"/>
              </w:rPr>
            </w:pPr>
            <w:r>
              <w:rPr>
                <w:b/>
                <w:bCs w:val="0"/>
                <w:color w:val="auto"/>
                <w:szCs w:val="21"/>
                <w:highlight w:val="none"/>
              </w:rPr>
              <w:t>表</w:t>
            </w:r>
            <w:r>
              <w:rPr>
                <w:rFonts w:hint="eastAsia"/>
                <w:b/>
                <w:bCs w:val="0"/>
                <w:color w:val="auto"/>
                <w:szCs w:val="21"/>
                <w:highlight w:val="none"/>
                <w:lang w:val="en-US" w:eastAsia="zh-CN"/>
              </w:rPr>
              <w:t>2-10</w:t>
            </w:r>
            <w:r>
              <w:rPr>
                <w:b/>
                <w:bCs w:val="0"/>
                <w:color w:val="auto"/>
                <w:szCs w:val="21"/>
                <w:highlight w:val="none"/>
              </w:rPr>
              <w:t xml:space="preserve">  </w:t>
            </w:r>
            <w:r>
              <w:rPr>
                <w:rFonts w:hint="eastAsia"/>
                <w:b/>
                <w:bCs w:val="0"/>
                <w:color w:val="auto"/>
                <w:szCs w:val="21"/>
                <w:highlight w:val="none"/>
                <w:lang w:eastAsia="zh-CN"/>
              </w:rPr>
              <w:t>项目</w:t>
            </w:r>
            <w:r>
              <w:rPr>
                <w:rFonts w:hint="eastAsia"/>
                <w:b/>
                <w:bCs w:val="0"/>
                <w:color w:val="auto"/>
                <w:szCs w:val="21"/>
                <w:highlight w:val="none"/>
              </w:rPr>
              <w:t>用排水情况一览表</w:t>
            </w:r>
          </w:p>
          <w:tbl>
            <w:tblPr>
              <w:tblStyle w:val="27"/>
              <w:tblW w:w="8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
              <w:gridCol w:w="1004"/>
              <w:gridCol w:w="1084"/>
              <w:gridCol w:w="1125"/>
              <w:gridCol w:w="1010"/>
              <w:gridCol w:w="1202"/>
              <w:gridCol w:w="435"/>
              <w:gridCol w:w="819"/>
              <w:gridCol w:w="1105"/>
            </w:tblGrid>
            <w:tr w14:paraId="5B94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1" w:type="dxa"/>
                  <w:gridSpan w:val="2"/>
                  <w:vMerge w:val="restart"/>
                  <w:noWrap w:val="0"/>
                  <w:vAlign w:val="center"/>
                </w:tcPr>
                <w:p w14:paraId="0F85C202">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项目</w:t>
                  </w:r>
                </w:p>
              </w:tc>
              <w:tc>
                <w:tcPr>
                  <w:tcW w:w="1084" w:type="dxa"/>
                  <w:vMerge w:val="restart"/>
                  <w:noWrap w:val="0"/>
                  <w:vAlign w:val="center"/>
                </w:tcPr>
                <w:p w14:paraId="56653255">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用水定额</w:t>
                  </w:r>
                </w:p>
              </w:tc>
              <w:tc>
                <w:tcPr>
                  <w:tcW w:w="1125" w:type="dxa"/>
                  <w:vMerge w:val="restart"/>
                  <w:noWrap w:val="0"/>
                  <w:vAlign w:val="center"/>
                </w:tcPr>
                <w:p w14:paraId="3ED1240D">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数量</w:t>
                  </w:r>
                </w:p>
              </w:tc>
              <w:tc>
                <w:tcPr>
                  <w:tcW w:w="2212" w:type="dxa"/>
                  <w:gridSpan w:val="2"/>
                  <w:noWrap w:val="0"/>
                  <w:vAlign w:val="center"/>
                </w:tcPr>
                <w:p w14:paraId="75994032">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用水量</w:t>
                  </w:r>
                </w:p>
              </w:tc>
              <w:tc>
                <w:tcPr>
                  <w:tcW w:w="435" w:type="dxa"/>
                  <w:vMerge w:val="restart"/>
                  <w:noWrap w:val="0"/>
                  <w:vAlign w:val="center"/>
                </w:tcPr>
                <w:p w14:paraId="74C5B417">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产污率</w:t>
                  </w:r>
                </w:p>
              </w:tc>
              <w:tc>
                <w:tcPr>
                  <w:tcW w:w="1924" w:type="dxa"/>
                  <w:gridSpan w:val="2"/>
                  <w:noWrap w:val="0"/>
                  <w:vAlign w:val="center"/>
                </w:tcPr>
                <w:p w14:paraId="5156A41A">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污水量</w:t>
                  </w:r>
                </w:p>
              </w:tc>
            </w:tr>
            <w:tr w14:paraId="1657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1" w:type="dxa"/>
                  <w:gridSpan w:val="2"/>
                  <w:vMerge w:val="continue"/>
                  <w:noWrap w:val="0"/>
                  <w:vAlign w:val="center"/>
                </w:tcPr>
                <w:p w14:paraId="3D305C39">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1084" w:type="dxa"/>
                  <w:vMerge w:val="continue"/>
                  <w:noWrap w:val="0"/>
                  <w:vAlign w:val="center"/>
                </w:tcPr>
                <w:p w14:paraId="68490BCA">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1125" w:type="dxa"/>
                  <w:vMerge w:val="continue"/>
                  <w:noWrap w:val="0"/>
                  <w:vAlign w:val="center"/>
                </w:tcPr>
                <w:p w14:paraId="5BE667E5">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1010" w:type="dxa"/>
                  <w:noWrap w:val="0"/>
                  <w:vAlign w:val="center"/>
                </w:tcPr>
                <w:p w14:paraId="4A682EE4">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1202" w:type="dxa"/>
                  <w:noWrap w:val="0"/>
                  <w:vAlign w:val="center"/>
                </w:tcPr>
                <w:p w14:paraId="1695540C">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c>
                <w:tcPr>
                  <w:tcW w:w="435" w:type="dxa"/>
                  <w:vMerge w:val="continue"/>
                  <w:noWrap w:val="0"/>
                  <w:vAlign w:val="center"/>
                </w:tcPr>
                <w:p w14:paraId="334AA619">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819" w:type="dxa"/>
                  <w:noWrap w:val="0"/>
                  <w:vAlign w:val="center"/>
                </w:tcPr>
                <w:p w14:paraId="12D1BF49">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1105" w:type="dxa"/>
                  <w:noWrap w:val="0"/>
                  <w:vAlign w:val="center"/>
                </w:tcPr>
                <w:p w14:paraId="57B7BCEF">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r>
            <w:tr w14:paraId="24BB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 w:type="dxa"/>
                  <w:vMerge w:val="restart"/>
                  <w:noWrap w:val="0"/>
                  <w:vAlign w:val="center"/>
                </w:tcPr>
                <w:p w14:paraId="73F65CE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生产</w:t>
                  </w:r>
                </w:p>
              </w:tc>
              <w:tc>
                <w:tcPr>
                  <w:tcW w:w="1004" w:type="dxa"/>
                  <w:noWrap w:val="0"/>
                  <w:vAlign w:val="center"/>
                </w:tcPr>
                <w:p w14:paraId="2FE4500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olor w:val="auto"/>
                      <w:kern w:val="0"/>
                      <w:sz w:val="21"/>
                      <w:szCs w:val="21"/>
                      <w:highlight w:val="none"/>
                    </w:rPr>
                    <w:t>循环</w:t>
                  </w:r>
                  <w:r>
                    <w:rPr>
                      <w:rFonts w:hint="default" w:ascii="Times New Roman" w:hAnsi="Times New Roman" w:eastAsia="宋体" w:cs="Times New Roman"/>
                      <w:color w:val="auto"/>
                      <w:kern w:val="0"/>
                      <w:sz w:val="21"/>
                      <w:szCs w:val="21"/>
                      <w:highlight w:val="none"/>
                      <w:lang w:eastAsia="zh-CN"/>
                    </w:rPr>
                    <w:t>冷却水</w:t>
                  </w:r>
                  <w:r>
                    <w:rPr>
                      <w:rFonts w:hint="default" w:ascii="Times New Roman" w:hAnsi="Times New Roman" w:eastAsia="宋体" w:cs="Times New Roman"/>
                      <w:color w:val="auto"/>
                      <w:kern w:val="0"/>
                      <w:sz w:val="21"/>
                      <w:szCs w:val="21"/>
                      <w:highlight w:val="none"/>
                    </w:rPr>
                    <w:t>用量</w:t>
                  </w:r>
                </w:p>
              </w:tc>
              <w:tc>
                <w:tcPr>
                  <w:tcW w:w="1084" w:type="dxa"/>
                  <w:noWrap w:val="0"/>
                  <w:vAlign w:val="center"/>
                </w:tcPr>
                <w:p w14:paraId="68D9415C">
                  <w:pPr>
                    <w:snapToGrid w:val="0"/>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highlight w:val="none"/>
                      <w:lang w:val="en-US" w:eastAsia="zh-CN"/>
                    </w:rPr>
                    <w:t>52.8</w:t>
                  </w:r>
                  <w:r>
                    <w:rPr>
                      <w:color w:val="auto"/>
                      <w:szCs w:val="21"/>
                      <w:highlight w:val="none"/>
                    </w:rPr>
                    <w:t>m</w:t>
                  </w:r>
                  <w:r>
                    <w:rPr>
                      <w:color w:val="auto"/>
                      <w:szCs w:val="21"/>
                      <w:highlight w:val="none"/>
                      <w:vertAlign w:val="superscript"/>
                    </w:rPr>
                    <w:t>3</w:t>
                  </w:r>
                  <w:r>
                    <w:rPr>
                      <w:color w:val="auto"/>
                      <w:szCs w:val="21"/>
                      <w:highlight w:val="none"/>
                    </w:rPr>
                    <w:t>/</w:t>
                  </w:r>
                  <w:r>
                    <w:rPr>
                      <w:rFonts w:hint="eastAsia"/>
                      <w:color w:val="auto"/>
                      <w:szCs w:val="21"/>
                      <w:highlight w:val="none"/>
                    </w:rPr>
                    <w:t>h</w:t>
                  </w:r>
                </w:p>
              </w:tc>
              <w:tc>
                <w:tcPr>
                  <w:tcW w:w="1125" w:type="dxa"/>
                  <w:noWrap w:val="0"/>
                  <w:vAlign w:val="center"/>
                </w:tcPr>
                <w:p w14:paraId="466D081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100万t/a</w:t>
                  </w:r>
                </w:p>
              </w:tc>
              <w:tc>
                <w:tcPr>
                  <w:tcW w:w="1010" w:type="dxa"/>
                  <w:noWrap w:val="0"/>
                  <w:vAlign w:val="center"/>
                </w:tcPr>
                <w:p w14:paraId="5E400DE4">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1267.2</w:t>
                  </w:r>
                </w:p>
              </w:tc>
              <w:tc>
                <w:tcPr>
                  <w:tcW w:w="1202" w:type="dxa"/>
                  <w:noWrap w:val="0"/>
                  <w:vAlign w:val="center"/>
                </w:tcPr>
                <w:p w14:paraId="406D5303">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354816</w:t>
                  </w:r>
                </w:p>
              </w:tc>
              <w:tc>
                <w:tcPr>
                  <w:tcW w:w="435" w:type="dxa"/>
                  <w:noWrap w:val="0"/>
                  <w:vAlign w:val="center"/>
                </w:tcPr>
                <w:p w14:paraId="4688E7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9" w:type="dxa"/>
                  <w:noWrap w:val="0"/>
                  <w:vAlign w:val="center"/>
                </w:tcPr>
                <w:p w14:paraId="531AF7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105" w:type="dxa"/>
                  <w:noWrap w:val="0"/>
                  <w:vAlign w:val="center"/>
                </w:tcPr>
                <w:p w14:paraId="71AEDB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14:paraId="058D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 w:type="dxa"/>
                  <w:vMerge w:val="continue"/>
                  <w:noWrap w:val="0"/>
                  <w:vAlign w:val="center"/>
                </w:tcPr>
                <w:p w14:paraId="539C22B2">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004" w:type="dxa"/>
                  <w:noWrap w:val="0"/>
                  <w:vAlign w:val="center"/>
                </w:tcPr>
                <w:p w14:paraId="18698DE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olor w:val="auto"/>
                      <w:kern w:val="0"/>
                      <w:sz w:val="21"/>
                      <w:szCs w:val="21"/>
                      <w:highlight w:val="none"/>
                    </w:rPr>
                    <w:t>冷却水</w:t>
                  </w:r>
                  <w:r>
                    <w:rPr>
                      <w:rFonts w:hint="default" w:ascii="Times New Roman" w:hAnsi="Times New Roman" w:eastAsia="宋体" w:cs="Times New Roman"/>
                      <w:color w:val="auto"/>
                      <w:kern w:val="0"/>
                      <w:sz w:val="21"/>
                      <w:szCs w:val="21"/>
                      <w:highlight w:val="none"/>
                      <w:lang w:eastAsia="zh-CN"/>
                    </w:rPr>
                    <w:t>池</w:t>
                  </w:r>
                  <w:r>
                    <w:rPr>
                      <w:rFonts w:hint="default" w:ascii="Times New Roman" w:hAnsi="Times New Roman" w:eastAsia="宋体" w:cs="Times New Roman"/>
                      <w:color w:val="auto"/>
                      <w:kern w:val="0"/>
                      <w:sz w:val="21"/>
                      <w:szCs w:val="21"/>
                      <w:highlight w:val="none"/>
                    </w:rPr>
                    <w:t>补充水</w:t>
                  </w:r>
                </w:p>
              </w:tc>
              <w:tc>
                <w:tcPr>
                  <w:tcW w:w="1084" w:type="dxa"/>
                  <w:noWrap w:val="0"/>
                  <w:vAlign w:val="center"/>
                </w:tcPr>
                <w:p w14:paraId="5B9FB859">
                  <w:pP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1125" w:type="dxa"/>
                  <w:noWrap w:val="0"/>
                  <w:vAlign w:val="center"/>
                </w:tcPr>
                <w:p w14:paraId="302307A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1010" w:type="dxa"/>
                  <w:noWrap w:val="0"/>
                  <w:vAlign w:val="center"/>
                </w:tcPr>
                <w:p w14:paraId="1451EDC3">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84.48</w:t>
                  </w:r>
                </w:p>
              </w:tc>
              <w:tc>
                <w:tcPr>
                  <w:tcW w:w="1202" w:type="dxa"/>
                  <w:noWrap w:val="0"/>
                  <w:vAlign w:val="center"/>
                </w:tcPr>
                <w:p w14:paraId="079011B3">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23654.4</w:t>
                  </w:r>
                </w:p>
              </w:tc>
              <w:tc>
                <w:tcPr>
                  <w:tcW w:w="435" w:type="dxa"/>
                  <w:noWrap w:val="0"/>
                  <w:vAlign w:val="center"/>
                </w:tcPr>
                <w:p w14:paraId="75F4AF02">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819" w:type="dxa"/>
                  <w:noWrap w:val="0"/>
                  <w:vAlign w:val="center"/>
                </w:tcPr>
                <w:p w14:paraId="23768F15">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c>
                <w:tcPr>
                  <w:tcW w:w="1105" w:type="dxa"/>
                  <w:noWrap w:val="0"/>
                  <w:vAlign w:val="center"/>
                </w:tcPr>
                <w:p w14:paraId="0CEDC4AB">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r>
            <w:tr w14:paraId="5C5C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 w:type="dxa"/>
                  <w:noWrap w:val="0"/>
                  <w:vAlign w:val="center"/>
                </w:tcPr>
                <w:p w14:paraId="153C9D6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化验</w:t>
                  </w:r>
                </w:p>
              </w:tc>
              <w:tc>
                <w:tcPr>
                  <w:tcW w:w="1004" w:type="dxa"/>
                  <w:noWrap w:val="0"/>
                  <w:vAlign w:val="center"/>
                </w:tcPr>
                <w:p w14:paraId="05D4326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olor w:val="auto"/>
                      <w:szCs w:val="21"/>
                      <w:highlight w:val="none"/>
                    </w:rPr>
                    <w:t>化验后容器清洗废水</w:t>
                  </w:r>
                </w:p>
              </w:tc>
              <w:tc>
                <w:tcPr>
                  <w:tcW w:w="1084" w:type="dxa"/>
                  <w:noWrap w:val="0"/>
                  <w:vAlign w:val="center"/>
                </w:tcPr>
                <w:p w14:paraId="3A815774">
                  <w:pP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olor w:val="auto"/>
                      <w:szCs w:val="21"/>
                      <w:highlight w:val="none"/>
                    </w:rPr>
                    <w:t>10个煤样/天</w:t>
                  </w:r>
                  <w:r>
                    <w:rPr>
                      <w:rFonts w:hint="eastAsia"/>
                      <w:color w:val="auto"/>
                      <w:szCs w:val="21"/>
                      <w:highlight w:val="none"/>
                      <w:lang w:eastAsia="zh-CN"/>
                    </w:rPr>
                    <w:t>，</w:t>
                  </w:r>
                  <w:r>
                    <w:rPr>
                      <w:rFonts w:hint="eastAsia"/>
                      <w:color w:val="auto"/>
                      <w:szCs w:val="21"/>
                      <w:highlight w:val="none"/>
                    </w:rPr>
                    <w:t>2L/次</w:t>
                  </w:r>
                </w:p>
              </w:tc>
              <w:tc>
                <w:tcPr>
                  <w:tcW w:w="1125" w:type="dxa"/>
                  <w:noWrap w:val="0"/>
                  <w:vAlign w:val="center"/>
                </w:tcPr>
                <w:p w14:paraId="7CB53169">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1010" w:type="dxa"/>
                  <w:noWrap w:val="0"/>
                  <w:vAlign w:val="center"/>
                </w:tcPr>
                <w:p w14:paraId="4B8D889B">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0.02</w:t>
                  </w:r>
                </w:p>
              </w:tc>
              <w:tc>
                <w:tcPr>
                  <w:tcW w:w="1202" w:type="dxa"/>
                  <w:noWrap w:val="0"/>
                  <w:vAlign w:val="center"/>
                </w:tcPr>
                <w:p w14:paraId="75848BBE">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5.6</w:t>
                  </w:r>
                </w:p>
              </w:tc>
              <w:tc>
                <w:tcPr>
                  <w:tcW w:w="435" w:type="dxa"/>
                  <w:noWrap w:val="0"/>
                  <w:vAlign w:val="center"/>
                </w:tcPr>
                <w:p w14:paraId="5D41A3B2">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1.0</w:t>
                  </w:r>
                </w:p>
              </w:tc>
              <w:tc>
                <w:tcPr>
                  <w:tcW w:w="819" w:type="dxa"/>
                  <w:noWrap w:val="0"/>
                  <w:vAlign w:val="center"/>
                </w:tcPr>
                <w:p w14:paraId="40058772">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0.02</w:t>
                  </w:r>
                </w:p>
              </w:tc>
              <w:tc>
                <w:tcPr>
                  <w:tcW w:w="1105" w:type="dxa"/>
                  <w:noWrap w:val="0"/>
                  <w:vAlign w:val="center"/>
                </w:tcPr>
                <w:p w14:paraId="11E2CC17">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5.6</w:t>
                  </w:r>
                </w:p>
              </w:tc>
            </w:tr>
            <w:tr w14:paraId="4035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 w:type="dxa"/>
                  <w:noWrap w:val="0"/>
                  <w:vAlign w:val="center"/>
                </w:tcPr>
                <w:p w14:paraId="0F927951">
                  <w:pPr>
                    <w:snapToGrid w:val="0"/>
                    <w:jc w:val="center"/>
                    <w:rPr>
                      <w:rFonts w:hint="eastAsia"/>
                      <w:color w:val="auto"/>
                      <w:szCs w:val="21"/>
                      <w:highlight w:val="none"/>
                      <w:lang w:val="en-US" w:eastAsia="zh-CN"/>
                    </w:rPr>
                  </w:pPr>
                  <w:r>
                    <w:rPr>
                      <w:rFonts w:hint="eastAsia"/>
                      <w:color w:val="auto"/>
                      <w:szCs w:val="21"/>
                      <w:highlight w:val="none"/>
                      <w:lang w:val="en-US" w:eastAsia="zh-CN"/>
                    </w:rPr>
                    <w:t>废气处理</w:t>
                  </w:r>
                </w:p>
              </w:tc>
              <w:tc>
                <w:tcPr>
                  <w:tcW w:w="1004" w:type="dxa"/>
                  <w:noWrap w:val="0"/>
                  <w:vAlign w:val="center"/>
                </w:tcPr>
                <w:p w14:paraId="1629D33A">
                  <w:pPr>
                    <w:snapToGrid w:val="0"/>
                    <w:jc w:val="center"/>
                    <w:rPr>
                      <w:rFonts w:hint="eastAsia"/>
                      <w:color w:val="auto"/>
                      <w:szCs w:val="21"/>
                      <w:highlight w:val="none"/>
                      <w:lang w:val="en-US" w:eastAsia="zh-CN"/>
                    </w:rPr>
                  </w:pPr>
                  <w:r>
                    <w:rPr>
                      <w:rFonts w:hint="eastAsia"/>
                      <w:color w:val="auto"/>
                      <w:szCs w:val="21"/>
                      <w:highlight w:val="none"/>
                      <w:lang w:val="en-US" w:eastAsia="zh-CN"/>
                    </w:rPr>
                    <w:t>氨气清水罐用水</w:t>
                  </w:r>
                </w:p>
              </w:tc>
              <w:tc>
                <w:tcPr>
                  <w:tcW w:w="1084" w:type="dxa"/>
                  <w:noWrap w:val="0"/>
                  <w:vAlign w:val="center"/>
                </w:tcPr>
                <w:p w14:paraId="5F113B6B">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20t/半年</w:t>
                  </w:r>
                </w:p>
              </w:tc>
              <w:tc>
                <w:tcPr>
                  <w:tcW w:w="1125" w:type="dxa"/>
                  <w:noWrap w:val="0"/>
                  <w:vAlign w:val="center"/>
                </w:tcPr>
                <w:p w14:paraId="62862EAB">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1010" w:type="dxa"/>
                  <w:noWrap w:val="0"/>
                  <w:vAlign w:val="center"/>
                </w:tcPr>
                <w:p w14:paraId="761CD6C5">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0.1290</w:t>
                  </w:r>
                </w:p>
              </w:tc>
              <w:tc>
                <w:tcPr>
                  <w:tcW w:w="1202" w:type="dxa"/>
                  <w:noWrap w:val="0"/>
                  <w:vAlign w:val="center"/>
                </w:tcPr>
                <w:p w14:paraId="51921F3B">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40</w:t>
                  </w:r>
                </w:p>
              </w:tc>
              <w:tc>
                <w:tcPr>
                  <w:tcW w:w="435" w:type="dxa"/>
                  <w:noWrap w:val="0"/>
                  <w:vAlign w:val="center"/>
                </w:tcPr>
                <w:p w14:paraId="0C9D75D4">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819" w:type="dxa"/>
                  <w:noWrap w:val="0"/>
                  <w:vAlign w:val="center"/>
                </w:tcPr>
                <w:p w14:paraId="31CAADD0">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w:t>
                  </w:r>
                </w:p>
              </w:tc>
              <w:tc>
                <w:tcPr>
                  <w:tcW w:w="1105" w:type="dxa"/>
                  <w:noWrap w:val="0"/>
                  <w:vAlign w:val="center"/>
                </w:tcPr>
                <w:p w14:paraId="2CDE13A5">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w:t>
                  </w:r>
                </w:p>
              </w:tc>
            </w:tr>
            <w:tr w14:paraId="29451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0" w:type="dxa"/>
                  <w:gridSpan w:val="4"/>
                  <w:noWrap w:val="0"/>
                  <w:vAlign w:val="center"/>
                </w:tcPr>
                <w:p w14:paraId="4725E7A2">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1010" w:type="dxa"/>
                  <w:noWrap w:val="0"/>
                  <w:vAlign w:val="center"/>
                </w:tcPr>
                <w:p w14:paraId="08BDC83E">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1351.829</w:t>
                  </w:r>
                </w:p>
              </w:tc>
              <w:tc>
                <w:tcPr>
                  <w:tcW w:w="1202" w:type="dxa"/>
                  <w:noWrap w:val="0"/>
                  <w:vAlign w:val="center"/>
                </w:tcPr>
                <w:p w14:paraId="178D658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378516</w:t>
                  </w:r>
                </w:p>
              </w:tc>
              <w:tc>
                <w:tcPr>
                  <w:tcW w:w="435" w:type="dxa"/>
                  <w:noWrap w:val="0"/>
                  <w:vAlign w:val="center"/>
                </w:tcPr>
                <w:p w14:paraId="302DDE2F">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9" w:type="dxa"/>
                  <w:noWrap w:val="0"/>
                  <w:vAlign w:val="center"/>
                </w:tcPr>
                <w:p w14:paraId="30B717AE">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1105" w:type="dxa"/>
                  <w:noWrap w:val="0"/>
                  <w:vAlign w:val="center"/>
                </w:tcPr>
                <w:p w14:paraId="2B1534F0">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5.6</w:t>
                  </w:r>
                </w:p>
              </w:tc>
            </w:tr>
            <w:tr w14:paraId="6C70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 w:type="dxa"/>
                  <w:noWrap w:val="0"/>
                  <w:vAlign w:val="center"/>
                </w:tcPr>
                <w:p w14:paraId="5366EA3F">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办公生活区</w:t>
                  </w:r>
                </w:p>
              </w:tc>
              <w:tc>
                <w:tcPr>
                  <w:tcW w:w="1004" w:type="dxa"/>
                  <w:noWrap w:val="0"/>
                  <w:vAlign w:val="center"/>
                </w:tcPr>
                <w:p w14:paraId="3FD7732D">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w:t>
                  </w:r>
                  <w:r>
                    <w:rPr>
                      <w:rFonts w:hint="eastAsia" w:cs="Times New Roman"/>
                      <w:caps w:val="0"/>
                      <w:snapToGrid w:val="0"/>
                      <w:color w:val="auto"/>
                      <w:spacing w:val="0"/>
                      <w:w w:val="100"/>
                      <w:position w:val="0"/>
                      <w:sz w:val="21"/>
                      <w:szCs w:val="21"/>
                      <w:highlight w:val="none"/>
                      <w:lang w:val="en-US" w:eastAsia="zh-CN"/>
                    </w:rPr>
                    <w:t>用水</w:t>
                  </w:r>
                </w:p>
              </w:tc>
              <w:tc>
                <w:tcPr>
                  <w:tcW w:w="1084" w:type="dxa"/>
                  <w:noWrap w:val="0"/>
                  <w:vAlign w:val="center"/>
                </w:tcPr>
                <w:p w14:paraId="0818800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3</w:t>
                  </w:r>
                  <w:r>
                    <w:rPr>
                      <w:rFonts w:hint="default" w:ascii="Times New Roman" w:hAnsi="Times New Roman" w:eastAsia="宋体" w:cs="Times New Roman"/>
                      <w:caps w:val="0"/>
                      <w:snapToGrid w:val="0"/>
                      <w:color w:val="auto"/>
                      <w:spacing w:val="0"/>
                      <w:w w:val="100"/>
                      <w:position w:val="0"/>
                      <w:sz w:val="21"/>
                      <w:szCs w:val="21"/>
                      <w:highlight w:val="none"/>
                      <w:lang w:val="en-US" w:eastAsia="zh-CN"/>
                    </w:rPr>
                    <w:t>0L/人·d</w:t>
                  </w:r>
                </w:p>
              </w:tc>
              <w:tc>
                <w:tcPr>
                  <w:tcW w:w="1125" w:type="dxa"/>
                  <w:noWrap w:val="0"/>
                  <w:vAlign w:val="center"/>
                </w:tcPr>
                <w:p w14:paraId="6DCEAEC5">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85</w:t>
                  </w:r>
                  <w:r>
                    <w:rPr>
                      <w:rFonts w:hint="default" w:ascii="Times New Roman" w:hAnsi="Times New Roman" w:eastAsia="宋体" w:cs="Times New Roman"/>
                      <w:caps w:val="0"/>
                      <w:snapToGrid w:val="0"/>
                      <w:color w:val="auto"/>
                      <w:spacing w:val="0"/>
                      <w:w w:val="100"/>
                      <w:position w:val="0"/>
                      <w:sz w:val="21"/>
                      <w:szCs w:val="21"/>
                      <w:highlight w:val="none"/>
                      <w:lang w:val="en-US" w:eastAsia="zh-CN"/>
                    </w:rPr>
                    <w:t>人</w:t>
                  </w:r>
                </w:p>
              </w:tc>
              <w:tc>
                <w:tcPr>
                  <w:tcW w:w="1010" w:type="dxa"/>
                  <w:noWrap w:val="0"/>
                  <w:vAlign w:val="center"/>
                </w:tcPr>
                <w:p w14:paraId="4E57D877">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2.55</w:t>
                  </w:r>
                </w:p>
              </w:tc>
              <w:tc>
                <w:tcPr>
                  <w:tcW w:w="1202" w:type="dxa"/>
                  <w:noWrap w:val="0"/>
                  <w:vAlign w:val="center"/>
                </w:tcPr>
                <w:p w14:paraId="7D8CF304">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714</w:t>
                  </w:r>
                </w:p>
              </w:tc>
              <w:tc>
                <w:tcPr>
                  <w:tcW w:w="435" w:type="dxa"/>
                  <w:noWrap w:val="0"/>
                  <w:vAlign w:val="center"/>
                </w:tcPr>
                <w:p w14:paraId="41D0496A">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819" w:type="dxa"/>
                  <w:noWrap w:val="0"/>
                  <w:vAlign w:val="center"/>
                </w:tcPr>
                <w:p w14:paraId="44CDBFC0">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2.04</w:t>
                  </w:r>
                </w:p>
              </w:tc>
              <w:tc>
                <w:tcPr>
                  <w:tcW w:w="1105" w:type="dxa"/>
                  <w:noWrap w:val="0"/>
                  <w:vAlign w:val="center"/>
                </w:tcPr>
                <w:p w14:paraId="54F51D10">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571.2</w:t>
                  </w:r>
                </w:p>
              </w:tc>
            </w:tr>
            <w:tr w14:paraId="0FCD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75" w:type="dxa"/>
                  <w:gridSpan w:val="3"/>
                  <w:noWrap w:val="0"/>
                  <w:vAlign w:val="center"/>
                </w:tcPr>
                <w:p w14:paraId="57C7FCB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1125" w:type="dxa"/>
                  <w:noWrap w:val="0"/>
                  <w:vAlign w:val="center"/>
                </w:tcPr>
                <w:p w14:paraId="2A405CC4">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1010" w:type="dxa"/>
                  <w:noWrap w:val="0"/>
                  <w:vAlign w:val="center"/>
                </w:tcPr>
                <w:p w14:paraId="0CAD46DC">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2.55</w:t>
                  </w:r>
                </w:p>
              </w:tc>
              <w:tc>
                <w:tcPr>
                  <w:tcW w:w="1202" w:type="dxa"/>
                  <w:noWrap w:val="0"/>
                  <w:vAlign w:val="center"/>
                </w:tcPr>
                <w:p w14:paraId="0FEE80D2">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714</w:t>
                  </w:r>
                </w:p>
              </w:tc>
              <w:tc>
                <w:tcPr>
                  <w:tcW w:w="435" w:type="dxa"/>
                  <w:noWrap w:val="0"/>
                  <w:vAlign w:val="center"/>
                </w:tcPr>
                <w:p w14:paraId="2C4CF0BF">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819" w:type="dxa"/>
                  <w:noWrap w:val="0"/>
                  <w:vAlign w:val="center"/>
                </w:tcPr>
                <w:p w14:paraId="4BE38C7F">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2.04</w:t>
                  </w:r>
                </w:p>
              </w:tc>
              <w:tc>
                <w:tcPr>
                  <w:tcW w:w="1105" w:type="dxa"/>
                  <w:noWrap w:val="0"/>
                  <w:vAlign w:val="center"/>
                </w:tcPr>
                <w:p w14:paraId="207A5EEB">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571.2</w:t>
                  </w:r>
                </w:p>
              </w:tc>
            </w:tr>
            <w:tr w14:paraId="50E2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1" w:type="dxa"/>
                  <w:gridSpan w:val="2"/>
                  <w:noWrap w:val="0"/>
                  <w:vAlign w:val="center"/>
                </w:tcPr>
                <w:p w14:paraId="46A13B2A">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绿化</w:t>
                  </w:r>
                </w:p>
              </w:tc>
              <w:tc>
                <w:tcPr>
                  <w:tcW w:w="1084" w:type="dxa"/>
                  <w:noWrap w:val="0"/>
                  <w:vAlign w:val="center"/>
                </w:tcPr>
                <w:p w14:paraId="3745F22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eastAsia="zh-CN"/>
                    </w:rPr>
                    <w:t>L/m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次</w:t>
                  </w:r>
                </w:p>
              </w:tc>
              <w:tc>
                <w:tcPr>
                  <w:tcW w:w="1125" w:type="dxa"/>
                  <w:noWrap w:val="0"/>
                  <w:vAlign w:val="center"/>
                </w:tcPr>
                <w:p w14:paraId="2C05D63F">
                  <w:pPr>
                    <w:adjustRightInd w:val="0"/>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olor w:val="auto"/>
                      <w:szCs w:val="21"/>
                      <w:highlight w:val="none"/>
                      <w:lang w:val="en-US" w:eastAsia="zh-CN"/>
                    </w:rPr>
                    <w:t>7348.86</w:t>
                  </w:r>
                  <w:r>
                    <w:rPr>
                      <w:color w:val="auto"/>
                      <w:szCs w:val="21"/>
                      <w:highlight w:val="none"/>
                    </w:rPr>
                    <w:t>m</w:t>
                  </w:r>
                  <w:r>
                    <w:rPr>
                      <w:color w:val="auto"/>
                      <w:szCs w:val="21"/>
                      <w:highlight w:val="none"/>
                      <w:vertAlign w:val="superscript"/>
                    </w:rPr>
                    <w:t>2</w:t>
                  </w:r>
                </w:p>
              </w:tc>
              <w:tc>
                <w:tcPr>
                  <w:tcW w:w="1010" w:type="dxa"/>
                  <w:noWrap w:val="0"/>
                  <w:vAlign w:val="center"/>
                </w:tcPr>
                <w:p w14:paraId="5B78C59A">
                  <w:pPr>
                    <w:adjustRightInd w:val="0"/>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olor w:val="auto"/>
                      <w:szCs w:val="21"/>
                      <w:highlight w:val="none"/>
                      <w:lang w:val="en-US" w:eastAsia="zh-CN"/>
                    </w:rPr>
                    <w:t>44.0932</w:t>
                  </w:r>
                </w:p>
              </w:tc>
              <w:tc>
                <w:tcPr>
                  <w:tcW w:w="1202" w:type="dxa"/>
                  <w:noWrap w:val="0"/>
                  <w:vAlign w:val="center"/>
                </w:tcPr>
                <w:p w14:paraId="77789F5B">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9215.4788</w:t>
                  </w:r>
                </w:p>
              </w:tc>
              <w:tc>
                <w:tcPr>
                  <w:tcW w:w="435" w:type="dxa"/>
                  <w:noWrap w:val="0"/>
                  <w:vAlign w:val="center"/>
                </w:tcPr>
                <w:p w14:paraId="51B183FA">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9" w:type="dxa"/>
                  <w:noWrap w:val="0"/>
                  <w:vAlign w:val="center"/>
                </w:tcPr>
                <w:p w14:paraId="3F55CAC4">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105" w:type="dxa"/>
                  <w:noWrap w:val="0"/>
                  <w:vAlign w:val="center"/>
                </w:tcPr>
                <w:p w14:paraId="6C32DF3F">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14:paraId="5BD6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1" w:type="dxa"/>
                  <w:gridSpan w:val="2"/>
                  <w:noWrap w:val="0"/>
                  <w:vAlign w:val="center"/>
                </w:tcPr>
                <w:p w14:paraId="22DDFC04">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道路浇洒</w:t>
                  </w:r>
                </w:p>
              </w:tc>
              <w:tc>
                <w:tcPr>
                  <w:tcW w:w="1084" w:type="dxa"/>
                  <w:noWrap w:val="0"/>
                  <w:vAlign w:val="center"/>
                </w:tcPr>
                <w:p w14:paraId="5E230AE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eastAsia="zh-CN"/>
                    </w:rPr>
                    <w:t>L/m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次</w:t>
                  </w:r>
                </w:p>
              </w:tc>
              <w:tc>
                <w:tcPr>
                  <w:tcW w:w="1125" w:type="dxa"/>
                  <w:noWrap w:val="0"/>
                  <w:vAlign w:val="center"/>
                </w:tcPr>
                <w:p w14:paraId="3082CD32">
                  <w:pPr>
                    <w:adjustRightInd w:val="0"/>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olor w:val="auto"/>
                      <w:szCs w:val="21"/>
                      <w:highlight w:val="none"/>
                      <w:lang w:val="en-US" w:eastAsia="zh-CN"/>
                    </w:rPr>
                    <w:t>13621.65</w:t>
                  </w:r>
                  <w:r>
                    <w:rPr>
                      <w:color w:val="auto"/>
                      <w:szCs w:val="21"/>
                      <w:highlight w:val="none"/>
                    </w:rPr>
                    <w:t>m</w:t>
                  </w:r>
                  <w:r>
                    <w:rPr>
                      <w:color w:val="auto"/>
                      <w:szCs w:val="21"/>
                      <w:highlight w:val="none"/>
                      <w:vertAlign w:val="superscript"/>
                    </w:rPr>
                    <w:t>2</w:t>
                  </w:r>
                </w:p>
              </w:tc>
              <w:tc>
                <w:tcPr>
                  <w:tcW w:w="1010" w:type="dxa"/>
                  <w:noWrap w:val="0"/>
                  <w:vAlign w:val="center"/>
                </w:tcPr>
                <w:p w14:paraId="44269DE7">
                  <w:pPr>
                    <w:adjustRightInd w:val="0"/>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olor w:val="auto"/>
                      <w:szCs w:val="21"/>
                      <w:highlight w:val="none"/>
                      <w:lang w:val="en-US" w:eastAsia="zh-CN"/>
                    </w:rPr>
                    <w:t>54.4866</w:t>
                  </w:r>
                </w:p>
              </w:tc>
              <w:tc>
                <w:tcPr>
                  <w:tcW w:w="1202" w:type="dxa"/>
                  <w:noWrap w:val="0"/>
                  <w:vAlign w:val="center"/>
                </w:tcPr>
                <w:p w14:paraId="622D4EE0">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11387.6994</w:t>
                  </w:r>
                </w:p>
              </w:tc>
              <w:tc>
                <w:tcPr>
                  <w:tcW w:w="435" w:type="dxa"/>
                  <w:noWrap w:val="0"/>
                  <w:vAlign w:val="center"/>
                </w:tcPr>
                <w:p w14:paraId="04936B1B">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9" w:type="dxa"/>
                  <w:noWrap w:val="0"/>
                  <w:vAlign w:val="center"/>
                </w:tcPr>
                <w:p w14:paraId="24D213E3">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105" w:type="dxa"/>
                  <w:noWrap w:val="0"/>
                  <w:vAlign w:val="center"/>
                </w:tcPr>
                <w:p w14:paraId="246021B6">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14:paraId="1615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1" w:type="dxa"/>
                  <w:gridSpan w:val="2"/>
                  <w:noWrap w:val="0"/>
                  <w:vAlign w:val="center"/>
                </w:tcPr>
                <w:p w14:paraId="73835143">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初期雨水</w:t>
                  </w:r>
                </w:p>
              </w:tc>
              <w:tc>
                <w:tcPr>
                  <w:tcW w:w="1084" w:type="dxa"/>
                  <w:noWrap w:val="0"/>
                  <w:vAlign w:val="center"/>
                </w:tcPr>
                <w:p w14:paraId="2F69BA0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vertAlign w:val="baseline"/>
                      <w:lang w:val="en-US" w:eastAsia="zh-CN"/>
                    </w:rPr>
                    <w:t>76.1314</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/次</w:t>
                  </w:r>
                </w:p>
              </w:tc>
              <w:tc>
                <w:tcPr>
                  <w:tcW w:w="1125" w:type="dxa"/>
                  <w:noWrap w:val="0"/>
                  <w:vAlign w:val="center"/>
                </w:tcPr>
                <w:p w14:paraId="003C5756">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olor w:val="auto"/>
                      <w:szCs w:val="21"/>
                      <w:highlight w:val="none"/>
                      <w:lang w:val="en-US" w:eastAsia="zh-CN"/>
                    </w:rPr>
                    <w:t>13621.65</w:t>
                  </w:r>
                  <w:r>
                    <w:rPr>
                      <w:color w:val="auto"/>
                      <w:szCs w:val="21"/>
                      <w:highlight w:val="none"/>
                    </w:rPr>
                    <w:t>m</w:t>
                  </w:r>
                  <w:r>
                    <w:rPr>
                      <w:color w:val="auto"/>
                      <w:szCs w:val="21"/>
                      <w:highlight w:val="none"/>
                      <w:vertAlign w:val="superscript"/>
                    </w:rPr>
                    <w:t>2</w:t>
                  </w:r>
                </w:p>
              </w:tc>
              <w:tc>
                <w:tcPr>
                  <w:tcW w:w="1010" w:type="dxa"/>
                  <w:noWrap w:val="0"/>
                  <w:vAlign w:val="center"/>
                </w:tcPr>
                <w:p w14:paraId="2AE90112">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1202" w:type="dxa"/>
                  <w:noWrap w:val="0"/>
                  <w:vAlign w:val="center"/>
                </w:tcPr>
                <w:p w14:paraId="477E40D3">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435" w:type="dxa"/>
                  <w:noWrap w:val="0"/>
                  <w:vAlign w:val="center"/>
                </w:tcPr>
                <w:p w14:paraId="7C0E02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819" w:type="dxa"/>
                  <w:noWrap w:val="0"/>
                  <w:vAlign w:val="center"/>
                </w:tcPr>
                <w:p w14:paraId="543530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vertAlign w:val="baseline"/>
                      <w:lang w:val="en-US" w:eastAsia="zh-CN"/>
                    </w:rPr>
                    <w:t>76.1314</w:t>
                  </w:r>
                </w:p>
              </w:tc>
              <w:tc>
                <w:tcPr>
                  <w:tcW w:w="1105" w:type="dxa"/>
                  <w:noWrap w:val="0"/>
                  <w:vAlign w:val="center"/>
                </w:tcPr>
                <w:p w14:paraId="0B95ED26">
                  <w:pPr>
                    <w:keepNext w:val="0"/>
                    <w:keepLines w:val="0"/>
                    <w:widowControl/>
                    <w:suppressLineNumbers w:val="0"/>
                    <w:jc w:val="center"/>
                    <w:textAlignment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11876.4984</w:t>
                  </w:r>
                </w:p>
              </w:tc>
            </w:tr>
            <w:tr w14:paraId="09C2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0" w:type="dxa"/>
                  <w:gridSpan w:val="4"/>
                  <w:noWrap w:val="0"/>
                  <w:vAlign w:val="center"/>
                </w:tcPr>
                <w:p w14:paraId="7412D87E">
                  <w:pPr>
                    <w:keepNext w:val="0"/>
                    <w:keepLines w:val="0"/>
                    <w:pageBreakBefore w:val="0"/>
                    <w:widowControl/>
                    <w:suppressLineNumbers w:val="0"/>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1010" w:type="dxa"/>
                  <w:noWrap w:val="0"/>
                  <w:vAlign w:val="center"/>
                </w:tcPr>
                <w:p w14:paraId="389D50D8">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98.5798</w:t>
                  </w:r>
                </w:p>
              </w:tc>
              <w:tc>
                <w:tcPr>
                  <w:tcW w:w="1202" w:type="dxa"/>
                  <w:noWrap w:val="0"/>
                  <w:vAlign w:val="center"/>
                </w:tcPr>
                <w:p w14:paraId="511B3967">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20603.1782</w:t>
                  </w:r>
                </w:p>
              </w:tc>
              <w:tc>
                <w:tcPr>
                  <w:tcW w:w="435" w:type="dxa"/>
                  <w:noWrap w:val="0"/>
                  <w:vAlign w:val="center"/>
                </w:tcPr>
                <w:p w14:paraId="5F74DDA0">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9" w:type="dxa"/>
                  <w:noWrap w:val="0"/>
                  <w:vAlign w:val="center"/>
                </w:tcPr>
                <w:p w14:paraId="1B3C0E04">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76.1314</w:t>
                  </w:r>
                </w:p>
              </w:tc>
              <w:tc>
                <w:tcPr>
                  <w:tcW w:w="1105" w:type="dxa"/>
                  <w:noWrap w:val="0"/>
                  <w:vAlign w:val="center"/>
                </w:tcPr>
                <w:p w14:paraId="6DF41DDD">
                  <w:pPr>
                    <w:keepNext w:val="0"/>
                    <w:keepLines w:val="0"/>
                    <w:widowControl/>
                    <w:suppressLineNumbers w:val="0"/>
                    <w:jc w:val="center"/>
                    <w:textAlignment w:val="center"/>
                    <w:rPr>
                      <w:rFonts w:hint="default"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11876.4984</w:t>
                  </w:r>
                </w:p>
              </w:tc>
            </w:tr>
            <w:tr w14:paraId="01F4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0" w:type="dxa"/>
                  <w:gridSpan w:val="4"/>
                  <w:noWrap w:val="0"/>
                  <w:vAlign w:val="center"/>
                </w:tcPr>
                <w:p w14:paraId="326C48C6">
                  <w:pPr>
                    <w:keepNext w:val="0"/>
                    <w:keepLines w:val="0"/>
                    <w:pageBreakBefore w:val="0"/>
                    <w:widowControl/>
                    <w:suppressLineNumbers w:val="0"/>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合计</w:t>
                  </w:r>
                </w:p>
              </w:tc>
              <w:tc>
                <w:tcPr>
                  <w:tcW w:w="1010" w:type="dxa"/>
                  <w:noWrap w:val="0"/>
                  <w:vAlign w:val="center"/>
                </w:tcPr>
                <w:p w14:paraId="32998E91">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1452.9588</w:t>
                  </w:r>
                </w:p>
              </w:tc>
              <w:tc>
                <w:tcPr>
                  <w:tcW w:w="1202" w:type="dxa"/>
                  <w:noWrap w:val="0"/>
                  <w:vAlign w:val="center"/>
                </w:tcPr>
                <w:p w14:paraId="513E1121">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399833.1782</w:t>
                  </w:r>
                </w:p>
              </w:tc>
              <w:tc>
                <w:tcPr>
                  <w:tcW w:w="435" w:type="dxa"/>
                  <w:noWrap w:val="0"/>
                  <w:vAlign w:val="center"/>
                </w:tcPr>
                <w:p w14:paraId="1A3BB7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9" w:type="dxa"/>
                  <w:noWrap w:val="0"/>
                  <w:vAlign w:val="center"/>
                </w:tcPr>
                <w:p w14:paraId="1855F142">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78.1914</w:t>
                  </w:r>
                </w:p>
              </w:tc>
              <w:tc>
                <w:tcPr>
                  <w:tcW w:w="1105" w:type="dxa"/>
                  <w:noWrap w:val="0"/>
                  <w:vAlign w:val="center"/>
                </w:tcPr>
                <w:p w14:paraId="6446BE83">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12453.2984</w:t>
                  </w:r>
                </w:p>
              </w:tc>
            </w:tr>
          </w:tbl>
          <w:p w14:paraId="37FBBE0F">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p>
        </w:tc>
      </w:tr>
      <w:tr w14:paraId="62D081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3948BF48">
            <w:pPr>
              <w:pStyle w:val="24"/>
              <w:adjustRightInd w:val="0"/>
              <w:snapToGrid w:val="0"/>
              <w:spacing w:before="0" w:beforeAutospacing="0" w:after="0" w:afterAutospacing="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建设内容</w:t>
            </w:r>
          </w:p>
        </w:tc>
        <w:tc>
          <w:tcPr>
            <w:tcW w:w="8402" w:type="dxa"/>
            <w:vAlign w:val="top"/>
          </w:tcPr>
          <w:p w14:paraId="2ECEB64A">
            <w:pPr>
              <w:pStyle w:val="11"/>
              <w:keepNext w:val="0"/>
              <w:keepLines w:val="0"/>
              <w:pageBreakBefore w:val="0"/>
              <w:widowControl w:val="0"/>
              <w:kinsoku/>
              <w:wordWrap/>
              <w:overflowPunct/>
              <w:topLinePunct w:val="0"/>
              <w:bidi w:val="0"/>
              <w:adjustRightInd w:val="0"/>
              <w:snapToGrid w:val="0"/>
              <w:spacing w:after="0" w:line="360" w:lineRule="auto"/>
              <w:ind w:firstLine="482" w:firstLineChars="200"/>
              <w:rPr>
                <w:rFonts w:hint="default" w:ascii="Times New Roman" w:hAnsi="Times New Roman" w:eastAsia="宋体" w:cs="Times New Roman"/>
                <w:b/>
                <w:bCs/>
                <w:caps w:val="0"/>
                <w:snapToGrid w:val="0"/>
                <w:color w:val="auto"/>
                <w:spacing w:val="0"/>
                <w:w w:val="100"/>
                <w:position w:val="0"/>
                <w:sz w:val="24"/>
                <w:highlight w:val="none"/>
              </w:rPr>
            </w:pPr>
            <w:r>
              <w:rPr>
                <w:rFonts w:hint="default" w:ascii="Times New Roman" w:hAnsi="Times New Roman" w:eastAsia="宋体" w:cs="Times New Roman"/>
                <w:b/>
                <w:bCs/>
                <w:caps w:val="0"/>
                <w:snapToGrid w:val="0"/>
                <w:color w:val="auto"/>
                <w:spacing w:val="0"/>
                <w:w w:val="100"/>
                <w:position w:val="0"/>
                <w:sz w:val="24"/>
                <w:highlight w:val="none"/>
              </w:rPr>
              <w:t>（</w:t>
            </w:r>
            <w:r>
              <w:rPr>
                <w:rFonts w:hint="default" w:ascii="Times New Roman" w:hAnsi="Times New Roman" w:eastAsia="宋体" w:cs="Times New Roman"/>
                <w:b/>
                <w:bCs/>
                <w:caps w:val="0"/>
                <w:snapToGrid w:val="0"/>
                <w:color w:val="auto"/>
                <w:spacing w:val="0"/>
                <w:w w:val="100"/>
                <w:position w:val="0"/>
                <w:sz w:val="24"/>
                <w:highlight w:val="none"/>
                <w:lang w:val="en-US" w:eastAsia="zh-CN"/>
              </w:rPr>
              <w:t>3</w:t>
            </w:r>
            <w:r>
              <w:rPr>
                <w:rFonts w:hint="default" w:ascii="Times New Roman" w:hAnsi="Times New Roman" w:eastAsia="宋体" w:cs="Times New Roman"/>
                <w:b/>
                <w:bCs/>
                <w:caps w:val="0"/>
                <w:snapToGrid w:val="0"/>
                <w:color w:val="auto"/>
                <w:spacing w:val="0"/>
                <w:w w:val="100"/>
                <w:position w:val="0"/>
                <w:sz w:val="24"/>
                <w:highlight w:val="none"/>
              </w:rPr>
              <w:t>）项目运营期用排水平衡</w:t>
            </w:r>
          </w:p>
          <w:p w14:paraId="7FAD85B1">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default" w:ascii="Times New Roman" w:hAnsi="Times New Roman" w:eastAsia="宋体" w:cs="Times New Roman"/>
                <w:caps w:val="0"/>
                <w:snapToGrid w:val="0"/>
                <w:color w:val="auto"/>
                <w:spacing w:val="0"/>
                <w:w w:val="100"/>
                <w:position w:val="0"/>
                <w:sz w:val="24"/>
                <w:highlight w:val="none"/>
              </w:rPr>
            </w:pPr>
            <w:r>
              <w:rPr>
                <w:rFonts w:hint="default" w:ascii="Times New Roman" w:hAnsi="Times New Roman" w:eastAsia="宋体" w:cs="Times New Roman"/>
                <w:caps w:val="0"/>
                <w:snapToGrid w:val="0"/>
                <w:color w:val="auto"/>
                <w:spacing w:val="0"/>
                <w:w w:val="100"/>
                <w:position w:val="0"/>
                <w:sz w:val="24"/>
                <w:highlight w:val="none"/>
              </w:rPr>
              <w:t>项目运营期水平衡如图</w:t>
            </w:r>
            <w:r>
              <w:rPr>
                <w:rFonts w:hint="default" w:ascii="Times New Roman" w:hAnsi="Times New Roman" w:eastAsia="宋体" w:cs="Times New Roman"/>
                <w:caps w:val="0"/>
                <w:snapToGrid w:val="0"/>
                <w:color w:val="auto"/>
                <w:spacing w:val="0"/>
                <w:w w:val="100"/>
                <w:position w:val="0"/>
                <w:sz w:val="24"/>
                <w:highlight w:val="none"/>
                <w:lang w:val="en-US" w:eastAsia="zh-CN"/>
              </w:rPr>
              <w:t>2</w:t>
            </w:r>
            <w:r>
              <w:rPr>
                <w:rFonts w:hint="default" w:ascii="Times New Roman" w:hAnsi="Times New Roman" w:eastAsia="宋体" w:cs="Times New Roman"/>
                <w:caps w:val="0"/>
                <w:snapToGrid w:val="0"/>
                <w:color w:val="auto"/>
                <w:spacing w:val="0"/>
                <w:w w:val="100"/>
                <w:position w:val="0"/>
                <w:sz w:val="24"/>
                <w:highlight w:val="none"/>
              </w:rPr>
              <w:t>-</w:t>
            </w:r>
            <w:r>
              <w:rPr>
                <w:rFonts w:hint="default" w:ascii="Times New Roman" w:hAnsi="Times New Roman" w:eastAsia="宋体" w:cs="Times New Roman"/>
                <w:caps w:val="0"/>
                <w:snapToGrid w:val="0"/>
                <w:color w:val="auto"/>
                <w:spacing w:val="0"/>
                <w:w w:val="100"/>
                <w:position w:val="0"/>
                <w:sz w:val="24"/>
                <w:highlight w:val="none"/>
                <w:lang w:val="en-US" w:eastAsia="zh-CN"/>
              </w:rPr>
              <w:t>1、2-2</w:t>
            </w:r>
            <w:r>
              <w:rPr>
                <w:rFonts w:hint="default" w:ascii="Times New Roman" w:hAnsi="Times New Roman" w:eastAsia="宋体" w:cs="Times New Roman"/>
                <w:caps w:val="0"/>
                <w:snapToGrid w:val="0"/>
                <w:color w:val="auto"/>
                <w:spacing w:val="0"/>
                <w:w w:val="100"/>
                <w:position w:val="0"/>
                <w:sz w:val="24"/>
                <w:highlight w:val="none"/>
              </w:rPr>
              <w:t>所示。</w:t>
            </w:r>
          </w:p>
          <w:p w14:paraId="7FEDE76B">
            <w:pPr>
              <w:pStyle w:val="12"/>
              <w:rPr>
                <w:rFonts w:hint="default" w:ascii="Times New Roman" w:hAnsi="Times New Roman" w:eastAsia="宋体" w:cs="Times New Roman"/>
                <w:caps w:val="0"/>
                <w:snapToGrid w:val="0"/>
                <w:color w:val="auto"/>
                <w:spacing w:val="0"/>
                <w:w w:val="100"/>
                <w:position w:val="0"/>
                <w:sz w:val="24"/>
                <w:highlight w:val="none"/>
              </w:rPr>
            </w:pPr>
          </w:p>
          <w:p w14:paraId="5D2DF274">
            <w:pPr>
              <w:rPr>
                <w:rFonts w:hint="default" w:ascii="Times New Roman" w:hAnsi="Times New Roman" w:eastAsia="宋体" w:cs="Times New Roman"/>
                <w:caps w:val="0"/>
                <w:snapToGrid w:val="0"/>
                <w:color w:val="auto"/>
                <w:spacing w:val="0"/>
                <w:w w:val="100"/>
                <w:position w:val="0"/>
                <w:sz w:val="24"/>
                <w:highlight w:val="none"/>
              </w:rPr>
            </w:pPr>
          </w:p>
          <w:p w14:paraId="2C7ED1B2">
            <w:pPr>
              <w:rPr>
                <w:rFonts w:hint="default" w:ascii="Times New Roman" w:hAnsi="Times New Roman" w:eastAsia="宋体" w:cs="Times New Roman"/>
                <w:caps w:val="0"/>
                <w:snapToGrid w:val="0"/>
                <w:color w:val="auto"/>
                <w:spacing w:val="0"/>
                <w:w w:val="100"/>
                <w:position w:val="0"/>
                <w:sz w:val="24"/>
                <w:highlight w:val="none"/>
              </w:rPr>
            </w:pPr>
          </w:p>
          <w:p w14:paraId="5AF56B1F">
            <w:pPr>
              <w:rPr>
                <w:rFonts w:hint="default" w:ascii="Times New Roman" w:hAnsi="Times New Roman" w:eastAsia="宋体" w:cs="Times New Roman"/>
                <w:caps w:val="0"/>
                <w:snapToGrid w:val="0"/>
                <w:color w:val="auto"/>
                <w:spacing w:val="0"/>
                <w:w w:val="100"/>
                <w:position w:val="0"/>
                <w:sz w:val="24"/>
                <w:highlight w:val="none"/>
              </w:rPr>
            </w:pPr>
          </w:p>
          <w:p w14:paraId="515B44C2">
            <w:pPr>
              <w:rPr>
                <w:rFonts w:hint="default" w:ascii="Times New Roman" w:hAnsi="Times New Roman" w:eastAsia="宋体" w:cs="Times New Roman"/>
                <w:caps w:val="0"/>
                <w:snapToGrid w:val="0"/>
                <w:color w:val="auto"/>
                <w:spacing w:val="0"/>
                <w:w w:val="100"/>
                <w:position w:val="0"/>
                <w:sz w:val="24"/>
                <w:highlight w:val="none"/>
              </w:rPr>
            </w:pPr>
          </w:p>
          <w:p w14:paraId="3EBB3CBD">
            <w:pPr>
              <w:rPr>
                <w:rFonts w:hint="default" w:ascii="Times New Roman" w:hAnsi="Times New Roman" w:eastAsia="宋体" w:cs="Times New Roman"/>
                <w:caps w:val="0"/>
                <w:snapToGrid w:val="0"/>
                <w:color w:val="auto"/>
                <w:spacing w:val="0"/>
                <w:w w:val="100"/>
                <w:position w:val="0"/>
                <w:sz w:val="24"/>
                <w:highlight w:val="none"/>
              </w:rPr>
            </w:pPr>
          </w:p>
          <w:p w14:paraId="04A4247F">
            <w:pPr>
              <w:rPr>
                <w:rFonts w:hint="default" w:ascii="Times New Roman" w:hAnsi="Times New Roman" w:eastAsia="宋体" w:cs="Times New Roman"/>
                <w:caps w:val="0"/>
                <w:snapToGrid w:val="0"/>
                <w:color w:val="auto"/>
                <w:spacing w:val="0"/>
                <w:w w:val="100"/>
                <w:position w:val="0"/>
                <w:sz w:val="24"/>
                <w:highlight w:val="none"/>
              </w:rPr>
            </w:pPr>
          </w:p>
          <w:p w14:paraId="55147C60">
            <w:pPr>
              <w:rPr>
                <w:rFonts w:hint="default" w:ascii="Times New Roman" w:hAnsi="Times New Roman" w:eastAsia="宋体" w:cs="Times New Roman"/>
                <w:caps w:val="0"/>
                <w:snapToGrid w:val="0"/>
                <w:color w:val="auto"/>
                <w:spacing w:val="0"/>
                <w:w w:val="100"/>
                <w:position w:val="0"/>
                <w:sz w:val="24"/>
                <w:highlight w:val="none"/>
              </w:rPr>
            </w:pPr>
          </w:p>
          <w:p w14:paraId="7DE9487B">
            <w:pPr>
              <w:rPr>
                <w:rFonts w:hint="default" w:ascii="Times New Roman" w:hAnsi="Times New Roman" w:eastAsia="宋体" w:cs="Times New Roman"/>
                <w:caps w:val="0"/>
                <w:snapToGrid w:val="0"/>
                <w:color w:val="auto"/>
                <w:spacing w:val="0"/>
                <w:w w:val="100"/>
                <w:position w:val="0"/>
                <w:sz w:val="24"/>
                <w:highlight w:val="none"/>
              </w:rPr>
            </w:pPr>
          </w:p>
          <w:p w14:paraId="0A7C923B">
            <w:pPr>
              <w:rPr>
                <w:rFonts w:hint="default" w:ascii="Times New Roman" w:hAnsi="Times New Roman" w:eastAsia="宋体" w:cs="Times New Roman"/>
                <w:caps w:val="0"/>
                <w:snapToGrid w:val="0"/>
                <w:color w:val="auto"/>
                <w:spacing w:val="0"/>
                <w:w w:val="100"/>
                <w:position w:val="0"/>
                <w:sz w:val="24"/>
                <w:highlight w:val="none"/>
              </w:rPr>
            </w:pPr>
          </w:p>
          <w:p w14:paraId="5EC9B63C">
            <w:pPr>
              <w:rPr>
                <w:rFonts w:hint="default" w:ascii="Times New Roman" w:hAnsi="Times New Roman" w:eastAsia="宋体" w:cs="Times New Roman"/>
                <w:caps w:val="0"/>
                <w:snapToGrid w:val="0"/>
                <w:color w:val="auto"/>
                <w:spacing w:val="0"/>
                <w:w w:val="100"/>
                <w:position w:val="0"/>
                <w:sz w:val="24"/>
                <w:highlight w:val="none"/>
              </w:rPr>
            </w:pPr>
          </w:p>
          <w:p w14:paraId="3D79518E">
            <w:pPr>
              <w:rPr>
                <w:rFonts w:hint="default" w:ascii="Times New Roman" w:hAnsi="Times New Roman" w:eastAsia="宋体" w:cs="Times New Roman"/>
                <w:caps w:val="0"/>
                <w:snapToGrid w:val="0"/>
                <w:color w:val="auto"/>
                <w:spacing w:val="0"/>
                <w:w w:val="100"/>
                <w:position w:val="0"/>
                <w:sz w:val="24"/>
                <w:highlight w:val="none"/>
              </w:rPr>
            </w:pPr>
          </w:p>
          <w:p w14:paraId="76C81014">
            <w:pPr>
              <w:rPr>
                <w:rFonts w:hint="default" w:ascii="Times New Roman" w:hAnsi="Times New Roman" w:eastAsia="宋体" w:cs="Times New Roman"/>
                <w:caps w:val="0"/>
                <w:snapToGrid w:val="0"/>
                <w:color w:val="auto"/>
                <w:spacing w:val="0"/>
                <w:w w:val="100"/>
                <w:position w:val="0"/>
                <w:sz w:val="24"/>
                <w:highlight w:val="none"/>
              </w:rPr>
            </w:pPr>
          </w:p>
          <w:p w14:paraId="58EF35CE">
            <w:pPr>
              <w:rPr>
                <w:rFonts w:hint="default" w:ascii="Times New Roman" w:hAnsi="Times New Roman" w:eastAsia="宋体" w:cs="Times New Roman"/>
                <w:caps w:val="0"/>
                <w:snapToGrid w:val="0"/>
                <w:color w:val="auto"/>
                <w:spacing w:val="0"/>
                <w:w w:val="100"/>
                <w:position w:val="0"/>
                <w:sz w:val="24"/>
                <w:highlight w:val="none"/>
              </w:rPr>
            </w:pPr>
          </w:p>
          <w:p w14:paraId="5D73F297">
            <w:pPr>
              <w:rPr>
                <w:rFonts w:hint="default" w:ascii="Times New Roman" w:hAnsi="Times New Roman" w:eastAsia="宋体" w:cs="Times New Roman"/>
                <w:caps w:val="0"/>
                <w:snapToGrid w:val="0"/>
                <w:color w:val="auto"/>
                <w:spacing w:val="0"/>
                <w:w w:val="100"/>
                <w:position w:val="0"/>
                <w:sz w:val="24"/>
                <w:highlight w:val="none"/>
              </w:rPr>
            </w:pPr>
          </w:p>
          <w:p w14:paraId="74225BCF">
            <w:pPr>
              <w:rPr>
                <w:rFonts w:hint="default" w:ascii="Times New Roman" w:hAnsi="Times New Roman" w:eastAsia="宋体" w:cs="Times New Roman"/>
                <w:caps w:val="0"/>
                <w:snapToGrid w:val="0"/>
                <w:color w:val="auto"/>
                <w:spacing w:val="0"/>
                <w:w w:val="100"/>
                <w:position w:val="0"/>
                <w:sz w:val="24"/>
                <w:highlight w:val="none"/>
              </w:rPr>
            </w:pPr>
          </w:p>
          <w:p w14:paraId="5B6C064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b/>
                <w:bCs/>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b/>
                <w:bCs/>
                <w:caps w:val="0"/>
                <w:snapToGrid w:val="0"/>
                <w:color w:val="auto"/>
                <w:spacing w:val="0"/>
                <w:w w:val="100"/>
                <w:position w:val="0"/>
                <w:sz w:val="21"/>
                <w:szCs w:val="21"/>
                <w:highlight w:val="none"/>
                <w:lang w:val="en-US" w:eastAsia="zh-CN"/>
              </w:rPr>
              <w:pict>
                <v:shape id="_x0000_s1056" o:spid="_x0000_s1056" o:spt="75" type="#_x0000_t75" style="position:absolute;left:0pt;margin-left:12.2pt;margin-top:-19.05pt;height:288.4pt;width:374.65pt;mso-wrap-distance-bottom:0pt;mso-wrap-distance-left:9pt;mso-wrap-distance-right:9pt;mso-wrap-distance-top:0pt;z-index:251664384;mso-width-relative:page;mso-height-relative:page;" o:ole="t" filled="f" o:preferrelative="t" stroked="f" coordsize="21600,21600">
                  <v:path/>
                  <v:fill on="f" focussize="0,0"/>
                  <v:stroke on="f"/>
                  <v:imagedata r:id="rId12" o:title=""/>
                  <o:lock v:ext="edit" aspectratio="f"/>
                  <w10:wrap type="square"/>
                </v:shape>
                <o:OLEObject Type="Embed" ProgID="Visio.Drawing.15" ShapeID="_x0000_s1056" DrawAspect="Content" ObjectID="_1468075725" r:id="rId11">
                  <o:LockedField>false</o:LockedField>
                </o:OLEObject>
              </w:pict>
            </w:r>
          </w:p>
          <w:p w14:paraId="7B94339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aps w:val="0"/>
                <w:snapToGrid w:val="0"/>
                <w:color w:val="auto"/>
                <w:spacing w:val="0"/>
                <w:w w:val="100"/>
                <w:position w:val="0"/>
                <w:sz w:val="21"/>
                <w:szCs w:val="21"/>
                <w:highlight w:val="none"/>
                <w:lang w:val="en-US" w:eastAsia="zh-CN"/>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1</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eastAsia" w:cs="Times New Roman"/>
                <w:b/>
                <w:bCs/>
                <w:caps w:val="0"/>
                <w:snapToGrid w:val="0"/>
                <w:color w:val="auto"/>
                <w:spacing w:val="0"/>
                <w:w w:val="100"/>
                <w:position w:val="0"/>
                <w:sz w:val="21"/>
                <w:szCs w:val="21"/>
                <w:highlight w:val="none"/>
                <w:lang w:val="en-US" w:eastAsia="zh-CN"/>
              </w:rPr>
              <w:t>项目</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非雨天</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p w14:paraId="29BF7105">
            <w:pPr>
              <w:pStyle w:val="12"/>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pPr>
            <w:r>
              <w:rPr>
                <w:rFonts w:hint="default" w:ascii="Times New Roman" w:hAnsi="Times New Roman" w:eastAsia="宋体" w:cs="Times New Roman"/>
                <w:i w:val="0"/>
                <w:iCs/>
                <w:caps w:val="0"/>
                <w:snapToGrid w:val="0"/>
                <w:color w:val="auto"/>
                <w:spacing w:val="0"/>
                <w:w w:val="100"/>
                <w:position w:val="0"/>
                <w:sz w:val="24"/>
                <w:highlight w:val="none"/>
              </w:rPr>
              <w:pict>
                <v:shape id="_x0000_s1057" o:spid="_x0000_s1057" o:spt="75" type="#_x0000_t75" style="position:absolute;left:0pt;margin-left:21.9pt;margin-top:7.4pt;height:279.5pt;width:408.45pt;mso-wrap-distance-bottom:0pt;mso-wrap-distance-left:9pt;mso-wrap-distance-right:9pt;mso-wrap-distance-top:0pt;z-index:251663360;mso-width-relative:page;mso-height-relative:page;" o:ole="t" filled="f" o:preferrelative="t" stroked="f" coordsize="21600,21600">
                  <v:path/>
                  <v:fill on="f" focussize="0,0"/>
                  <v:stroke on="f"/>
                  <v:imagedata r:id="rId14" o:title=""/>
                  <o:lock v:ext="edit" aspectratio="f"/>
                  <w10:wrap type="square"/>
                </v:shape>
                <o:OLEObject Type="Embed" ProgID="Visio.Drawing.15" ShapeID="_x0000_s1057" DrawAspect="Content" ObjectID="_1468075726" r:id="rId13">
                  <o:LockedField>false</o:LockedField>
                </o:OLEObject>
              </w:pict>
            </w:r>
            <w:r>
              <w:rPr>
                <w:rFonts w:hint="eastAsia" w:ascii="Times New Roman" w:hAnsi="Times New Roman" w:eastAsia="宋体" w:cs="Times New Roman"/>
                <w:b/>
                <w:bCs/>
                <w:i w:val="0"/>
                <w:iCs/>
                <w:caps w:val="0"/>
                <w:snapToGrid w:val="0"/>
                <w:color w:val="auto"/>
                <w:spacing w:val="0"/>
                <w:w w:val="100"/>
                <w:position w:val="0"/>
                <w:sz w:val="21"/>
                <w:szCs w:val="21"/>
                <w:highlight w:val="none"/>
                <w:lang w:val="en-US" w:eastAsia="zh-CN"/>
              </w:rPr>
              <w:t>图</w:t>
            </w:r>
            <w:r>
              <w:rPr>
                <w:rFonts w:hint="default" w:ascii="Times New Roman" w:hAnsi="Times New Roman" w:eastAsia="宋体" w:cs="Times New Roman"/>
                <w:b/>
                <w:bCs/>
                <w:i w:val="0"/>
                <w:i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i w:val="0"/>
                <w:iCs/>
                <w:caps w:val="0"/>
                <w:snapToGrid w:val="0"/>
                <w:color w:val="auto"/>
                <w:spacing w:val="0"/>
                <w:w w:val="100"/>
                <w:position w:val="0"/>
                <w:sz w:val="21"/>
                <w:szCs w:val="21"/>
                <w:highlight w:val="none"/>
              </w:rPr>
              <w:t>-</w:t>
            </w:r>
            <w:r>
              <w:rPr>
                <w:rFonts w:hint="eastAsia" w:cs="Times New Roman"/>
                <w:b/>
                <w:bCs/>
                <w:i w:val="0"/>
                <w:i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i w:val="0"/>
                <w:i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i w:val="0"/>
                <w:iCs/>
                <w:caps w:val="0"/>
                <w:snapToGrid w:val="0"/>
                <w:color w:val="auto"/>
                <w:spacing w:val="0"/>
                <w:w w:val="100"/>
                <w:position w:val="0"/>
                <w:sz w:val="21"/>
                <w:szCs w:val="21"/>
                <w:highlight w:val="none"/>
              </w:rPr>
              <w:t xml:space="preserve"> </w:t>
            </w:r>
            <w:r>
              <w:rPr>
                <w:rFonts w:hint="eastAsia" w:cs="Times New Roman"/>
                <w:b/>
                <w:bCs/>
                <w:i w:val="0"/>
                <w:iCs/>
                <w:caps w:val="0"/>
                <w:snapToGrid w:val="0"/>
                <w:color w:val="auto"/>
                <w:spacing w:val="0"/>
                <w:w w:val="100"/>
                <w:position w:val="0"/>
                <w:sz w:val="21"/>
                <w:szCs w:val="21"/>
                <w:highlight w:val="none"/>
                <w:lang w:eastAsia="zh-CN"/>
              </w:rPr>
              <w:t>项目</w:t>
            </w:r>
            <w:r>
              <w:rPr>
                <w:rFonts w:hint="default" w:ascii="Times New Roman" w:hAnsi="Times New Roman" w:eastAsia="宋体" w:cs="Times New Roman"/>
                <w:b/>
                <w:bCs/>
                <w:i w:val="0"/>
                <w:iCs/>
                <w:caps w:val="0"/>
                <w:snapToGrid w:val="0"/>
                <w:color w:val="auto"/>
                <w:spacing w:val="0"/>
                <w:w w:val="100"/>
                <w:position w:val="0"/>
                <w:sz w:val="21"/>
                <w:szCs w:val="21"/>
                <w:highlight w:val="none"/>
                <w:lang w:val="en-US" w:eastAsia="zh-CN"/>
              </w:rPr>
              <w:t>雨天</w:t>
            </w:r>
            <w:r>
              <w:rPr>
                <w:rFonts w:hint="default" w:ascii="Times New Roman" w:hAnsi="Times New Roman" w:eastAsia="宋体" w:cs="Times New Roman"/>
                <w:b/>
                <w:bCs/>
                <w:i w:val="0"/>
                <w:i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i w:val="0"/>
                <w:i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i w:val="0"/>
                <w:iCs/>
                <w:caps w:val="0"/>
                <w:snapToGrid w:val="0"/>
                <w:color w:val="auto"/>
                <w:spacing w:val="0"/>
                <w:w w:val="100"/>
                <w:position w:val="0"/>
                <w:sz w:val="21"/>
                <w:szCs w:val="21"/>
                <w:highlight w:val="none"/>
              </w:rPr>
              <w:t>/d</w:t>
            </w:r>
          </w:p>
        </w:tc>
      </w:tr>
      <w:tr w14:paraId="790FCC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43C90964">
            <w:pPr>
              <w:pStyle w:val="24"/>
              <w:adjustRightInd w:val="0"/>
              <w:snapToGrid w:val="0"/>
              <w:spacing w:before="0" w:beforeAutospacing="0" w:after="0" w:afterAutospacing="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工艺流程和产排污环节</w:t>
            </w:r>
          </w:p>
        </w:tc>
        <w:tc>
          <w:tcPr>
            <w:tcW w:w="8402" w:type="dxa"/>
            <w:vAlign w:val="top"/>
          </w:tcPr>
          <w:p w14:paraId="7EC9A871">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rPr>
              <w:t>一、施工期</w:t>
            </w:r>
            <w:r>
              <w:rPr>
                <w:rFonts w:hint="default" w:ascii="Times New Roman" w:hAnsi="Times New Roman" w:eastAsia="宋体" w:cs="Times New Roman"/>
                <w:b/>
                <w:color w:val="auto"/>
                <w:sz w:val="24"/>
                <w:highlight w:val="none"/>
                <w:lang w:val="en-US" w:eastAsia="zh-CN"/>
              </w:rPr>
              <w:t>工艺流程和产排污节点</w:t>
            </w:r>
          </w:p>
          <w:p w14:paraId="2FFAA831">
            <w:pPr>
              <w:pStyle w:val="76"/>
              <w:adjustRightInd/>
              <w:ind w:firstLine="482"/>
              <w:rPr>
                <w:b/>
                <w:bCs/>
                <w:color w:val="auto"/>
                <w:highlight w:val="none"/>
              </w:rPr>
            </w:pPr>
            <w:r>
              <w:rPr>
                <w:rFonts w:hint="eastAsia"/>
                <w:b/>
                <w:bCs/>
                <w:color w:val="auto"/>
                <w:highlight w:val="none"/>
              </w:rPr>
              <w:t>一、施工期工艺流程</w:t>
            </w:r>
          </w:p>
          <w:p w14:paraId="4E475101">
            <w:pPr>
              <w:pStyle w:val="76"/>
              <w:adjustRightInd/>
              <w:ind w:firstLine="482"/>
              <w:rPr>
                <w:b/>
                <w:bCs/>
                <w:color w:val="auto"/>
                <w:highlight w:val="none"/>
              </w:rPr>
            </w:pPr>
            <w:r>
              <w:rPr>
                <w:rFonts w:hint="eastAsia"/>
                <w:b/>
                <w:bCs/>
                <w:color w:val="auto"/>
                <w:highlight w:val="none"/>
              </w:rPr>
              <w:t>1、工艺流程简述</w:t>
            </w:r>
          </w:p>
          <w:p w14:paraId="68AFC19D">
            <w:pPr>
              <w:autoSpaceDE w:val="0"/>
              <w:autoSpaceDN w:val="0"/>
              <w:adjustRightInd w:val="0"/>
              <w:snapToGrid w:val="0"/>
              <w:spacing w:line="360" w:lineRule="auto"/>
              <w:ind w:firstLine="480" w:firstLineChars="200"/>
              <w:jc w:val="center"/>
              <w:rPr>
                <w:color w:val="auto"/>
                <w:sz w:val="24"/>
                <w:highlight w:val="none"/>
              </w:rPr>
            </w:pPr>
            <w:r>
              <w:rPr>
                <w:color w:val="auto"/>
                <w:sz w:val="24"/>
                <w:highlight w:val="none"/>
              </w:rPr>
              <w:t>本项目施工期主要包括场地平整、土石方开挖、主体工程和配套设施建设、</w:t>
            </w:r>
          </w:p>
          <w:p w14:paraId="76AA1E2E">
            <w:pPr>
              <w:autoSpaceDE w:val="0"/>
              <w:autoSpaceDN w:val="0"/>
              <w:adjustRightInd w:val="0"/>
              <w:snapToGrid w:val="0"/>
              <w:spacing w:line="360" w:lineRule="auto"/>
              <w:jc w:val="both"/>
              <w:rPr>
                <w:rFonts w:hint="eastAsia" w:eastAsia="宋体"/>
                <w:color w:val="auto"/>
                <w:highlight w:val="none"/>
                <w:lang w:val="en-US" w:eastAsia="zh-CN"/>
              </w:rPr>
            </w:pPr>
            <w:r>
              <w:rPr>
                <w:color w:val="auto"/>
                <w:sz w:val="24"/>
                <w:highlight w:val="none"/>
              </w:rPr>
              <w:t>室内装修和外部景观绿化。施工期大致可分为土石方阶段及基础阶段、主体结构阶段和室内外装修安装阶段。施工工艺流程图及产污环节图见图</w:t>
            </w:r>
            <w:r>
              <w:rPr>
                <w:rFonts w:hint="eastAsia"/>
                <w:color w:val="auto"/>
                <w:sz w:val="24"/>
                <w:highlight w:val="none"/>
              </w:rPr>
              <w:t>2</w:t>
            </w:r>
            <w:r>
              <w:rPr>
                <w:color w:val="auto"/>
                <w:sz w:val="24"/>
                <w:highlight w:val="none"/>
              </w:rPr>
              <w:t>-</w:t>
            </w:r>
            <w:r>
              <w:rPr>
                <w:rFonts w:hint="eastAsia"/>
                <w:color w:val="auto"/>
                <w:sz w:val="24"/>
                <w:highlight w:val="none"/>
                <w:lang w:val="en-US" w:eastAsia="zh-CN"/>
              </w:rPr>
              <w:t>3</w:t>
            </w:r>
            <w:r>
              <w:rPr>
                <w:color w:val="auto"/>
                <w:sz w:val="24"/>
                <w:highlight w:val="none"/>
              </w:rPr>
              <w:t>。</w:t>
            </w:r>
          </w:p>
          <w:p w14:paraId="3B7AE815">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jc w:val="center"/>
              <w:textAlignment w:val="auto"/>
              <w:rPr>
                <w:color w:val="auto"/>
                <w:sz w:val="24"/>
                <w:highlight w:val="none"/>
              </w:rPr>
            </w:pPr>
            <w:r>
              <w:rPr>
                <w:color w:val="auto"/>
                <w:highlight w:val="none"/>
              </w:rPr>
              <w:pict>
                <v:shape id="Object 2" o:spid="_x0000_s1062" o:spt="75" type="#_x0000_t75" style="position:absolute;left:0pt;margin-left:38.55pt;margin-top:17.3pt;height:142.65pt;width:390.95pt;mso-wrap-distance-bottom:0pt;mso-wrap-distance-left:9pt;mso-wrap-distance-right:9pt;mso-wrap-distance-top:0pt;z-index:251665408;mso-width-relative:page;mso-height-relative:page;" o:ole="t" filled="f" o:preferrelative="t" stroked="f" coordsize="21600,21600">
                  <v:path/>
                  <v:fill on="f" focussize="0,0"/>
                  <v:stroke on="f"/>
                  <v:imagedata r:id="rId16" o:title=""/>
                  <o:lock v:ext="edit" aspectratio="t"/>
                  <w10:wrap type="square"/>
                </v:shape>
                <o:OLEObject Type="Embed" ProgID="Visio.Drawing.11" ShapeID="Object 2" DrawAspect="Content" ObjectID="_1468075727" r:id="rId15">
                  <o:LockedField>false</o:LockedField>
                </o:OLEObject>
              </w:pict>
            </w:r>
            <w:r>
              <w:rPr>
                <w:b/>
                <w:bCs/>
                <w:color w:val="auto"/>
                <w:szCs w:val="21"/>
                <w:highlight w:val="none"/>
              </w:rPr>
              <w:t>图</w:t>
            </w:r>
            <w:r>
              <w:rPr>
                <w:rFonts w:hint="eastAsia"/>
                <w:b/>
                <w:bCs/>
                <w:color w:val="auto"/>
                <w:szCs w:val="21"/>
                <w:highlight w:val="none"/>
              </w:rPr>
              <w:t>2</w:t>
            </w:r>
            <w:r>
              <w:rPr>
                <w:b/>
                <w:bCs/>
                <w:color w:val="auto"/>
                <w:szCs w:val="21"/>
                <w:highlight w:val="none"/>
              </w:rPr>
              <w:t>-</w:t>
            </w:r>
            <w:r>
              <w:rPr>
                <w:rFonts w:hint="eastAsia"/>
                <w:b/>
                <w:bCs/>
                <w:color w:val="auto"/>
                <w:szCs w:val="21"/>
                <w:highlight w:val="none"/>
                <w:lang w:val="en-US" w:eastAsia="zh-CN"/>
              </w:rPr>
              <w:t>3</w:t>
            </w:r>
            <w:r>
              <w:rPr>
                <w:b/>
                <w:bCs/>
                <w:color w:val="auto"/>
                <w:szCs w:val="21"/>
                <w:highlight w:val="none"/>
              </w:rPr>
              <w:t xml:space="preserve">  施工期工艺流程及产污环节示意图</w:t>
            </w:r>
          </w:p>
          <w:p w14:paraId="35562DC5">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left"/>
              <w:textAlignment w:val="auto"/>
              <w:rPr>
                <w:color w:val="auto"/>
                <w:sz w:val="24"/>
                <w:highlight w:val="none"/>
              </w:rPr>
            </w:pPr>
            <w:r>
              <w:rPr>
                <w:color w:val="auto"/>
                <w:sz w:val="24"/>
                <w:highlight w:val="none"/>
              </w:rPr>
              <w:t>施工期大致可分为土石方阶段及基础阶段、主体结构阶段和室内外装修安装阶段。项目建设过程中不同施工阶段所采用的施工方式不一样：在土石方阶段以机械施工为主，人力施工为辅，主要使用推土机、挖掘机等；在基础打桩阶段几乎全部是机械施工，主要使用静压打桩机；在主体结构阶段则机械施工及人力施工各占一半，主要使用切割机、电焊机等；材料运送主要使用提升机，在装修阶段以人力施工为主，机械施工为辅，使用的机械包括电钻、角向磨光机等。</w:t>
            </w:r>
          </w:p>
          <w:p w14:paraId="793C40D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left"/>
              <w:textAlignment w:val="auto"/>
              <w:rPr>
                <w:color w:val="auto"/>
                <w:sz w:val="24"/>
                <w:highlight w:val="none"/>
              </w:rPr>
            </w:pPr>
            <w:r>
              <w:rPr>
                <w:color w:val="auto"/>
                <w:sz w:val="24"/>
                <w:highlight w:val="none"/>
              </w:rPr>
              <w:t>本项目施工过程中产生的主要污染物为废气（扬尘、汽车尾气、涂料挥发的刺激性气体等）、施工机械和运输车辆产生的噪声、施工及施工人员产生的废水以及弃渣土等固体废物。</w:t>
            </w:r>
          </w:p>
          <w:p w14:paraId="3D0EFFB6">
            <w:pPr>
              <w:keepNext w:val="0"/>
              <w:keepLines w:val="0"/>
              <w:pageBreakBefore w:val="0"/>
              <w:widowControl w:val="0"/>
              <w:kinsoku/>
              <w:wordWrap/>
              <w:overflowPunct/>
              <w:topLinePunct w:val="0"/>
              <w:bidi w:val="0"/>
              <w:adjustRightInd w:val="0"/>
              <w:snapToGrid w:val="0"/>
              <w:spacing w:line="360" w:lineRule="auto"/>
              <w:ind w:left="0" w:leftChars="0" w:firstLine="482" w:firstLineChars="200"/>
              <w:textAlignment w:val="auto"/>
              <w:rPr>
                <w:b/>
                <w:bCs/>
                <w:color w:val="auto"/>
                <w:sz w:val="24"/>
                <w:highlight w:val="none"/>
              </w:rPr>
            </w:pPr>
            <w:r>
              <w:rPr>
                <w:rFonts w:hint="eastAsia"/>
                <w:b/>
                <w:bCs/>
                <w:color w:val="auto"/>
                <w:sz w:val="24"/>
                <w:highlight w:val="none"/>
              </w:rPr>
              <w:t>1、</w:t>
            </w:r>
            <w:r>
              <w:rPr>
                <w:b/>
                <w:color w:val="auto"/>
                <w:sz w:val="24"/>
                <w:highlight w:val="none"/>
              </w:rPr>
              <w:t>施工方案</w:t>
            </w:r>
          </w:p>
          <w:p w14:paraId="2B4A0EEA">
            <w:pPr>
              <w:keepNext w:val="0"/>
              <w:keepLines w:val="0"/>
              <w:pageBreakBefore w:val="0"/>
              <w:widowControl w:val="0"/>
              <w:kinsoku/>
              <w:wordWrap/>
              <w:overflowPunct/>
              <w:topLinePunct w:val="0"/>
              <w:bidi w:val="0"/>
              <w:adjustRightInd w:val="0"/>
              <w:snapToGrid w:val="0"/>
              <w:spacing w:line="360" w:lineRule="auto"/>
              <w:ind w:left="0" w:leftChars="0" w:firstLine="482" w:firstLineChars="200"/>
              <w:textAlignment w:val="auto"/>
              <w:rPr>
                <w:b/>
                <w:bCs/>
                <w:iCs/>
                <w:color w:val="auto"/>
                <w:sz w:val="24"/>
                <w:highlight w:val="none"/>
              </w:rPr>
            </w:pPr>
            <w:r>
              <w:rPr>
                <w:b/>
                <w:bCs/>
                <w:iCs/>
                <w:color w:val="auto"/>
                <w:sz w:val="24"/>
                <w:highlight w:val="none"/>
              </w:rPr>
              <w:t>（1）施工营地</w:t>
            </w:r>
          </w:p>
          <w:p w14:paraId="1B67F00E">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rPr>
                <w:rFonts w:hint="eastAsia" w:eastAsia="宋体"/>
                <w:bCs/>
                <w:iCs/>
                <w:color w:val="auto"/>
                <w:sz w:val="24"/>
                <w:highlight w:val="none"/>
                <w:lang w:eastAsia="zh-CN"/>
              </w:rPr>
            </w:pPr>
            <w:r>
              <w:rPr>
                <w:bCs/>
                <w:iCs/>
                <w:color w:val="auto"/>
                <w:sz w:val="24"/>
                <w:highlight w:val="none"/>
              </w:rPr>
              <w:t>根据项目具体情况，施工人员高峰期为</w:t>
            </w:r>
            <w:r>
              <w:rPr>
                <w:rFonts w:hint="eastAsia"/>
                <w:bCs/>
                <w:iCs/>
                <w:color w:val="auto"/>
                <w:sz w:val="24"/>
                <w:highlight w:val="none"/>
                <w:lang w:val="en-US" w:eastAsia="zh-CN"/>
              </w:rPr>
              <w:t>2</w:t>
            </w:r>
            <w:r>
              <w:rPr>
                <w:bCs/>
                <w:iCs/>
                <w:color w:val="auto"/>
                <w:sz w:val="24"/>
                <w:highlight w:val="none"/>
              </w:rPr>
              <w:t>0人/d。</w:t>
            </w:r>
            <w:r>
              <w:rPr>
                <w:color w:val="auto"/>
                <w:sz w:val="24"/>
                <w:szCs w:val="24"/>
                <w:highlight w:val="none"/>
              </w:rPr>
              <w:t>项目施工期不设施工营地，施工人员均不在项目区食宿</w:t>
            </w:r>
            <w:r>
              <w:rPr>
                <w:rFonts w:hint="eastAsia"/>
                <w:color w:val="auto"/>
                <w:sz w:val="24"/>
                <w:szCs w:val="24"/>
                <w:highlight w:val="none"/>
                <w:lang w:eastAsia="zh-CN"/>
              </w:rPr>
              <w:t>。</w:t>
            </w:r>
          </w:p>
          <w:p w14:paraId="49540B72">
            <w:pPr>
              <w:keepNext w:val="0"/>
              <w:keepLines w:val="0"/>
              <w:pageBreakBefore w:val="0"/>
              <w:widowControl w:val="0"/>
              <w:kinsoku/>
              <w:wordWrap/>
              <w:overflowPunct/>
              <w:topLinePunct w:val="0"/>
              <w:bidi w:val="0"/>
              <w:adjustRightInd w:val="0"/>
              <w:snapToGrid w:val="0"/>
              <w:spacing w:line="360" w:lineRule="auto"/>
              <w:ind w:left="0" w:leftChars="0" w:firstLine="482" w:firstLineChars="200"/>
              <w:textAlignment w:val="auto"/>
              <w:rPr>
                <w:b/>
                <w:bCs/>
                <w:color w:val="auto"/>
                <w:sz w:val="24"/>
                <w:highlight w:val="none"/>
              </w:rPr>
            </w:pPr>
            <w:r>
              <w:rPr>
                <w:b/>
                <w:bCs/>
                <w:color w:val="auto"/>
                <w:sz w:val="24"/>
                <w:highlight w:val="none"/>
              </w:rPr>
              <w:t>（2）施工</w:t>
            </w:r>
            <w:r>
              <w:rPr>
                <w:rFonts w:hint="eastAsia"/>
                <w:b/>
                <w:bCs/>
                <w:color w:val="auto"/>
                <w:sz w:val="24"/>
                <w:highlight w:val="none"/>
              </w:rPr>
              <w:t>用水、</w:t>
            </w:r>
            <w:r>
              <w:rPr>
                <w:b/>
                <w:bCs/>
                <w:color w:val="auto"/>
                <w:sz w:val="24"/>
                <w:highlight w:val="none"/>
              </w:rPr>
              <w:t>用电</w:t>
            </w:r>
          </w:p>
          <w:p w14:paraId="16FB50DC">
            <w:pPr>
              <w:pStyle w:val="18"/>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textAlignment w:val="auto"/>
              <w:rPr>
                <w:bCs/>
                <w:color w:val="auto"/>
                <w:highlight w:val="none"/>
              </w:rPr>
            </w:pPr>
            <w:r>
              <w:rPr>
                <w:bCs/>
                <w:color w:val="auto"/>
                <w:highlight w:val="none"/>
              </w:rPr>
              <w:t>项目建设施工期间</w:t>
            </w:r>
            <w:r>
              <w:rPr>
                <w:rFonts w:hint="eastAsia"/>
                <w:color w:val="auto"/>
                <w:highlight w:val="none"/>
              </w:rPr>
              <w:t>利用周边现有市政供水管网、供电设施，基本满足本项目建设。</w:t>
            </w:r>
          </w:p>
          <w:p w14:paraId="6DB1EB52">
            <w:pPr>
              <w:keepNext w:val="0"/>
              <w:keepLines w:val="0"/>
              <w:pageBreakBefore w:val="0"/>
              <w:widowControl w:val="0"/>
              <w:kinsoku/>
              <w:wordWrap/>
              <w:overflowPunct/>
              <w:topLinePunct w:val="0"/>
              <w:bidi w:val="0"/>
              <w:adjustRightInd w:val="0"/>
              <w:snapToGrid w:val="0"/>
              <w:spacing w:line="360" w:lineRule="auto"/>
              <w:ind w:left="0" w:leftChars="0" w:firstLine="482" w:firstLineChars="200"/>
              <w:textAlignment w:val="auto"/>
              <w:rPr>
                <w:b/>
                <w:bCs/>
                <w:color w:val="auto"/>
                <w:sz w:val="24"/>
                <w:highlight w:val="none"/>
              </w:rPr>
            </w:pPr>
            <w:r>
              <w:rPr>
                <w:b/>
                <w:bCs/>
                <w:color w:val="auto"/>
                <w:sz w:val="24"/>
                <w:highlight w:val="none"/>
              </w:rPr>
              <w:t>（3）施工道路</w:t>
            </w:r>
          </w:p>
          <w:p w14:paraId="5AE79DE0">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rPr>
                <w:bCs/>
                <w:color w:val="auto"/>
                <w:sz w:val="24"/>
                <w:highlight w:val="none"/>
              </w:rPr>
            </w:pPr>
            <w:r>
              <w:rPr>
                <w:bCs/>
                <w:color w:val="auto"/>
                <w:sz w:val="24"/>
                <w:highlight w:val="none"/>
              </w:rPr>
              <w:t>施工期物料运输依托</w:t>
            </w:r>
            <w:r>
              <w:rPr>
                <w:rFonts w:hint="eastAsia"/>
                <w:bCs/>
                <w:color w:val="auto"/>
                <w:sz w:val="24"/>
                <w:highlight w:val="none"/>
                <w:lang w:eastAsia="zh-CN"/>
              </w:rPr>
              <w:t>周边</w:t>
            </w:r>
            <w:r>
              <w:rPr>
                <w:bCs/>
                <w:color w:val="auto"/>
                <w:sz w:val="24"/>
                <w:highlight w:val="none"/>
              </w:rPr>
              <w:t>现状道路</w:t>
            </w:r>
            <w:r>
              <w:rPr>
                <w:rFonts w:ascii="宋体" w:hAnsi="宋体" w:cs="宋体"/>
                <w:color w:val="auto"/>
                <w:kern w:val="0"/>
                <w:sz w:val="24"/>
                <w:highlight w:val="none"/>
                <w:lang w:bidi="ar"/>
              </w:rPr>
              <w:t>，施工设备及材料可以运至施工现场，不再另行占地新开辟施工便道</w:t>
            </w:r>
            <w:r>
              <w:rPr>
                <w:bCs/>
                <w:color w:val="auto"/>
                <w:sz w:val="24"/>
                <w:highlight w:val="none"/>
              </w:rPr>
              <w:t>。</w:t>
            </w:r>
          </w:p>
          <w:p w14:paraId="4DE8B886">
            <w:pPr>
              <w:keepNext w:val="0"/>
              <w:keepLines w:val="0"/>
              <w:pageBreakBefore w:val="0"/>
              <w:widowControl w:val="0"/>
              <w:kinsoku/>
              <w:wordWrap/>
              <w:overflowPunct/>
              <w:topLinePunct w:val="0"/>
              <w:bidi w:val="0"/>
              <w:adjustRightInd w:val="0"/>
              <w:snapToGrid w:val="0"/>
              <w:spacing w:line="360" w:lineRule="auto"/>
              <w:ind w:left="0" w:leftChars="0" w:firstLine="482" w:firstLineChars="200"/>
              <w:textAlignment w:val="auto"/>
              <w:rPr>
                <w:b/>
                <w:bCs/>
                <w:color w:val="auto"/>
                <w:sz w:val="24"/>
                <w:highlight w:val="none"/>
              </w:rPr>
            </w:pPr>
            <w:r>
              <w:rPr>
                <w:b/>
                <w:bCs/>
                <w:color w:val="auto"/>
                <w:sz w:val="24"/>
                <w:highlight w:val="none"/>
              </w:rPr>
              <w:t>（</w:t>
            </w:r>
            <w:r>
              <w:rPr>
                <w:rFonts w:hint="eastAsia"/>
                <w:b/>
                <w:bCs/>
                <w:color w:val="auto"/>
                <w:sz w:val="24"/>
                <w:highlight w:val="none"/>
              </w:rPr>
              <w:t>4</w:t>
            </w:r>
            <w:r>
              <w:rPr>
                <w:b/>
                <w:bCs/>
                <w:color w:val="auto"/>
                <w:sz w:val="24"/>
                <w:highlight w:val="none"/>
              </w:rPr>
              <w:t>）施工材料及来源</w:t>
            </w:r>
          </w:p>
          <w:p w14:paraId="4A2C24DE">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rPr>
                <w:bCs/>
                <w:color w:val="auto"/>
                <w:sz w:val="24"/>
                <w:highlight w:val="none"/>
              </w:rPr>
            </w:pPr>
            <w:r>
              <w:rPr>
                <w:bCs/>
                <w:color w:val="auto"/>
                <w:sz w:val="24"/>
                <w:highlight w:val="none"/>
              </w:rPr>
              <w:t>项目建设所需的主要建筑材料为钢材、水泥、砂石、木材等，项目建设砼采用商品混凝土，不设搅拌站，全部外购商品砼；工程建设过程中的钢材、砖块、石块、石板及其它建筑材料，按工程计划购买，临时堆放</w:t>
            </w:r>
            <w:r>
              <w:rPr>
                <w:rFonts w:hint="eastAsia"/>
                <w:bCs/>
                <w:color w:val="auto"/>
                <w:sz w:val="24"/>
                <w:highlight w:val="none"/>
              </w:rPr>
              <w:t>，</w:t>
            </w:r>
            <w:r>
              <w:rPr>
                <w:bCs/>
                <w:color w:val="auto"/>
                <w:sz w:val="24"/>
                <w:highlight w:val="none"/>
              </w:rPr>
              <w:t>所需材料均从附近具有合法手续的单位购买，工程建设不设置砂、石料场。</w:t>
            </w:r>
          </w:p>
          <w:p w14:paraId="77546319">
            <w:pPr>
              <w:pStyle w:val="18"/>
              <w:keepNext w:val="0"/>
              <w:keepLines w:val="0"/>
              <w:pageBreakBefore w:val="0"/>
              <w:widowControl w:val="0"/>
              <w:kinsoku/>
              <w:wordWrap/>
              <w:overflowPunct/>
              <w:topLinePunct w:val="0"/>
              <w:bidi w:val="0"/>
              <w:adjustRightInd w:val="0"/>
              <w:snapToGrid w:val="0"/>
              <w:spacing w:after="0" w:line="360" w:lineRule="auto"/>
              <w:ind w:left="0" w:leftChars="0" w:firstLine="482" w:firstLineChars="200"/>
              <w:textAlignment w:val="auto"/>
              <w:rPr>
                <w:rFonts w:hint="eastAsia"/>
                <w:b/>
                <w:bCs/>
                <w:color w:val="auto"/>
                <w:highlight w:val="none"/>
              </w:rPr>
            </w:pPr>
            <w:r>
              <w:rPr>
                <w:rFonts w:hint="eastAsia"/>
                <w:b/>
                <w:color w:val="auto"/>
                <w:highlight w:val="none"/>
              </w:rPr>
              <w:t>（5）</w:t>
            </w:r>
            <w:r>
              <w:rPr>
                <w:rFonts w:hint="eastAsia"/>
                <w:b/>
                <w:bCs/>
                <w:color w:val="auto"/>
                <w:highlight w:val="none"/>
              </w:rPr>
              <w:t>取料场</w:t>
            </w:r>
          </w:p>
          <w:p w14:paraId="1BCC6F2F">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本项目建设时，不设取土料场、取石料场和取砂石料场，所需砂砾石等、材料均当地购买，采用汽车运输。项目所在地交通运输较方便，运输条件良好。</w:t>
            </w:r>
          </w:p>
          <w:p w14:paraId="17CCCB7A">
            <w:pPr>
              <w:keepNext w:val="0"/>
              <w:keepLines w:val="0"/>
              <w:pageBreakBefore w:val="0"/>
              <w:widowControl w:val="0"/>
              <w:kinsoku/>
              <w:wordWrap/>
              <w:overflowPunct/>
              <w:topLinePunct w:val="0"/>
              <w:bidi w:val="0"/>
              <w:adjustRightInd w:val="0"/>
              <w:snapToGrid w:val="0"/>
              <w:spacing w:line="360" w:lineRule="auto"/>
              <w:ind w:left="0" w:leftChars="0" w:firstLine="482" w:firstLineChars="20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（6）临时堆场</w:t>
            </w:r>
          </w:p>
          <w:p w14:paraId="09C08958">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auto"/>
                <w:sz w:val="24"/>
                <w:highlight w:val="none"/>
                <w:lang w:val="zh-CN"/>
              </w:rPr>
            </w:pPr>
            <w:r>
              <w:rPr>
                <w:rFonts w:hint="default" w:ascii="Times New Roman" w:hAnsi="Times New Roman" w:eastAsia="宋体" w:cs="Times New Roman"/>
                <w:bCs/>
                <w:color w:val="auto"/>
                <w:sz w:val="24"/>
                <w:highlight w:val="none"/>
                <w:lang w:val="zh-CN"/>
              </w:rPr>
              <w:t>项目施工期剥离后的表土临时堆放于项目区，不需要重新征占地。</w:t>
            </w:r>
          </w:p>
          <w:p w14:paraId="5F405273">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二</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运营</w:t>
            </w:r>
            <w:r>
              <w:rPr>
                <w:rFonts w:hint="default" w:ascii="Times New Roman" w:hAnsi="Times New Roman" w:eastAsia="宋体" w:cs="Times New Roman"/>
                <w:b/>
                <w:color w:val="auto"/>
                <w:sz w:val="24"/>
                <w:highlight w:val="none"/>
              </w:rPr>
              <w:t>期</w:t>
            </w:r>
            <w:r>
              <w:rPr>
                <w:rFonts w:hint="default" w:ascii="Times New Roman" w:hAnsi="Times New Roman" w:eastAsia="宋体" w:cs="Times New Roman"/>
                <w:b/>
                <w:color w:val="auto"/>
                <w:sz w:val="24"/>
                <w:highlight w:val="none"/>
                <w:lang w:val="en-US" w:eastAsia="zh-CN"/>
              </w:rPr>
              <w:t>工艺流程和产排污节点</w:t>
            </w:r>
          </w:p>
          <w:p w14:paraId="47EFF8CE">
            <w:pPr>
              <w:spacing w:line="360" w:lineRule="auto"/>
              <w:ind w:firstLine="482" w:firstLineChars="200"/>
              <w:rPr>
                <w:rFonts w:hint="default" w:ascii="Times New Roman" w:hAnsi="Times New Roman" w:eastAsia="宋体" w:cs="Times New Roman"/>
                <w:b/>
                <w:bCs/>
                <w:iCs/>
                <w:color w:val="auto"/>
                <w:sz w:val="24"/>
                <w:highlight w:val="none"/>
                <w:lang w:val="en-US" w:eastAsia="zh-CN"/>
              </w:rPr>
            </w:pPr>
            <w:r>
              <w:rPr>
                <w:rFonts w:hint="default" w:ascii="Times New Roman" w:hAnsi="Times New Roman" w:eastAsia="宋体" w:cs="Times New Roman"/>
                <w:b/>
                <w:bCs/>
                <w:iCs/>
                <w:color w:val="auto"/>
                <w:sz w:val="24"/>
                <w:highlight w:val="none"/>
                <w:lang w:val="en-US" w:eastAsia="zh-CN"/>
              </w:rPr>
              <w:t>（一）运营期</w:t>
            </w:r>
            <w:r>
              <w:rPr>
                <w:rFonts w:hint="default" w:ascii="Times New Roman" w:hAnsi="Times New Roman" w:eastAsia="宋体" w:cs="Times New Roman"/>
                <w:b/>
                <w:bCs/>
                <w:color w:val="auto"/>
                <w:sz w:val="24"/>
                <w:highlight w:val="none"/>
                <w:lang w:val="en-US" w:eastAsia="zh-CN"/>
              </w:rPr>
              <w:t>工艺流程</w:t>
            </w:r>
          </w:p>
          <w:p w14:paraId="789913BB">
            <w:pPr>
              <w:adjustRightInd w:val="0"/>
              <w:snapToGrid w:val="0"/>
              <w:spacing w:line="360" w:lineRule="auto"/>
              <w:ind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褐煤烘干提质</w:t>
            </w:r>
            <w:r>
              <w:rPr>
                <w:rFonts w:hint="default" w:ascii="Times New Roman" w:hAnsi="Times New Roman" w:eastAsia="宋体" w:cs="Times New Roman"/>
                <w:b/>
                <w:bCs/>
                <w:color w:val="auto"/>
                <w:sz w:val="24"/>
                <w:szCs w:val="24"/>
                <w:highlight w:val="none"/>
                <w:lang w:val="en-US" w:eastAsia="zh-CN"/>
              </w:rPr>
              <w:t>生产</w:t>
            </w:r>
          </w:p>
          <w:p w14:paraId="30671B94">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项目主要</w:t>
            </w:r>
            <w:r>
              <w:rPr>
                <w:rFonts w:hint="eastAsia" w:cs="Times New Roman"/>
                <w:color w:val="auto"/>
                <w:sz w:val="24"/>
                <w:szCs w:val="24"/>
                <w:highlight w:val="none"/>
                <w:lang w:val="en-US" w:eastAsia="zh-CN"/>
              </w:rPr>
              <w:t>褐煤烘干提质，</w:t>
            </w:r>
            <w:r>
              <w:rPr>
                <w:rFonts w:hint="default" w:ascii="Times New Roman" w:hAnsi="Times New Roman" w:eastAsia="宋体" w:cs="Times New Roman"/>
                <w:color w:val="auto"/>
                <w:sz w:val="24"/>
                <w:szCs w:val="24"/>
                <w:highlight w:val="none"/>
                <w:lang w:val="en-US" w:eastAsia="zh-CN"/>
              </w:rPr>
              <w:t>生产工艺及产排污节点如下图所示</w:t>
            </w:r>
            <w:r>
              <w:rPr>
                <w:rFonts w:hint="default" w:ascii="Times New Roman" w:hAnsi="Times New Roman" w:eastAsia="宋体" w:cs="Times New Roman"/>
                <w:color w:val="auto"/>
                <w:sz w:val="24"/>
                <w:szCs w:val="24"/>
                <w:highlight w:val="none"/>
              </w:rPr>
              <w:t>：</w:t>
            </w:r>
          </w:p>
          <w:p w14:paraId="2C7B94B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p w14:paraId="4CEA3FD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p w14:paraId="0A02291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p w14:paraId="579A27C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p w14:paraId="124D4E35">
            <w:pPr>
              <w:pStyle w:val="25"/>
              <w:spacing w:beforeLines="0" w:after="0" w:afterLines="0" w:line="360" w:lineRule="auto"/>
              <w:ind w:left="0" w:leftChars="0" w:firstLine="0" w:firstLineChars="0"/>
              <w:jc w:val="both"/>
              <w:rPr>
                <w:rFonts w:hint="eastAsia" w:cs="Times New Roman"/>
                <w:b/>
                <w:bCs/>
                <w:color w:val="auto"/>
                <w:sz w:val="21"/>
                <w:szCs w:val="21"/>
                <w:highlight w:val="none"/>
                <w:lang w:val="en-US" w:eastAsia="zh-CN"/>
              </w:rPr>
            </w:pPr>
          </w:p>
          <w:p w14:paraId="246DBA8B">
            <w:pPr>
              <w:pStyle w:val="25"/>
              <w:spacing w:beforeLines="0" w:after="0" w:afterLines="0" w:line="360" w:lineRule="auto"/>
              <w:ind w:left="0" w:leftChars="0" w:firstLine="0" w:firstLineChars="0"/>
              <w:jc w:val="both"/>
              <w:rPr>
                <w:rFonts w:hint="eastAsia" w:cs="Times New Roman"/>
                <w:caps w:val="0"/>
                <w:snapToGrid w:val="0"/>
                <w:color w:val="auto"/>
                <w:spacing w:val="0"/>
                <w:w w:val="100"/>
                <w:kern w:val="2"/>
                <w:position w:val="0"/>
                <w:sz w:val="24"/>
                <w:szCs w:val="24"/>
                <w:highlight w:val="none"/>
                <w:lang w:val="zh-CN" w:eastAsia="zh-CN" w:bidi="ar-SA"/>
              </w:rPr>
            </w:pPr>
          </w:p>
          <w:p w14:paraId="61118A56">
            <w:pPr>
              <w:rPr>
                <w:rFonts w:hint="eastAsia"/>
                <w:color w:val="auto"/>
                <w:highlight w:val="none"/>
                <w:lang w:val="zh-CN" w:eastAsia="zh-CN"/>
              </w:rPr>
            </w:pPr>
          </w:p>
          <w:p w14:paraId="0AD80E3F">
            <w:pPr>
              <w:pStyle w:val="25"/>
              <w:spacing w:beforeLines="0" w:after="0" w:afterLines="0" w:line="360" w:lineRule="auto"/>
              <w:ind w:left="0" w:leftChars="0" w:firstLine="0" w:firstLineChars="0"/>
              <w:jc w:val="both"/>
              <w:rPr>
                <w:rFonts w:hint="eastAsia" w:cs="Times New Roman"/>
                <w:caps w:val="0"/>
                <w:snapToGrid w:val="0"/>
                <w:color w:val="auto"/>
                <w:spacing w:val="0"/>
                <w:w w:val="100"/>
                <w:kern w:val="2"/>
                <w:position w:val="0"/>
                <w:sz w:val="24"/>
                <w:szCs w:val="24"/>
                <w:highlight w:val="none"/>
                <w:lang w:val="zh-CN" w:eastAsia="zh-CN" w:bidi="ar-SA"/>
              </w:rPr>
            </w:pPr>
          </w:p>
          <w:p w14:paraId="6387475A">
            <w:pPr>
              <w:pStyle w:val="25"/>
              <w:spacing w:beforeLines="0" w:after="0" w:afterLines="0" w:line="360" w:lineRule="auto"/>
              <w:ind w:left="0" w:leftChars="0" w:firstLine="0" w:firstLineChars="0"/>
              <w:jc w:val="both"/>
              <w:rPr>
                <w:rFonts w:hint="eastAsia" w:cs="Times New Roman"/>
                <w:caps w:val="0"/>
                <w:snapToGrid w:val="0"/>
                <w:color w:val="auto"/>
                <w:spacing w:val="0"/>
                <w:w w:val="100"/>
                <w:kern w:val="2"/>
                <w:position w:val="0"/>
                <w:sz w:val="24"/>
                <w:szCs w:val="24"/>
                <w:highlight w:val="none"/>
                <w:lang w:val="zh-CN" w:eastAsia="zh-CN" w:bidi="ar-SA"/>
              </w:rPr>
            </w:pPr>
          </w:p>
          <w:p w14:paraId="6C34D0BC">
            <w:pPr>
              <w:pStyle w:val="25"/>
              <w:spacing w:beforeLines="0" w:after="0" w:afterLines="0" w:line="360" w:lineRule="auto"/>
              <w:ind w:left="0" w:leftChars="0" w:firstLine="0" w:firstLineChars="0"/>
              <w:jc w:val="both"/>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pPr>
          </w:p>
        </w:tc>
      </w:tr>
    </w:tbl>
    <w:p w14:paraId="79576B0D">
      <w:pPr>
        <w:pStyle w:val="24"/>
        <w:jc w:val="both"/>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9DC37B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snapToGrid w:val="0"/>
          <w:color w:val="auto"/>
          <w:sz w:val="36"/>
          <w:szCs w:val="36"/>
          <w:highlight w:val="none"/>
        </w:rPr>
      </w:pPr>
      <w:r>
        <w:rPr>
          <w:rFonts w:hint="default" w:ascii="Times New Roman" w:hAnsi="Times New Roman" w:eastAsia="宋体" w:cs="Times New Roman"/>
          <w:b/>
          <w:bCs/>
          <w:color w:val="auto"/>
          <w:sz w:val="21"/>
          <w:szCs w:val="21"/>
          <w:highlight w:val="none"/>
          <w:lang w:val="en-US" w:eastAsia="zh-CN"/>
        </w:rPr>
        <w:pict>
          <v:shape id="_x0000_s1044" o:spid="_x0000_s1044" o:spt="75" type="#_x0000_t75" style="position:absolute;left:0pt;margin-left:-11.85pt;margin-top:-30.8pt;height:461.5pt;width:711.85pt;mso-wrap-distance-bottom:0pt;mso-wrap-distance-left:9pt;mso-wrap-distance-right:9pt;mso-wrap-distance-top:0pt;z-index:251660288;mso-width-relative:page;mso-height-relative:page;" o:ole="t" filled="f" o:preferrelative="t" stroked="f" coordsize="21600,21600">
            <v:path/>
            <v:fill on="f" focussize="0,0"/>
            <v:stroke on="f"/>
            <v:imagedata r:id="rId18" cropleft="2079f" croptop="2055f" cropright="1542f" cropbottom="6983f" o:title=""/>
            <o:lock v:ext="edit" aspectratio="f"/>
            <w10:wrap type="square"/>
          </v:shape>
          <o:OLEObject Type="Embed" ProgID="Visio.Drawing.15" ShapeID="_x0000_s1044" DrawAspect="Content" ObjectID="_1468075728" r:id="rId17">
            <o:LockedField>false</o:LockedField>
          </o:OLEObject>
        </w:pict>
      </w:r>
      <w:r>
        <w:rPr>
          <w:rFonts w:hint="default" w:ascii="Times New Roman" w:hAnsi="Times New Roman" w:eastAsia="宋体" w:cs="Times New Roman"/>
          <w:b/>
          <w:bCs/>
          <w:color w:val="auto"/>
          <w:sz w:val="21"/>
          <w:szCs w:val="21"/>
          <w:highlight w:val="none"/>
          <w:lang w:val="en-US" w:eastAsia="zh-CN"/>
        </w:rPr>
        <w:t>图2-</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 xml:space="preserve">   项目生产工艺流程及产排污节点图</w:t>
      </w:r>
    </w:p>
    <w:p w14:paraId="42D0C0FC">
      <w:pPr>
        <w:pStyle w:val="24"/>
        <w:jc w:val="center"/>
        <w:rPr>
          <w:rFonts w:hint="default" w:ascii="Times New Roman" w:hAnsi="Times New Roman" w:eastAsia="宋体" w:cs="Times New Roman"/>
          <w:snapToGrid w:val="0"/>
          <w:color w:val="auto"/>
          <w:sz w:val="36"/>
          <w:szCs w:val="36"/>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90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0"/>
        <w:gridCol w:w="8575"/>
      </w:tblGrid>
      <w:tr w14:paraId="3CE7B6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76" w:hRule="atLeast"/>
          <w:jc w:val="center"/>
        </w:trPr>
        <w:tc>
          <w:tcPr>
            <w:tcW w:w="470" w:type="dxa"/>
            <w:vAlign w:val="center"/>
          </w:tcPr>
          <w:p w14:paraId="15DA3553">
            <w:pPr>
              <w:pStyle w:val="24"/>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工艺流程和产排污环节</w:t>
            </w:r>
          </w:p>
        </w:tc>
        <w:tc>
          <w:tcPr>
            <w:tcW w:w="8575" w:type="dxa"/>
            <w:vAlign w:val="top"/>
          </w:tcPr>
          <w:p w14:paraId="721A96B3">
            <w:pPr>
              <w:keepNext w:val="0"/>
              <w:keepLines w:val="0"/>
              <w:pageBreakBefore w:val="0"/>
              <w:widowControl w:val="0"/>
              <w:wordWrap/>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注:本项目一年仅检修时设备需要停机，分别为1月和7月两次，设备开停车等非正常工况与正常工况下的区别仅为点火时需使用一部分木材作为点火材料，开停车状况下所有环保设施均正常运行，污染物排放因子及排放量与正常工况下不会发生较大变化。</w:t>
            </w:r>
          </w:p>
          <w:p w14:paraId="4E085AE4">
            <w:pPr>
              <w:keepNext w:val="0"/>
              <w:keepLines w:val="0"/>
              <w:pageBreakBefore w:val="0"/>
              <w:widowControl w:val="0"/>
              <w:wordWrap/>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工艺流程</w:t>
            </w:r>
            <w:r>
              <w:rPr>
                <w:rFonts w:hint="default" w:ascii="Times New Roman" w:hAnsi="Times New Roman" w:eastAsia="宋体" w:cs="Times New Roman"/>
                <w:b/>
                <w:color w:val="auto"/>
                <w:sz w:val="24"/>
                <w:highlight w:val="none"/>
                <w:lang w:val="en-US" w:eastAsia="zh-CN"/>
              </w:rPr>
              <w:t>简述</w:t>
            </w:r>
            <w:r>
              <w:rPr>
                <w:rFonts w:hint="default" w:ascii="Times New Roman" w:hAnsi="Times New Roman" w:eastAsia="宋体" w:cs="Times New Roman"/>
                <w:b/>
                <w:color w:val="auto"/>
                <w:sz w:val="24"/>
                <w:highlight w:val="none"/>
              </w:rPr>
              <w:t>：</w:t>
            </w:r>
          </w:p>
          <w:p w14:paraId="20D4B124">
            <w:pPr>
              <w:spacing w:line="360" w:lineRule="auto"/>
              <w:ind w:firstLine="482" w:firstLineChars="200"/>
              <w:jc w:val="left"/>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color w:val="auto"/>
                <w:sz w:val="24"/>
                <w:highlight w:val="none"/>
              </w:rPr>
              <w:t>①</w:t>
            </w:r>
            <w:r>
              <w:rPr>
                <w:rFonts w:hint="eastAsia" w:ascii="Times New Roman" w:hAnsi="Times New Roman" w:eastAsia="宋体" w:cs="Times New Roman"/>
                <w:b/>
                <w:bCs/>
                <w:color w:val="auto"/>
                <w:sz w:val="24"/>
                <w:highlight w:val="none"/>
                <w:lang w:val="en-US" w:eastAsia="zh-CN"/>
              </w:rPr>
              <w:t>原煤</w:t>
            </w:r>
            <w:r>
              <w:rPr>
                <w:rFonts w:hint="eastAsia" w:cs="Times New Roman"/>
                <w:b/>
                <w:bCs/>
                <w:color w:val="auto"/>
                <w:sz w:val="24"/>
                <w:highlight w:val="none"/>
                <w:lang w:val="en-US" w:eastAsia="zh-CN"/>
              </w:rPr>
              <w:t>进厂、</w:t>
            </w:r>
            <w:r>
              <w:rPr>
                <w:rFonts w:hint="eastAsia" w:ascii="Times New Roman" w:hAnsi="Times New Roman" w:eastAsia="宋体" w:cs="Times New Roman"/>
                <w:b/>
                <w:bCs/>
                <w:color w:val="auto"/>
                <w:sz w:val="24"/>
                <w:highlight w:val="none"/>
                <w:lang w:val="en-US" w:eastAsia="zh-CN"/>
              </w:rPr>
              <w:t>堆棚、破碎、预均化存储系统</w:t>
            </w:r>
          </w:p>
          <w:p w14:paraId="0BD06AF7">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来自厂外购置的褐煤原煤通过自卸汽车运输进厂，</w:t>
            </w:r>
            <w:r>
              <w:rPr>
                <w:rFonts w:hint="eastAsia" w:cs="Times New Roman"/>
                <w:color w:val="auto"/>
                <w:sz w:val="24"/>
                <w:highlight w:val="none"/>
                <w:lang w:val="en-US" w:eastAsia="zh-CN"/>
              </w:rPr>
              <w:t>经过地磅称重</w:t>
            </w:r>
            <w:r>
              <w:rPr>
                <w:rFonts w:hint="eastAsia" w:ascii="Times New Roman" w:hAnsi="Times New Roman" w:eastAsia="宋体" w:cs="Times New Roman"/>
                <w:color w:val="auto"/>
                <w:sz w:val="24"/>
                <w:highlight w:val="none"/>
                <w:lang w:val="en-US" w:eastAsia="zh-CN"/>
              </w:rPr>
              <w:t>后卸入堆棚内的卸车坑，亦可卸入堆棚内临时储存</w:t>
            </w:r>
            <w:r>
              <w:rPr>
                <w:rFonts w:hint="eastAsia" w:cs="Times New Roman"/>
                <w:color w:val="auto"/>
                <w:sz w:val="24"/>
                <w:highlight w:val="none"/>
                <w:lang w:val="en-US" w:eastAsia="zh-CN"/>
              </w:rPr>
              <w:t>（对原煤进行采样进入化验室化验）</w:t>
            </w:r>
            <w:r>
              <w:rPr>
                <w:rFonts w:hint="eastAsia" w:ascii="Times New Roman" w:hAnsi="Times New Roman" w:eastAsia="宋体" w:cs="Times New Roman"/>
                <w:color w:val="auto"/>
                <w:sz w:val="24"/>
                <w:highlight w:val="none"/>
                <w:lang w:val="en-US" w:eastAsia="zh-CN"/>
              </w:rPr>
              <w:t>。堆棚内设置有两个原煤卸车坑，可满足4辆自卸汽车同时卸料，卸车坑下设置有板喂机向转运胶带输送机供料，送至双齿辊破碎机对原煤进行破碎。</w:t>
            </w:r>
          </w:p>
          <w:p w14:paraId="2E1D7214">
            <w:pPr>
              <w:snapToGrid w:val="0"/>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破碎后的褐煤原煤通过胶带输送机送至褐煤原煤预均化堆场，由侧式悬臂堆料机在堆场内预均化布料。预均化堆场内的褐煤原煤由桥式刮板取料机取料，经胶带输送机送入篦式烘干机的喂料仓，喂料仓底可接胶带输送机分料至成品堆棚，需要时可用于成品煤配煤。</w:t>
            </w:r>
          </w:p>
          <w:p w14:paraId="4D530C0A">
            <w:pPr>
              <w:snapToGrid w:val="0"/>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在预均化堆场出料胶带输送机的两端设置有应急进料斗，可通过装载机应急出料。</w:t>
            </w:r>
          </w:p>
          <w:p w14:paraId="2006AE7F">
            <w:pPr>
              <w:snapToGrid w:val="0"/>
              <w:spacing w:line="360" w:lineRule="auto"/>
              <w:ind w:firstLine="480" w:firstLineChars="200"/>
              <w:jc w:val="left"/>
              <w:rPr>
                <w:rFonts w:hint="default"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en-US" w:eastAsia="zh-CN"/>
              </w:rPr>
              <w:t>为防止金属块进入生产系统，在双齿辊破碎机的入料胶带输送机和预均化堆场出料胶带输送机上设有永磁自卸式除铁器用于清除物料中夹杂的铁件。</w:t>
            </w:r>
          </w:p>
          <w:p w14:paraId="3E57EDAF">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此过程</w:t>
            </w:r>
            <w:r>
              <w:rPr>
                <w:rFonts w:hint="eastAsia" w:cs="Times New Roman"/>
                <w:color w:val="auto"/>
                <w:sz w:val="24"/>
                <w:highlight w:val="none"/>
                <w:lang w:val="en-US" w:eastAsia="zh-CN"/>
              </w:rPr>
              <w:t>原煤进厂时产生化验清洗废水W</w:t>
            </w:r>
            <w:r>
              <w:rPr>
                <w:rFonts w:hint="default" w:ascii="Times New Roman" w:hAnsi="Times New Roman" w:eastAsia="宋体" w:cs="Times New Roman"/>
                <w:color w:val="auto"/>
                <w:sz w:val="24"/>
                <w:highlight w:val="none"/>
                <w:vertAlign w:val="subscript"/>
              </w:rPr>
              <w:t>1</w:t>
            </w:r>
            <w:r>
              <w:rPr>
                <w:rFonts w:hint="eastAsia" w:cs="Times New Roman"/>
                <w:color w:val="auto"/>
                <w:sz w:val="24"/>
                <w:highlight w:val="none"/>
                <w:vertAlign w:val="baseline"/>
                <w:lang w:eastAsia="zh-CN"/>
              </w:rPr>
              <w:t>、</w:t>
            </w:r>
            <w:r>
              <w:rPr>
                <w:rFonts w:hint="eastAsia" w:cs="Times New Roman"/>
                <w:color w:val="auto"/>
                <w:sz w:val="24"/>
                <w:szCs w:val="24"/>
                <w:highlight w:val="none"/>
                <w:lang w:val="zh-CN"/>
              </w:rPr>
              <w:t>卸料时产生卸料扬尘</w:t>
            </w:r>
            <w:r>
              <w:rPr>
                <w:rFonts w:hint="eastAsia" w:cs="Times New Roman"/>
                <w:color w:val="auto"/>
                <w:sz w:val="24"/>
                <w:szCs w:val="24"/>
                <w:highlight w:val="none"/>
                <w:lang w:val="en-US" w:eastAsia="zh-CN"/>
              </w:rPr>
              <w:t>G</w:t>
            </w:r>
            <w:r>
              <w:rPr>
                <w:rFonts w:hint="eastAsia" w:cs="Times New Roman"/>
                <w:color w:val="auto"/>
                <w:sz w:val="24"/>
                <w:szCs w:val="24"/>
                <w:highlight w:val="none"/>
                <w:vertAlign w:val="subscript"/>
                <w:lang w:val="en-US" w:eastAsia="zh-CN"/>
              </w:rPr>
              <w:t>1</w:t>
            </w:r>
            <w:r>
              <w:rPr>
                <w:rFonts w:hint="eastAsia" w:cs="Times New Roman"/>
                <w:color w:val="auto"/>
                <w:sz w:val="24"/>
                <w:szCs w:val="24"/>
                <w:highlight w:val="none"/>
                <w:lang w:val="zh-CN"/>
              </w:rPr>
              <w:t>、原煤堆存及预均化时产生原料堆场扬尘</w:t>
            </w:r>
            <w:r>
              <w:rPr>
                <w:rFonts w:hint="eastAsia" w:cs="Times New Roman"/>
                <w:color w:val="auto"/>
                <w:sz w:val="24"/>
                <w:szCs w:val="24"/>
                <w:highlight w:val="none"/>
                <w:lang w:val="en-US" w:eastAsia="zh-CN"/>
              </w:rPr>
              <w:t>G</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vertAlign w:val="baseline"/>
                <w:lang w:val="en-US" w:eastAsia="zh-CN"/>
              </w:rPr>
              <w:t>以</w:t>
            </w:r>
            <w:r>
              <w:rPr>
                <w:rFonts w:hint="eastAsia" w:cs="Times New Roman"/>
                <w:color w:val="auto"/>
                <w:sz w:val="24"/>
                <w:szCs w:val="24"/>
                <w:highlight w:val="none"/>
                <w:lang w:val="en-US" w:eastAsia="zh-CN"/>
              </w:rPr>
              <w:t>及原料转载点落料粉尘</w:t>
            </w:r>
            <w:r>
              <w:rPr>
                <w:rFonts w:hint="eastAsia" w:cs="Times New Roman"/>
                <w:color w:val="auto"/>
                <w:sz w:val="24"/>
                <w:szCs w:val="24"/>
                <w:highlight w:val="none"/>
                <w:vertAlign w:val="baseline"/>
                <w:lang w:val="en-US" w:eastAsia="zh-CN"/>
              </w:rPr>
              <w:t>G</w:t>
            </w:r>
            <w:r>
              <w:rPr>
                <w:rFonts w:hint="eastAsia" w:cs="Times New Roman"/>
                <w:color w:val="auto"/>
                <w:sz w:val="24"/>
                <w:szCs w:val="24"/>
                <w:highlight w:val="none"/>
                <w:vertAlign w:val="subscript"/>
                <w:lang w:val="en-US" w:eastAsia="zh-CN"/>
              </w:rPr>
              <w:t>3</w:t>
            </w:r>
            <w:r>
              <w:rPr>
                <w:rFonts w:hint="eastAsia" w:cs="Times New Roman"/>
                <w:color w:val="auto"/>
                <w:sz w:val="24"/>
                <w:szCs w:val="24"/>
                <w:highlight w:val="none"/>
                <w:lang w:val="en-US" w:eastAsia="zh-CN"/>
              </w:rPr>
              <w:t>、破碎粉尘</w:t>
            </w:r>
            <w:r>
              <w:rPr>
                <w:rFonts w:hint="default" w:ascii="Times New Roman" w:hAnsi="Times New Roman" w:eastAsia="宋体" w:cs="Times New Roman"/>
                <w:color w:val="auto"/>
                <w:sz w:val="24"/>
                <w:highlight w:val="none"/>
              </w:rPr>
              <w:t>G</w:t>
            </w:r>
            <w:r>
              <w:rPr>
                <w:rFonts w:hint="eastAsia" w:cs="Times New Roman"/>
                <w:color w:val="auto"/>
                <w:sz w:val="24"/>
                <w:highlight w:val="none"/>
                <w:vertAlign w:val="subscript"/>
                <w:lang w:val="en-US" w:eastAsia="zh-CN"/>
              </w:rPr>
              <w:t>4</w:t>
            </w:r>
            <w:r>
              <w:rPr>
                <w:rFonts w:hint="eastAsia" w:cs="Times New Roman"/>
                <w:color w:val="auto"/>
                <w:sz w:val="24"/>
                <w:highlight w:val="none"/>
                <w:vertAlign w:val="baseline"/>
                <w:lang w:val="en-US" w:eastAsia="zh-CN"/>
              </w:rPr>
              <w:t>、</w:t>
            </w:r>
            <w:r>
              <w:rPr>
                <w:rFonts w:hint="eastAsia" w:cs="Times New Roman"/>
                <w:color w:val="auto"/>
                <w:sz w:val="24"/>
                <w:szCs w:val="24"/>
                <w:highlight w:val="none"/>
                <w:lang w:val="en-US" w:eastAsia="zh-CN"/>
              </w:rPr>
              <w:t>原料除尘器收集的粉尘</w:t>
            </w:r>
            <w:r>
              <w:rPr>
                <w:rFonts w:hint="default" w:ascii="Times New Roman" w:hAnsi="Times New Roman" w:eastAsia="宋体" w:cs="Times New Roman"/>
                <w:color w:val="auto"/>
                <w:sz w:val="24"/>
                <w:highlight w:val="none"/>
              </w:rPr>
              <w:t>S</w:t>
            </w:r>
            <w:r>
              <w:rPr>
                <w:rFonts w:hint="default" w:ascii="Times New Roman" w:hAnsi="Times New Roman" w:eastAsia="宋体" w:cs="Times New Roman"/>
                <w:color w:val="auto"/>
                <w:sz w:val="24"/>
                <w:highlight w:val="none"/>
                <w:vertAlign w:val="subscript"/>
              </w:rPr>
              <w:t>1</w:t>
            </w:r>
            <w:r>
              <w:rPr>
                <w:rFonts w:hint="eastAsia" w:cs="Times New Roman"/>
                <w:color w:val="auto"/>
                <w:sz w:val="24"/>
                <w:highlight w:val="none"/>
                <w:vertAlign w:val="baseline"/>
                <w:lang w:eastAsia="zh-CN"/>
              </w:rPr>
              <w:t>、废试剂瓶、废液</w:t>
            </w:r>
            <w:r>
              <w:rPr>
                <w:rFonts w:hint="eastAsia" w:cs="Times New Roman"/>
                <w:color w:val="auto"/>
                <w:sz w:val="24"/>
                <w:highlight w:val="none"/>
                <w:vertAlign w:val="baseline"/>
                <w:lang w:val="en-US" w:eastAsia="zh-CN"/>
              </w:rPr>
              <w:t>S</w:t>
            </w:r>
            <w:r>
              <w:rPr>
                <w:rFonts w:hint="eastAsia" w:cs="Times New Roman"/>
                <w:color w:val="auto"/>
                <w:sz w:val="24"/>
                <w:highlight w:val="none"/>
                <w:vertAlign w:val="subscript"/>
                <w:lang w:val="en-US" w:eastAsia="zh-CN"/>
              </w:rPr>
              <w:t>4</w:t>
            </w:r>
            <w:r>
              <w:rPr>
                <w:rFonts w:hint="eastAsia" w:cs="Times New Roman"/>
                <w:color w:val="auto"/>
                <w:sz w:val="24"/>
                <w:highlight w:val="none"/>
                <w:vertAlign w:val="baseline"/>
                <w:lang w:val="en-US" w:eastAsia="zh-CN"/>
              </w:rPr>
              <w:t>、</w:t>
            </w:r>
            <w:r>
              <w:rPr>
                <w:rFonts w:hint="eastAsia" w:cs="Times New Roman"/>
                <w:color w:val="auto"/>
                <w:sz w:val="24"/>
                <w:highlight w:val="none"/>
                <w:vertAlign w:val="baseline"/>
                <w:lang w:eastAsia="zh-CN"/>
              </w:rPr>
              <w:t>设备运行时的噪声</w:t>
            </w:r>
            <w:r>
              <w:rPr>
                <w:rFonts w:hint="eastAsia" w:cs="Times New Roman"/>
                <w:color w:val="auto"/>
                <w:sz w:val="24"/>
                <w:highlight w:val="none"/>
                <w:vertAlign w:val="baseline"/>
                <w:lang w:val="en-US" w:eastAsia="zh-CN"/>
              </w:rPr>
              <w:t>N</w:t>
            </w:r>
            <w:r>
              <w:rPr>
                <w:rFonts w:hint="eastAsia" w:cs="Times New Roman"/>
                <w:color w:val="auto"/>
                <w:sz w:val="24"/>
                <w:highlight w:val="none"/>
                <w:vertAlign w:val="subscript"/>
                <w:lang w:val="en-US" w:eastAsia="zh-CN"/>
              </w:rPr>
              <w:t>1</w:t>
            </w:r>
            <w:r>
              <w:rPr>
                <w:rFonts w:hint="eastAsia" w:cs="Times New Roman"/>
                <w:color w:val="auto"/>
                <w:sz w:val="24"/>
                <w:highlight w:val="none"/>
                <w:vertAlign w:val="baseline"/>
                <w:lang w:val="en-US" w:eastAsia="zh-CN"/>
              </w:rPr>
              <w:t>。</w:t>
            </w:r>
          </w:p>
          <w:p w14:paraId="174B1C32">
            <w:pPr>
              <w:snapToGrid w:val="0"/>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color w:val="auto"/>
                <w:sz w:val="24"/>
                <w:highlight w:val="none"/>
              </w:rPr>
              <w:t>②</w:t>
            </w:r>
            <w:r>
              <w:rPr>
                <w:rFonts w:hint="eastAsia" w:ascii="Times New Roman" w:hAnsi="Times New Roman" w:eastAsia="宋体" w:cs="Times New Roman"/>
                <w:b/>
                <w:bCs/>
                <w:color w:val="auto"/>
                <w:sz w:val="24"/>
                <w:highlight w:val="none"/>
                <w:lang w:val="en-US" w:eastAsia="zh-CN"/>
              </w:rPr>
              <w:t>褐煤篦式烘干系统、优质煤粉存储及装车系统</w:t>
            </w:r>
          </w:p>
          <w:p w14:paraId="504F8720">
            <w:pPr>
              <w:spacing w:line="360" w:lineRule="auto"/>
              <w:ind w:firstLine="480" w:firstLineChars="200"/>
              <w:jc w:val="left"/>
              <w:rPr>
                <w:rFonts w:hint="eastAsia" w:cs="Times New Roman"/>
                <w:color w:val="auto"/>
                <w:sz w:val="24"/>
                <w:szCs w:val="24"/>
                <w:highlight w:val="none"/>
                <w:lang w:val="zh-CN"/>
              </w:rPr>
            </w:pPr>
            <w:r>
              <w:rPr>
                <w:rFonts w:hint="eastAsia" w:cs="Times New Roman"/>
                <w:color w:val="auto"/>
                <w:sz w:val="24"/>
                <w:szCs w:val="24"/>
                <w:highlight w:val="none"/>
                <w:lang w:val="zh-CN"/>
              </w:rPr>
              <w:t>篦式烘干机设两座喂料仓</w:t>
            </w:r>
            <w:r>
              <w:rPr>
                <w:rFonts w:hint="eastAsia" w:cs="Times New Roman"/>
                <w:color w:val="auto"/>
                <w:sz w:val="24"/>
                <w:szCs w:val="24"/>
                <w:highlight w:val="none"/>
                <w:lang w:val="zh-CN" w:eastAsia="zh-CN"/>
              </w:rPr>
              <w:t>，</w:t>
            </w:r>
            <w:r>
              <w:rPr>
                <w:rFonts w:hint="eastAsia" w:cs="Times New Roman"/>
                <w:color w:val="auto"/>
                <w:sz w:val="24"/>
                <w:szCs w:val="24"/>
                <w:highlight w:val="none"/>
                <w:lang w:val="zh-CN"/>
              </w:rPr>
              <w:t>每座喂料仓底部设置一台定量给料机，仓内褐煤原煤通过定量给料机计量出料，分别经气动双重锤翻板锁风阀喂入篦式烘干机进行流态化烘干，使原煤水分从55%</w:t>
            </w:r>
            <w:r>
              <w:rPr>
                <w:rFonts w:hint="eastAsia" w:cs="Times New Roman"/>
                <w:color w:val="auto"/>
                <w:sz w:val="24"/>
                <w:szCs w:val="24"/>
                <w:highlight w:val="none"/>
                <w:lang w:val="en-US" w:eastAsia="zh-CN"/>
              </w:rPr>
              <w:t>-60%</w:t>
            </w:r>
            <w:r>
              <w:rPr>
                <w:rFonts w:hint="eastAsia" w:cs="Times New Roman"/>
                <w:color w:val="auto"/>
                <w:sz w:val="24"/>
                <w:szCs w:val="24"/>
                <w:highlight w:val="none"/>
                <w:lang w:val="zh-CN"/>
              </w:rPr>
              <w:t>下降到</w:t>
            </w:r>
            <w:r>
              <w:rPr>
                <w:rFonts w:hint="eastAsia" w:cs="Times New Roman"/>
                <w:color w:val="auto"/>
                <w:sz w:val="24"/>
                <w:szCs w:val="24"/>
                <w:highlight w:val="none"/>
                <w:lang w:val="en-US" w:eastAsia="zh-CN"/>
              </w:rPr>
              <w:t>25</w:t>
            </w: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-30%</w:t>
            </w:r>
            <w:r>
              <w:rPr>
                <w:rFonts w:hint="eastAsia" w:cs="Times New Roman"/>
                <w:color w:val="auto"/>
                <w:sz w:val="24"/>
                <w:szCs w:val="24"/>
                <w:highlight w:val="none"/>
                <w:lang w:val="zh-CN"/>
              </w:rPr>
              <w:t>。其中一个喂料仓底部设计两路出料，其中一路出料经胶带输送机输送至产品堆棚，另一路用于褐煤原煤与烘干后的优质成品煤调配。</w:t>
            </w:r>
          </w:p>
          <w:p w14:paraId="42FFEEED">
            <w:pPr>
              <w:spacing w:line="360" w:lineRule="auto"/>
              <w:ind w:firstLine="480" w:firstLineChars="200"/>
              <w:jc w:val="left"/>
              <w:rPr>
                <w:rFonts w:hint="eastAsia" w:cs="Times New Roman"/>
                <w:color w:val="auto"/>
                <w:sz w:val="24"/>
                <w:szCs w:val="24"/>
                <w:highlight w:val="none"/>
                <w:lang w:val="zh-CN"/>
              </w:rPr>
            </w:pPr>
            <w:r>
              <w:rPr>
                <w:rFonts w:hint="eastAsia" w:cs="Times New Roman"/>
                <w:color w:val="auto"/>
                <w:sz w:val="24"/>
                <w:szCs w:val="24"/>
                <w:highlight w:val="none"/>
                <w:lang w:val="zh-CN"/>
              </w:rPr>
              <w:t>篦式烘干机的热源由1套燃</w:t>
            </w:r>
            <w:r>
              <w:rPr>
                <w:rFonts w:hint="eastAsia" w:cs="Times New Roman"/>
                <w:color w:val="auto"/>
                <w:sz w:val="24"/>
                <w:szCs w:val="24"/>
                <w:highlight w:val="none"/>
                <w:lang w:val="en-US" w:eastAsia="zh-CN"/>
              </w:rPr>
              <w:t>生物质颗粒</w:t>
            </w:r>
            <w:r>
              <w:rPr>
                <w:rFonts w:hint="eastAsia" w:cs="Times New Roman"/>
                <w:color w:val="auto"/>
                <w:sz w:val="24"/>
                <w:szCs w:val="24"/>
                <w:highlight w:val="none"/>
                <w:lang w:val="zh-CN"/>
              </w:rPr>
              <w:t>沸腾热风炉供热，燃</w:t>
            </w:r>
            <w:r>
              <w:rPr>
                <w:rFonts w:hint="eastAsia" w:cs="Times New Roman"/>
                <w:color w:val="auto"/>
                <w:sz w:val="24"/>
                <w:szCs w:val="24"/>
                <w:highlight w:val="none"/>
                <w:lang w:val="en-US" w:eastAsia="zh-CN"/>
              </w:rPr>
              <w:t>生物质颗粒</w:t>
            </w:r>
            <w:r>
              <w:rPr>
                <w:rFonts w:hint="eastAsia" w:cs="Times New Roman"/>
                <w:color w:val="auto"/>
                <w:sz w:val="24"/>
                <w:szCs w:val="24"/>
                <w:highlight w:val="none"/>
                <w:lang w:val="zh-CN"/>
              </w:rPr>
              <w:t>为外购。热风炉自带上料斗和小型锤式破碎机，将生物质颗粒经斗提机提升至热风炉喂煤仓，再经仓底转子秤计量喂入热风炉内进行燃烧。</w:t>
            </w:r>
          </w:p>
          <w:p w14:paraId="534AC2BB">
            <w:pPr>
              <w:spacing w:line="360" w:lineRule="auto"/>
              <w:ind w:firstLine="480" w:firstLineChars="200"/>
              <w:jc w:val="left"/>
              <w:rPr>
                <w:rFonts w:hint="eastAsia" w:cs="Times New Roman"/>
                <w:color w:val="auto"/>
                <w:sz w:val="24"/>
                <w:szCs w:val="24"/>
                <w:highlight w:val="none"/>
                <w:lang w:val="zh-CN"/>
              </w:rPr>
            </w:pPr>
            <w:r>
              <w:rPr>
                <w:rFonts w:hint="eastAsia" w:cs="Times New Roman"/>
                <w:color w:val="auto"/>
                <w:sz w:val="24"/>
                <w:szCs w:val="24"/>
                <w:highlight w:val="none"/>
                <w:lang w:val="zh-CN"/>
              </w:rPr>
              <w:t>褐煤进入篦式烘干机系统（流态化烘干、脱水）的热烟气温度低于300℃，烟气含氧量低于6%，使系统满足在惰性气氛下运行，篦式烘干机出口温度≤80℃。</w:t>
            </w:r>
          </w:p>
          <w:p w14:paraId="4D8D6FA9">
            <w:pPr>
              <w:spacing w:line="360" w:lineRule="auto"/>
              <w:ind w:firstLine="480" w:firstLineChars="200"/>
              <w:jc w:val="left"/>
              <w:rPr>
                <w:rFonts w:hint="eastAsia" w:cs="Times New Roman"/>
                <w:color w:val="auto"/>
                <w:sz w:val="24"/>
                <w:szCs w:val="24"/>
                <w:highlight w:val="none"/>
                <w:lang w:val="zh-CN"/>
              </w:rPr>
            </w:pPr>
            <w:r>
              <w:rPr>
                <w:rFonts w:hint="eastAsia" w:cs="Times New Roman"/>
                <w:color w:val="auto"/>
                <w:sz w:val="24"/>
                <w:szCs w:val="24"/>
                <w:highlight w:val="none"/>
                <w:lang w:val="zh-CN"/>
              </w:rPr>
              <w:t>热风炉产生的热风与烘干系统的低温循环风调配后，由烘干机鼓风机分配送入篦式烘干机各段篦床，对篦床上的原煤进行烘干。热风炉产生的少量炉灰渣排在热风炉底部的炉灰渣池内，冷却后通过铲车装车作为水泥生产的混合材外售。</w:t>
            </w:r>
          </w:p>
          <w:p w14:paraId="526C6FD3">
            <w:pPr>
              <w:spacing w:line="360" w:lineRule="auto"/>
              <w:ind w:firstLine="480" w:firstLineChars="200"/>
              <w:jc w:val="left"/>
              <w:rPr>
                <w:rFonts w:hint="eastAsia" w:cs="Times New Roman"/>
                <w:color w:val="auto"/>
                <w:sz w:val="24"/>
                <w:szCs w:val="24"/>
                <w:highlight w:val="none"/>
                <w:lang w:val="zh-CN"/>
              </w:rPr>
            </w:pPr>
            <w:r>
              <w:rPr>
                <w:rFonts w:hint="eastAsia" w:cs="Times New Roman"/>
                <w:color w:val="auto"/>
                <w:sz w:val="24"/>
                <w:szCs w:val="24"/>
                <w:highlight w:val="none"/>
                <w:lang w:val="zh-CN"/>
              </w:rPr>
              <w:t>从篦式烘干机排出的携带粉尘、低氧含量烟气经由高效抗静电袋式收尘器净化收尘后，为了节约能耗，一部分除尘后的烟气被循环利用，与出热风炉的热烟气调配混合作为篦式烘干机烘干热风使用，剩余废气经烟囱向大气排放。</w:t>
            </w:r>
          </w:p>
          <w:p w14:paraId="1380DECD">
            <w:pPr>
              <w:spacing w:line="360" w:lineRule="auto"/>
              <w:ind w:firstLine="480" w:firstLineChars="200"/>
              <w:jc w:val="left"/>
              <w:rPr>
                <w:rFonts w:hint="eastAsia" w:cs="Times New Roman"/>
                <w:color w:val="auto"/>
                <w:sz w:val="24"/>
                <w:szCs w:val="24"/>
                <w:highlight w:val="none"/>
                <w:lang w:val="zh-CN"/>
              </w:rPr>
            </w:pPr>
            <w:r>
              <w:rPr>
                <w:rFonts w:hint="eastAsia" w:cs="Times New Roman"/>
                <w:color w:val="auto"/>
                <w:sz w:val="24"/>
                <w:szCs w:val="24"/>
                <w:highlight w:val="none"/>
                <w:lang w:val="zh-CN"/>
              </w:rPr>
              <w:t>袋式收尘器收集的细粉经拉链机、斗提等输送设备送至细粉仓储存，细粉仓底设置一台装车机，用于细粉装车。</w:t>
            </w:r>
          </w:p>
          <w:p w14:paraId="57843EA2">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此过程会产生</w:t>
            </w:r>
            <w:r>
              <w:rPr>
                <w:rFonts w:hint="eastAsia" w:cs="Times New Roman"/>
                <w:color w:val="auto"/>
                <w:sz w:val="24"/>
                <w:highlight w:val="none"/>
                <w:lang w:eastAsia="zh-CN"/>
              </w:rPr>
              <w:t>成品</w:t>
            </w:r>
            <w:r>
              <w:rPr>
                <w:rFonts w:hint="eastAsia" w:cs="Times New Roman"/>
                <w:color w:val="auto"/>
                <w:sz w:val="24"/>
                <w:szCs w:val="24"/>
                <w:highlight w:val="none"/>
                <w:lang w:val="en-US" w:eastAsia="zh-CN"/>
              </w:rPr>
              <w:t>转载点落料粉尘</w:t>
            </w:r>
            <w:r>
              <w:rPr>
                <w:rFonts w:hint="default" w:ascii="Times New Roman" w:hAnsi="Times New Roman" w:eastAsia="宋体" w:cs="Times New Roman"/>
                <w:color w:val="auto"/>
                <w:sz w:val="24"/>
                <w:highlight w:val="none"/>
              </w:rPr>
              <w:t>G</w:t>
            </w:r>
            <w:r>
              <w:rPr>
                <w:rFonts w:hint="eastAsia" w:cs="Times New Roman"/>
                <w:color w:val="auto"/>
                <w:sz w:val="24"/>
                <w:highlight w:val="none"/>
                <w:vertAlign w:val="subscript"/>
                <w:lang w:val="en-US" w:eastAsia="zh-CN"/>
              </w:rPr>
              <w:t>9</w:t>
            </w: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烘干</w:t>
            </w:r>
            <w:r>
              <w:rPr>
                <w:rFonts w:hint="default" w:ascii="Times New Roman" w:hAnsi="Times New Roman" w:eastAsia="宋体" w:cs="Times New Roman"/>
                <w:color w:val="auto"/>
                <w:sz w:val="24"/>
                <w:highlight w:val="none"/>
              </w:rPr>
              <w:t>废气G</w:t>
            </w:r>
            <w:r>
              <w:rPr>
                <w:rFonts w:hint="eastAsia" w:cs="Times New Roman"/>
                <w:color w:val="auto"/>
                <w:sz w:val="24"/>
                <w:highlight w:val="none"/>
                <w:vertAlign w:val="subscript"/>
                <w:lang w:val="en-US" w:eastAsia="zh-CN"/>
              </w:rPr>
              <w:t>5</w:t>
            </w:r>
            <w:r>
              <w:rPr>
                <w:rFonts w:hint="eastAsia" w:cs="Times New Roman"/>
                <w:color w:val="auto"/>
                <w:sz w:val="24"/>
                <w:highlight w:val="none"/>
                <w:vertAlign w:val="baseline"/>
                <w:lang w:val="en-US" w:eastAsia="zh-CN"/>
              </w:rPr>
              <w:t>（烘干废气中的SO</w:t>
            </w:r>
            <w:r>
              <w:rPr>
                <w:rFonts w:hint="eastAsia" w:cs="Times New Roman"/>
                <w:color w:val="auto"/>
                <w:sz w:val="24"/>
                <w:highlight w:val="none"/>
                <w:vertAlign w:val="subscript"/>
                <w:lang w:val="en-US" w:eastAsia="zh-CN"/>
              </w:rPr>
              <w:t>2</w:t>
            </w:r>
            <w:r>
              <w:rPr>
                <w:rFonts w:hint="eastAsia" w:cs="Times New Roman"/>
                <w:color w:val="auto"/>
                <w:sz w:val="24"/>
                <w:highlight w:val="none"/>
                <w:vertAlign w:val="baseline"/>
                <w:lang w:val="en-US" w:eastAsia="zh-CN"/>
              </w:rPr>
              <w:t>通过石灰石粉喷入炉膛脱硫（管道对接），石灰石粉在厂内为储罐储存，转运过程也使用储罐直接管道对接。）</w:t>
            </w:r>
            <w:r>
              <w:rPr>
                <w:rFonts w:hint="default" w:ascii="Times New Roman" w:hAnsi="Times New Roman" w:eastAsia="宋体" w:cs="Times New Roman"/>
                <w:color w:val="auto"/>
                <w:sz w:val="24"/>
                <w:highlight w:val="none"/>
                <w:lang w:eastAsia="zh-CN"/>
              </w:rPr>
              <w:t>、</w:t>
            </w:r>
            <w:r>
              <w:rPr>
                <w:rFonts w:hint="eastAsia" w:cs="Times New Roman"/>
                <w:color w:val="auto"/>
                <w:sz w:val="24"/>
                <w:szCs w:val="24"/>
                <w:highlight w:val="none"/>
                <w:lang w:val="en-US" w:eastAsia="zh-CN"/>
              </w:rPr>
              <w:t>喂煤仓粉尘</w:t>
            </w:r>
            <w:r>
              <w:rPr>
                <w:rFonts w:hint="default" w:ascii="Times New Roman" w:hAnsi="Times New Roman" w:eastAsia="宋体" w:cs="Times New Roman"/>
                <w:color w:val="auto"/>
                <w:sz w:val="24"/>
                <w:highlight w:val="none"/>
              </w:rPr>
              <w:t>G</w:t>
            </w:r>
            <w:r>
              <w:rPr>
                <w:rFonts w:hint="eastAsia" w:cs="Times New Roman"/>
                <w:color w:val="auto"/>
                <w:sz w:val="24"/>
                <w:highlight w:val="none"/>
                <w:vertAlign w:val="subscript"/>
                <w:lang w:val="en-US" w:eastAsia="zh-CN"/>
              </w:rPr>
              <w:t>7</w:t>
            </w:r>
            <w:r>
              <w:rPr>
                <w:rFonts w:hint="eastAsia" w:cs="Times New Roman"/>
                <w:color w:val="auto"/>
                <w:sz w:val="24"/>
                <w:highlight w:val="none"/>
                <w:vertAlign w:val="baseline"/>
                <w:lang w:val="en-US" w:eastAsia="zh-CN"/>
              </w:rPr>
              <w:t>、粉</w:t>
            </w:r>
            <w:r>
              <w:rPr>
                <w:rFonts w:hint="eastAsia" w:cs="Times New Roman"/>
                <w:color w:val="auto"/>
                <w:sz w:val="24"/>
                <w:szCs w:val="24"/>
                <w:highlight w:val="none"/>
                <w:lang w:val="en-US" w:eastAsia="zh-CN"/>
              </w:rPr>
              <w:t>煤仓粉尘</w:t>
            </w:r>
            <w:r>
              <w:rPr>
                <w:rFonts w:hint="default" w:ascii="Times New Roman" w:hAnsi="Times New Roman" w:eastAsia="宋体" w:cs="Times New Roman"/>
                <w:color w:val="auto"/>
                <w:sz w:val="24"/>
                <w:highlight w:val="none"/>
              </w:rPr>
              <w:t>G</w:t>
            </w:r>
            <w:r>
              <w:rPr>
                <w:rFonts w:hint="eastAsia" w:cs="Times New Roman"/>
                <w:color w:val="auto"/>
                <w:sz w:val="24"/>
                <w:highlight w:val="none"/>
                <w:vertAlign w:val="subscript"/>
                <w:lang w:val="en-US" w:eastAsia="zh-CN"/>
              </w:rPr>
              <w:t>8</w:t>
            </w:r>
            <w:r>
              <w:rPr>
                <w:rFonts w:hint="eastAsia" w:cs="Times New Roman"/>
                <w:color w:val="auto"/>
                <w:sz w:val="24"/>
                <w:highlight w:val="none"/>
                <w:vertAlign w:val="baseline"/>
                <w:lang w:val="en-US" w:eastAsia="zh-CN"/>
              </w:rPr>
              <w:t>、石灰石储罐</w:t>
            </w:r>
            <w:r>
              <w:rPr>
                <w:rFonts w:hint="eastAsia" w:cs="Times New Roman"/>
                <w:color w:val="auto"/>
                <w:sz w:val="24"/>
                <w:szCs w:val="24"/>
                <w:highlight w:val="none"/>
                <w:lang w:val="en-US" w:eastAsia="zh-CN"/>
              </w:rPr>
              <w:t>粉尘</w:t>
            </w:r>
            <w:r>
              <w:rPr>
                <w:rFonts w:hint="default" w:ascii="Times New Roman" w:hAnsi="Times New Roman" w:eastAsia="宋体" w:cs="Times New Roman"/>
                <w:color w:val="auto"/>
                <w:sz w:val="24"/>
                <w:highlight w:val="none"/>
              </w:rPr>
              <w:t>G</w:t>
            </w:r>
            <w:r>
              <w:rPr>
                <w:rFonts w:hint="eastAsia" w:ascii="Times New Roman" w:hAnsi="Times New Roman" w:eastAsia="宋体" w:cs="Times New Roman"/>
                <w:color w:val="auto"/>
                <w:sz w:val="24"/>
                <w:highlight w:val="none"/>
                <w:vertAlign w:val="subscript"/>
                <w:lang w:val="en-US" w:eastAsia="zh-CN"/>
              </w:rPr>
              <w:t>10</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eastAsia="zh-CN"/>
              </w:rPr>
              <w:t>燃料仓</w:t>
            </w:r>
            <w:r>
              <w:rPr>
                <w:rFonts w:hint="eastAsia" w:cs="Times New Roman"/>
                <w:color w:val="auto"/>
                <w:sz w:val="24"/>
                <w:szCs w:val="24"/>
                <w:highlight w:val="none"/>
                <w:lang w:val="en-US" w:eastAsia="zh-CN"/>
              </w:rPr>
              <w:t>粉尘</w:t>
            </w:r>
            <w:r>
              <w:rPr>
                <w:rFonts w:hint="default" w:ascii="Times New Roman" w:hAnsi="Times New Roman" w:eastAsia="宋体" w:cs="Times New Roman"/>
                <w:color w:val="auto"/>
                <w:sz w:val="24"/>
                <w:highlight w:val="none"/>
              </w:rPr>
              <w:t>G</w:t>
            </w:r>
            <w:r>
              <w:rPr>
                <w:rFonts w:hint="eastAsia" w:cs="Times New Roman"/>
                <w:color w:val="auto"/>
                <w:sz w:val="24"/>
                <w:highlight w:val="none"/>
                <w:vertAlign w:val="subscript"/>
                <w:lang w:val="en-US" w:eastAsia="zh-CN"/>
              </w:rPr>
              <w:t>12</w:t>
            </w:r>
            <w:r>
              <w:rPr>
                <w:rFonts w:hint="eastAsia" w:cs="Times New Roman"/>
                <w:color w:val="auto"/>
                <w:sz w:val="24"/>
                <w:highlight w:val="none"/>
                <w:vertAlign w:val="baseline"/>
                <w:lang w:val="en-US" w:eastAsia="zh-CN"/>
              </w:rPr>
              <w:t>、生物质颗粒</w:t>
            </w:r>
            <w:r>
              <w:rPr>
                <w:rFonts w:hint="eastAsia" w:cs="Times New Roman"/>
                <w:color w:val="auto"/>
                <w:sz w:val="24"/>
                <w:highlight w:val="none"/>
                <w:lang w:val="en-US" w:eastAsia="zh-CN"/>
              </w:rPr>
              <w:t>燃烧的炉</w:t>
            </w:r>
            <w:r>
              <w:rPr>
                <w:rFonts w:hint="default" w:ascii="Times New Roman" w:hAnsi="Times New Roman" w:eastAsia="宋体" w:cs="Times New Roman"/>
                <w:color w:val="auto"/>
                <w:sz w:val="24"/>
                <w:highlight w:val="none"/>
                <w:lang w:val="en-US" w:eastAsia="zh-CN"/>
              </w:rPr>
              <w:t>渣</w:t>
            </w:r>
            <w:r>
              <w:rPr>
                <w:rFonts w:hint="default" w:ascii="Times New Roman" w:hAnsi="Times New Roman" w:eastAsia="宋体" w:cs="Times New Roman"/>
                <w:color w:val="auto"/>
                <w:sz w:val="24"/>
                <w:highlight w:val="none"/>
              </w:rPr>
              <w:t>S</w:t>
            </w:r>
            <w:r>
              <w:rPr>
                <w:rFonts w:hint="eastAsia" w:cs="Times New Roman"/>
                <w:color w:val="auto"/>
                <w:sz w:val="24"/>
                <w:highlight w:val="none"/>
                <w:vertAlign w:val="subscript"/>
                <w:lang w:val="en-US" w:eastAsia="zh-CN"/>
              </w:rPr>
              <w:t>2</w:t>
            </w:r>
            <w:r>
              <w:rPr>
                <w:rFonts w:hint="eastAsia" w:cs="Times New Roman"/>
                <w:color w:val="auto"/>
                <w:sz w:val="24"/>
                <w:highlight w:val="none"/>
                <w:vertAlign w:val="baseline"/>
                <w:lang w:val="en-US" w:eastAsia="zh-CN"/>
              </w:rPr>
              <w:t>、废液压油S</w:t>
            </w:r>
            <w:r>
              <w:rPr>
                <w:rFonts w:hint="eastAsia" w:cs="Times New Roman"/>
                <w:color w:val="auto"/>
                <w:sz w:val="24"/>
                <w:highlight w:val="none"/>
                <w:vertAlign w:val="subscript"/>
                <w:lang w:val="en-US" w:eastAsia="zh-CN"/>
              </w:rPr>
              <w:t>3</w:t>
            </w:r>
            <w:r>
              <w:rPr>
                <w:rFonts w:hint="eastAsia" w:cs="Times New Roman"/>
                <w:color w:val="auto"/>
                <w:sz w:val="24"/>
                <w:highlight w:val="none"/>
                <w:vertAlign w:val="baseline"/>
                <w:lang w:val="en-US" w:eastAsia="zh-CN"/>
              </w:rPr>
              <w:t>、烘干工序除尘器收集的粉尘S</w:t>
            </w:r>
            <w:r>
              <w:rPr>
                <w:rFonts w:hint="eastAsia" w:cs="Times New Roman"/>
                <w:color w:val="auto"/>
                <w:sz w:val="24"/>
                <w:highlight w:val="none"/>
                <w:vertAlign w:val="subscript"/>
                <w:lang w:val="en-US" w:eastAsia="zh-CN"/>
              </w:rPr>
              <w:t>5</w:t>
            </w:r>
            <w:r>
              <w:rPr>
                <w:rFonts w:hint="default" w:ascii="Times New Roman" w:hAnsi="Times New Roman" w:eastAsia="宋体" w:cs="Times New Roman"/>
                <w:color w:val="auto"/>
                <w:sz w:val="24"/>
                <w:highlight w:val="none"/>
              </w:rPr>
              <w:t>和设备运行时的噪声N</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w:t>
            </w:r>
          </w:p>
          <w:p w14:paraId="589DD197">
            <w:pPr>
              <w:pStyle w:val="3"/>
              <w:pageBreakBefore w:val="0"/>
              <w:widowControl w:val="0"/>
              <w:kinsoku/>
              <w:wordWrap/>
              <w:overflowPunct/>
              <w:topLinePunct w:val="0"/>
              <w:autoSpaceDE/>
              <w:autoSpaceDN/>
              <w:bidi w:val="0"/>
              <w:adjustRightInd w:val="0"/>
              <w:snapToGrid w:val="0"/>
              <w:spacing w:before="0" w:beforeLines="0"/>
              <w:ind w:left="0" w:firstLine="482" w:firstLineChars="200"/>
              <w:textAlignment w:val="auto"/>
              <w:rPr>
                <w:rFonts w:hint="default" w:ascii="Times New Roman" w:hAnsi="Times New Roman" w:eastAsia="宋体" w:cs="Times New Roman"/>
                <w:b/>
                <w:bCs/>
                <w:color w:val="auto"/>
                <w:sz w:val="24"/>
                <w:highlight w:val="none"/>
              </w:rPr>
            </w:pPr>
            <w:r>
              <w:rPr>
                <w:rFonts w:hint="eastAsia" w:cs="Times New Roman"/>
                <w:b/>
                <w:bCs/>
                <w:color w:val="auto"/>
                <w:kern w:val="2"/>
                <w:sz w:val="24"/>
                <w:szCs w:val="24"/>
                <w:highlight w:val="none"/>
                <w:lang w:val="en-US" w:eastAsia="zh-CN" w:bidi="ar-SA"/>
              </w:rPr>
              <w:t>③</w:t>
            </w:r>
            <w:r>
              <w:rPr>
                <w:rFonts w:hint="eastAsia" w:ascii="Times New Roman" w:hAnsi="Times New Roman" w:eastAsia="宋体" w:cs="Times New Roman"/>
                <w:b/>
                <w:bCs/>
                <w:color w:val="auto"/>
                <w:kern w:val="2"/>
                <w:sz w:val="24"/>
                <w:szCs w:val="24"/>
                <w:highlight w:val="none"/>
                <w:lang w:val="en-US" w:eastAsia="zh-CN" w:bidi="ar-SA"/>
              </w:rPr>
              <w:t>褐煤成品堆棚及装车发运系统</w:t>
            </w:r>
          </w:p>
          <w:p w14:paraId="0DDB21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lang w:val="zh-CN"/>
              </w:rPr>
              <w:t>烘干后的优质褐煤（低水分）通过胶带输送机</w:t>
            </w:r>
            <w:r>
              <w:rPr>
                <w:rFonts w:hint="eastAsia" w:ascii="Times New Roman" w:hAnsi="Times New Roman" w:eastAsia="宋体" w:cs="Times New Roman"/>
                <w:color w:val="auto"/>
                <w:kern w:val="0"/>
                <w:sz w:val="24"/>
                <w:highlight w:val="none"/>
                <w:lang w:val="zh-CN"/>
              </w:rPr>
              <w:t>输</w:t>
            </w:r>
            <w:r>
              <w:rPr>
                <w:rFonts w:hint="default" w:ascii="Times New Roman" w:hAnsi="Times New Roman" w:eastAsia="宋体" w:cs="Times New Roman"/>
                <w:color w:val="auto"/>
                <w:kern w:val="0"/>
                <w:sz w:val="24"/>
                <w:highlight w:val="none"/>
                <w:lang w:val="zh-CN"/>
              </w:rPr>
              <w:t>送至</w:t>
            </w:r>
            <w:r>
              <w:rPr>
                <w:rFonts w:hint="eastAsia" w:ascii="Times New Roman" w:hAnsi="Times New Roman" w:eastAsia="宋体" w:cs="Times New Roman"/>
                <w:color w:val="auto"/>
                <w:kern w:val="0"/>
                <w:sz w:val="24"/>
                <w:highlight w:val="none"/>
                <w:lang w:val="zh-CN"/>
              </w:rPr>
              <w:t>成品堆棚进行临时储存。成品堆棚内同时储存一部分均化后的褐煤原煤，根据市场需求，用于跟烘干后的褐煤搭配调配出售。成品堆棚内一侧设置出料胶带输送机和上料料斗，通过装载机将成品优质褐煤铲至上料料斗内，然后通过料斗下方的胶带输送机输送至成品装车仓。</w:t>
            </w:r>
          </w:p>
          <w:p w14:paraId="5D80AB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highlight w:val="none"/>
                <w:lang w:val="zh-CN"/>
              </w:rPr>
            </w:pPr>
            <w:r>
              <w:rPr>
                <w:rFonts w:hint="eastAsia" w:ascii="Times New Roman" w:hAnsi="Times New Roman" w:eastAsia="宋体" w:cs="Times New Roman"/>
                <w:color w:val="auto"/>
                <w:kern w:val="0"/>
                <w:sz w:val="24"/>
                <w:highlight w:val="none"/>
                <w:lang w:val="zh-CN"/>
              </w:rPr>
              <w:t>装车发运系统设置2座</w:t>
            </w:r>
            <w:r>
              <w:rPr>
                <w:rFonts w:hint="default" w:ascii="Times New Roman" w:hAnsi="Times New Roman" w:eastAsia="宋体" w:cs="Times New Roman"/>
                <w:color w:val="auto"/>
                <w:kern w:val="0"/>
                <w:sz w:val="24"/>
                <w:highlight w:val="none"/>
                <w:lang w:val="zh-CN"/>
              </w:rPr>
              <w:t>Ø6m</w:t>
            </w:r>
            <w:r>
              <w:rPr>
                <w:rFonts w:hint="eastAsia" w:ascii="Times New Roman" w:hAnsi="Times New Roman" w:eastAsia="宋体" w:cs="Times New Roman"/>
                <w:color w:val="auto"/>
                <w:kern w:val="0"/>
                <w:sz w:val="24"/>
                <w:highlight w:val="none"/>
                <w:lang w:val="zh-CN"/>
              </w:rPr>
              <w:t>钢仓，每座储量2</w:t>
            </w:r>
            <w:r>
              <w:rPr>
                <w:rFonts w:hint="default" w:ascii="Times New Roman" w:hAnsi="Times New Roman" w:eastAsia="宋体" w:cs="Times New Roman"/>
                <w:color w:val="auto"/>
                <w:kern w:val="0"/>
                <w:sz w:val="24"/>
                <w:highlight w:val="none"/>
                <w:lang w:val="zh-CN"/>
              </w:rPr>
              <w:t>00</w:t>
            </w:r>
            <w:r>
              <w:rPr>
                <w:rFonts w:hint="eastAsia" w:ascii="Times New Roman" w:hAnsi="Times New Roman" w:eastAsia="宋体" w:cs="Times New Roman"/>
                <w:color w:val="auto"/>
                <w:kern w:val="0"/>
                <w:sz w:val="24"/>
                <w:highlight w:val="none"/>
                <w:lang w:val="zh-CN"/>
              </w:rPr>
              <w:t>m³，成品堆棚输送过来的褐煤产品通过三通溜槽分别进入到每座钢仓内。</w:t>
            </w:r>
            <w:r>
              <w:rPr>
                <w:rFonts w:hint="default" w:ascii="Times New Roman" w:hAnsi="Times New Roman" w:eastAsia="宋体" w:cs="Times New Roman"/>
                <w:color w:val="auto"/>
                <w:kern w:val="0"/>
                <w:sz w:val="24"/>
                <w:highlight w:val="none"/>
                <w:lang w:val="zh-CN"/>
              </w:rPr>
              <w:t>每个钢板库底部均设置有一套汽车散装发运系统，装料汽车在库底进行散装装料后，</w:t>
            </w:r>
            <w:r>
              <w:rPr>
                <w:rFonts w:hint="eastAsia" w:cs="Times New Roman"/>
                <w:color w:val="auto"/>
                <w:kern w:val="0"/>
                <w:sz w:val="24"/>
                <w:highlight w:val="none"/>
                <w:lang w:val="zh-CN"/>
              </w:rPr>
              <w:t>经过地磅称重</w:t>
            </w:r>
            <w:r>
              <w:rPr>
                <w:rFonts w:hint="default" w:ascii="Times New Roman" w:hAnsi="Times New Roman" w:eastAsia="宋体" w:cs="Times New Roman"/>
                <w:color w:val="auto"/>
                <w:kern w:val="0"/>
                <w:sz w:val="24"/>
                <w:highlight w:val="none"/>
                <w:lang w:val="zh-CN"/>
              </w:rPr>
              <w:t>后运输出厂。</w:t>
            </w:r>
          </w:p>
          <w:p w14:paraId="439D1D31">
            <w:pPr>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sz w:val="24"/>
                <w:highlight w:val="none"/>
              </w:rPr>
              <w:t>此过程会产生</w:t>
            </w:r>
            <w:r>
              <w:rPr>
                <w:rFonts w:hint="eastAsia" w:cs="Times New Roman"/>
                <w:color w:val="auto"/>
                <w:sz w:val="24"/>
                <w:highlight w:val="none"/>
                <w:lang w:eastAsia="zh-CN"/>
              </w:rPr>
              <w:t>成品堆场扬尘</w:t>
            </w:r>
            <w:r>
              <w:rPr>
                <w:rFonts w:hint="default" w:ascii="Times New Roman" w:hAnsi="Times New Roman" w:eastAsia="宋体" w:cs="Times New Roman"/>
                <w:color w:val="auto"/>
                <w:sz w:val="24"/>
                <w:highlight w:val="none"/>
              </w:rPr>
              <w:t>G</w:t>
            </w:r>
            <w:r>
              <w:rPr>
                <w:rFonts w:hint="eastAsia" w:cs="Times New Roman"/>
                <w:color w:val="auto"/>
                <w:sz w:val="24"/>
                <w:highlight w:val="none"/>
                <w:vertAlign w:val="subscript"/>
                <w:lang w:val="en-US" w:eastAsia="zh-CN"/>
              </w:rPr>
              <w:t>6</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eastAsia="zh-CN"/>
              </w:rPr>
              <w:t>成品</w:t>
            </w:r>
            <w:r>
              <w:rPr>
                <w:rFonts w:hint="eastAsia" w:cs="Times New Roman"/>
                <w:color w:val="auto"/>
                <w:sz w:val="24"/>
                <w:szCs w:val="24"/>
                <w:highlight w:val="none"/>
                <w:lang w:val="en-US" w:eastAsia="zh-CN"/>
              </w:rPr>
              <w:t>转载点落料粉尘</w:t>
            </w:r>
            <w:r>
              <w:rPr>
                <w:rFonts w:hint="default" w:ascii="Times New Roman" w:hAnsi="Times New Roman" w:eastAsia="宋体" w:cs="Times New Roman"/>
                <w:color w:val="auto"/>
                <w:sz w:val="24"/>
                <w:highlight w:val="none"/>
              </w:rPr>
              <w:t>G</w:t>
            </w:r>
            <w:r>
              <w:rPr>
                <w:rFonts w:hint="eastAsia" w:cs="Times New Roman"/>
                <w:color w:val="auto"/>
                <w:sz w:val="24"/>
                <w:highlight w:val="none"/>
                <w:vertAlign w:val="subscript"/>
                <w:lang w:val="en-US" w:eastAsia="zh-CN"/>
              </w:rPr>
              <w:t>9</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zh-CN" w:eastAsia="zh-CN"/>
              </w:rPr>
              <w:t>成品散装粉尘</w:t>
            </w:r>
            <w:r>
              <w:rPr>
                <w:rFonts w:hint="default" w:ascii="Times New Roman" w:hAnsi="Times New Roman" w:eastAsia="宋体" w:cs="Times New Roman"/>
                <w:color w:val="auto"/>
                <w:sz w:val="24"/>
                <w:highlight w:val="none"/>
              </w:rPr>
              <w:t>G</w:t>
            </w:r>
            <w:r>
              <w:rPr>
                <w:rFonts w:hint="eastAsia" w:cs="Times New Roman"/>
                <w:color w:val="auto"/>
                <w:sz w:val="24"/>
                <w:highlight w:val="none"/>
                <w:vertAlign w:val="subscript"/>
                <w:lang w:val="en-US" w:eastAsia="zh-CN"/>
              </w:rPr>
              <w:t>11</w:t>
            </w:r>
            <w:r>
              <w:rPr>
                <w:rFonts w:hint="eastAsia" w:cs="Times New Roman"/>
                <w:color w:val="auto"/>
                <w:sz w:val="24"/>
                <w:highlight w:val="none"/>
                <w:vertAlign w:val="baseline"/>
                <w:lang w:val="en-US" w:eastAsia="zh-CN"/>
              </w:rPr>
              <w:t>、</w:t>
            </w:r>
            <w:r>
              <w:rPr>
                <w:rFonts w:hint="eastAsia" w:cs="Times New Roman"/>
                <w:color w:val="auto"/>
                <w:sz w:val="24"/>
                <w:highlight w:val="none"/>
                <w:lang w:eastAsia="zh-CN"/>
              </w:rPr>
              <w:t>化验清洗</w:t>
            </w:r>
            <w:r>
              <w:rPr>
                <w:rFonts w:hint="default" w:ascii="Times New Roman" w:hAnsi="Times New Roman" w:eastAsia="宋体" w:cs="Times New Roman"/>
                <w:color w:val="auto"/>
                <w:sz w:val="24"/>
                <w:highlight w:val="none"/>
              </w:rPr>
              <w:t>废水W</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w:t>
            </w:r>
            <w:r>
              <w:rPr>
                <w:rFonts w:hint="eastAsia" w:cs="Times New Roman"/>
                <w:color w:val="auto"/>
                <w:sz w:val="24"/>
                <w:highlight w:val="none"/>
                <w:vertAlign w:val="baseline"/>
                <w:lang w:eastAsia="zh-CN"/>
              </w:rPr>
              <w:t>废试剂瓶、废液</w:t>
            </w:r>
            <w:r>
              <w:rPr>
                <w:rFonts w:hint="eastAsia" w:cs="Times New Roman"/>
                <w:color w:val="auto"/>
                <w:sz w:val="24"/>
                <w:highlight w:val="none"/>
                <w:vertAlign w:val="baseline"/>
                <w:lang w:val="en-US" w:eastAsia="zh-CN"/>
              </w:rPr>
              <w:t>S</w:t>
            </w:r>
            <w:r>
              <w:rPr>
                <w:rFonts w:hint="eastAsia" w:cs="Times New Roman"/>
                <w:color w:val="auto"/>
                <w:sz w:val="24"/>
                <w:highlight w:val="none"/>
                <w:vertAlign w:val="subscript"/>
                <w:lang w:val="en-US" w:eastAsia="zh-CN"/>
              </w:rPr>
              <w:t>4</w:t>
            </w:r>
            <w:r>
              <w:rPr>
                <w:rFonts w:hint="eastAsia" w:cs="Times New Roman"/>
                <w:color w:val="auto"/>
                <w:sz w:val="24"/>
                <w:highlight w:val="none"/>
                <w:vertAlign w:val="baseline"/>
                <w:lang w:val="en-US" w:eastAsia="zh-CN"/>
              </w:rPr>
              <w:t>、</w:t>
            </w:r>
            <w:r>
              <w:rPr>
                <w:rFonts w:hint="eastAsia" w:cs="Times New Roman"/>
                <w:color w:val="auto"/>
                <w:sz w:val="24"/>
                <w:szCs w:val="24"/>
                <w:highlight w:val="none"/>
                <w:lang w:eastAsia="zh-CN"/>
              </w:rPr>
              <w:t>成品除尘器收集的粉尘</w:t>
            </w:r>
            <w:r>
              <w:rPr>
                <w:rFonts w:hint="eastAsia" w:cs="Times New Roman"/>
                <w:color w:val="auto"/>
                <w:sz w:val="24"/>
                <w:szCs w:val="24"/>
                <w:highlight w:val="none"/>
                <w:lang w:val="en-US" w:eastAsia="zh-CN"/>
              </w:rPr>
              <w:t>S</w:t>
            </w:r>
            <w:r>
              <w:rPr>
                <w:rFonts w:hint="eastAsia" w:cs="Times New Roman"/>
                <w:color w:val="auto"/>
                <w:sz w:val="24"/>
                <w:szCs w:val="24"/>
                <w:highlight w:val="none"/>
                <w:vertAlign w:val="subscript"/>
                <w:lang w:val="en-US" w:eastAsia="zh-CN"/>
              </w:rPr>
              <w:t>6</w:t>
            </w:r>
            <w:r>
              <w:rPr>
                <w:rFonts w:hint="default" w:ascii="Times New Roman" w:hAnsi="Times New Roman" w:eastAsia="宋体" w:cs="Times New Roman"/>
                <w:color w:val="auto"/>
                <w:sz w:val="24"/>
                <w:highlight w:val="none"/>
              </w:rPr>
              <w:t>和设备运行时的噪声N</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w:t>
            </w:r>
          </w:p>
          <w:p w14:paraId="0A7BA9A4">
            <w:pPr>
              <w:pStyle w:val="25"/>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2、项目其他产污环节分析</w:t>
            </w:r>
          </w:p>
          <w:p w14:paraId="60A5E874">
            <w:pPr>
              <w:keepNext w:val="0"/>
              <w:keepLines w:val="0"/>
              <w:pageBreakBefore w:val="0"/>
              <w:widowControl w:val="0"/>
              <w:wordWrap/>
              <w:topLinePunct w:val="0"/>
              <w:autoSpaceDE/>
              <w:autoSpaceDN/>
              <w:bidi w:val="0"/>
              <w:spacing w:line="348" w:lineRule="auto"/>
              <w:ind w:firstLine="480" w:firstLineChars="200"/>
              <w:textAlignment w:val="auto"/>
              <w:rPr>
                <w:rFonts w:hint="default" w:ascii="Times New Roman" w:hAnsi="Times New Roman" w:eastAsia="宋体" w:cs="Times New Roman"/>
                <w:bCs/>
                <w:color w:val="auto"/>
                <w:sz w:val="24"/>
                <w:szCs w:val="22"/>
                <w:highlight w:val="none"/>
              </w:rPr>
            </w:pP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仅</w:t>
            </w:r>
            <w:r>
              <w:rPr>
                <w:rFonts w:hint="default" w:ascii="Times New Roman" w:hAnsi="Times New Roman" w:eastAsia="宋体" w:cs="Times New Roman"/>
                <w:color w:val="auto"/>
                <w:sz w:val="24"/>
                <w:szCs w:val="24"/>
                <w:highlight w:val="none"/>
                <w:lang w:val="en-US" w:eastAsia="zh-CN"/>
              </w:rPr>
              <w:t>设置办公区，</w:t>
            </w:r>
            <w:r>
              <w:rPr>
                <w:rFonts w:hint="eastAsia" w:cs="Times New Roman"/>
                <w:color w:val="auto"/>
                <w:sz w:val="24"/>
                <w:szCs w:val="24"/>
                <w:highlight w:val="none"/>
                <w:lang w:val="en-US" w:eastAsia="zh-CN"/>
              </w:rPr>
              <w:t>不</w:t>
            </w:r>
            <w:r>
              <w:rPr>
                <w:rFonts w:hint="default" w:ascii="Times New Roman" w:hAnsi="Times New Roman" w:eastAsia="宋体" w:cs="Times New Roman"/>
                <w:color w:val="auto"/>
                <w:sz w:val="24"/>
                <w:szCs w:val="24"/>
                <w:highlight w:val="none"/>
                <w:lang w:val="en-US" w:eastAsia="zh-CN"/>
              </w:rPr>
              <w:t>食宿，项目办公产污环节详见图2-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所示。</w:t>
            </w:r>
          </w:p>
          <w:p w14:paraId="35252478">
            <w:pPr>
              <w:pStyle w:val="25"/>
              <w:ind w:firstLine="24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pict>
                <v:shape id="_x0000_s1050" o:spid="_x0000_s1050" o:spt="75" type="#_x0000_t75" style="position:absolute;left:0pt;margin-left:88.15pt;margin-top:0pt;height:66.35pt;width:299.25pt;mso-wrap-distance-bottom:0pt;mso-wrap-distance-left:9pt;mso-wrap-distance-right:9pt;mso-wrap-distance-top:0pt;z-index:251661312;mso-width-relative:page;mso-height-relative:page;" o:ole="t" filled="f" o:preferrelative="t" stroked="f" coordsize="21600,21600">
                  <v:path/>
                  <v:fill on="f" focussize="0,0"/>
                  <v:stroke on="f"/>
                  <v:imagedata r:id="rId20" cropbottom="30198f" o:title=""/>
                  <o:lock v:ext="edit" aspectratio="t"/>
                  <w10:wrap type="square"/>
                </v:shape>
                <o:OLEObject Type="Embed" ProgID="Visio.Drawing.11" ShapeID="_x0000_s1050" DrawAspect="Content" ObjectID="_1468075729" r:id="rId19">
                  <o:LockedField>false</o:LockedField>
                </o:OLEObject>
              </w:pict>
            </w:r>
          </w:p>
          <w:p w14:paraId="4E325F4C">
            <w:pPr>
              <w:pStyle w:val="25"/>
              <w:spacing w:after="0"/>
              <w:ind w:firstLine="240"/>
              <w:jc w:val="center"/>
              <w:rPr>
                <w:rFonts w:hint="default" w:ascii="Times New Roman" w:hAnsi="Times New Roman" w:eastAsia="宋体" w:cs="Times New Roman"/>
                <w:b/>
                <w:color w:val="auto"/>
                <w:sz w:val="21"/>
                <w:szCs w:val="21"/>
                <w:highlight w:val="none"/>
              </w:rPr>
            </w:pPr>
          </w:p>
          <w:p w14:paraId="7E640970">
            <w:pPr>
              <w:pStyle w:val="25"/>
              <w:spacing w:after="0"/>
              <w:ind w:firstLine="240"/>
              <w:jc w:val="center"/>
              <w:rPr>
                <w:rFonts w:hint="default" w:ascii="Times New Roman" w:hAnsi="Times New Roman" w:eastAsia="宋体" w:cs="Times New Roman"/>
                <w:b/>
                <w:color w:val="auto"/>
                <w:sz w:val="21"/>
                <w:szCs w:val="21"/>
                <w:highlight w:val="none"/>
              </w:rPr>
            </w:pPr>
          </w:p>
          <w:p w14:paraId="2C20ED2D">
            <w:pPr>
              <w:pStyle w:val="25"/>
              <w:spacing w:after="0"/>
              <w:ind w:firstLine="240"/>
              <w:jc w:val="center"/>
              <w:rPr>
                <w:rFonts w:hint="default" w:ascii="Times New Roman" w:hAnsi="Times New Roman" w:eastAsia="宋体" w:cs="Times New Roman"/>
                <w:b/>
                <w:color w:val="auto"/>
                <w:sz w:val="21"/>
                <w:szCs w:val="21"/>
                <w:highlight w:val="none"/>
              </w:rPr>
            </w:pPr>
          </w:p>
          <w:p w14:paraId="3BE39D7A">
            <w:pPr>
              <w:pStyle w:val="25"/>
              <w:spacing w:after="0"/>
              <w:ind w:firstLine="240"/>
              <w:jc w:val="center"/>
              <w:rPr>
                <w:rFonts w:hint="default" w:ascii="Times New Roman" w:hAnsi="Times New Roman" w:eastAsia="宋体" w:cs="Times New Roman"/>
                <w:b/>
                <w:color w:val="auto"/>
                <w:sz w:val="21"/>
                <w:szCs w:val="21"/>
                <w:highlight w:val="none"/>
              </w:rPr>
            </w:pPr>
          </w:p>
          <w:p w14:paraId="00152324">
            <w:pPr>
              <w:pStyle w:val="25"/>
              <w:spacing w:after="0"/>
              <w:ind w:firstLine="24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default" w:ascii="Times New Roman" w:hAnsi="Times New Roman" w:eastAsia="宋体" w:cs="Times New Roman"/>
                <w:b/>
                <w:color w:val="auto"/>
                <w:sz w:val="21"/>
                <w:szCs w:val="21"/>
                <w:highlight w:val="none"/>
                <w:lang w:val="en-US" w:eastAsia="zh-CN"/>
              </w:rPr>
              <w:t>2-</w:t>
            </w:r>
            <w:r>
              <w:rPr>
                <w:rFonts w:hint="eastAsia"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办公生活产</w:t>
            </w:r>
            <w:r>
              <w:rPr>
                <w:rFonts w:hint="eastAsia" w:cs="Times New Roman"/>
                <w:b/>
                <w:color w:val="auto"/>
                <w:sz w:val="21"/>
                <w:szCs w:val="21"/>
                <w:highlight w:val="none"/>
                <w:lang w:eastAsia="zh-CN"/>
              </w:rPr>
              <w:t>污</w:t>
            </w:r>
            <w:r>
              <w:rPr>
                <w:rFonts w:hint="default" w:ascii="Times New Roman" w:hAnsi="Times New Roman" w:eastAsia="宋体" w:cs="Times New Roman"/>
                <w:b/>
                <w:color w:val="auto"/>
                <w:sz w:val="21"/>
                <w:szCs w:val="21"/>
                <w:highlight w:val="none"/>
              </w:rPr>
              <w:t>节点图</w:t>
            </w:r>
          </w:p>
          <w:p w14:paraId="74E313B8">
            <w:pPr>
              <w:pStyle w:val="26"/>
              <w:spacing w:after="0" w:line="360" w:lineRule="auto"/>
              <w:ind w:left="0" w:leftChars="0"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（二）项目主要污染工序</w:t>
            </w:r>
          </w:p>
          <w:p w14:paraId="220E46E8">
            <w:pPr>
              <w:pStyle w:val="25"/>
              <w:spacing w:after="0" w:line="360" w:lineRule="auto"/>
              <w:ind w:firstLine="480" w:firstLineChars="20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highlight w:val="none"/>
              </w:rPr>
              <w:t>本项目运营期主要污染工序详见表</w:t>
            </w: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11</w:t>
            </w:r>
            <w:r>
              <w:rPr>
                <w:rFonts w:hint="default" w:ascii="Times New Roman" w:hAnsi="Times New Roman" w:eastAsia="宋体" w:cs="Times New Roman"/>
                <w:color w:val="auto"/>
                <w:highlight w:val="none"/>
              </w:rPr>
              <w:t>。</w:t>
            </w:r>
          </w:p>
          <w:p w14:paraId="2DB7F8C5">
            <w:pPr>
              <w:pStyle w:val="25"/>
              <w:spacing w:after="0"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11</w:t>
            </w:r>
            <w:r>
              <w:rPr>
                <w:rFonts w:hint="default" w:ascii="Times New Roman" w:hAnsi="Times New Roman" w:eastAsia="宋体" w:cs="Times New Roman"/>
                <w:b/>
                <w:bCs/>
                <w:color w:val="auto"/>
                <w:sz w:val="21"/>
                <w:szCs w:val="21"/>
                <w:highlight w:val="none"/>
              </w:rPr>
              <w:t xml:space="preserve">  运营期主要污染工序一览表</w:t>
            </w:r>
          </w:p>
          <w:tbl>
            <w:tblPr>
              <w:tblStyle w:val="27"/>
              <w:tblW w:w="8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153"/>
              <w:gridCol w:w="2023"/>
              <w:gridCol w:w="2989"/>
              <w:gridCol w:w="1517"/>
            </w:tblGrid>
            <w:tr w14:paraId="6EF4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dxa"/>
                  <w:tcBorders>
                    <w:tl2br w:val="nil"/>
                    <w:tr2bl w:val="nil"/>
                  </w:tcBorders>
                  <w:noWrap w:val="0"/>
                  <w:vAlign w:val="center"/>
                </w:tcPr>
                <w:p w14:paraId="51CDE05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污染类别</w:t>
                  </w:r>
                </w:p>
              </w:tc>
              <w:tc>
                <w:tcPr>
                  <w:tcW w:w="1153" w:type="dxa"/>
                  <w:tcBorders>
                    <w:tl2br w:val="nil"/>
                    <w:tr2bl w:val="nil"/>
                  </w:tcBorders>
                  <w:noWrap w:val="0"/>
                  <w:vAlign w:val="center"/>
                </w:tcPr>
                <w:p w14:paraId="306A075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2023" w:type="dxa"/>
                  <w:tcBorders>
                    <w:tl2br w:val="nil"/>
                    <w:tr2bl w:val="nil"/>
                  </w:tcBorders>
                  <w:noWrap w:val="0"/>
                  <w:vAlign w:val="center"/>
                </w:tcPr>
                <w:p w14:paraId="24ACAB2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主要</w:t>
                  </w:r>
                  <w:r>
                    <w:rPr>
                      <w:rFonts w:hint="default" w:ascii="Times New Roman" w:hAnsi="Times New Roman" w:eastAsia="宋体" w:cs="Times New Roman"/>
                      <w:b/>
                      <w:color w:val="auto"/>
                      <w:sz w:val="21"/>
                      <w:szCs w:val="21"/>
                      <w:highlight w:val="none"/>
                    </w:rPr>
                    <w:t>污染物</w:t>
                  </w:r>
                </w:p>
              </w:tc>
              <w:tc>
                <w:tcPr>
                  <w:tcW w:w="2989" w:type="dxa"/>
                  <w:tcBorders>
                    <w:tl2br w:val="nil"/>
                    <w:tr2bl w:val="nil"/>
                  </w:tcBorders>
                  <w:noWrap w:val="0"/>
                  <w:vAlign w:val="center"/>
                </w:tcPr>
                <w:p w14:paraId="2BA6743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1517" w:type="dxa"/>
                  <w:tcBorders>
                    <w:tl2br w:val="nil"/>
                    <w:tr2bl w:val="nil"/>
                  </w:tcBorders>
                  <w:noWrap w:val="0"/>
                  <w:vAlign w:val="center"/>
                </w:tcPr>
                <w:p w14:paraId="11778AC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r>
            <w:tr w14:paraId="3126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67" w:type="dxa"/>
                  <w:vMerge w:val="restart"/>
                  <w:tcBorders>
                    <w:tl2br w:val="nil"/>
                    <w:tr2bl w:val="nil"/>
                  </w:tcBorders>
                  <w:noWrap w:val="0"/>
                  <w:vAlign w:val="center"/>
                </w:tcPr>
                <w:p w14:paraId="177767A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1153" w:type="dxa"/>
                  <w:tcBorders>
                    <w:tl2br w:val="nil"/>
                    <w:tr2bl w:val="nil"/>
                  </w:tcBorders>
                  <w:noWrap w:val="0"/>
                  <w:vAlign w:val="center"/>
                </w:tcPr>
                <w:p w14:paraId="559459F5">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eastAsia="zh-CN"/>
                    </w:rPr>
                    <w:t>卸料扬</w:t>
                  </w:r>
                  <w:r>
                    <w:rPr>
                      <w:rFonts w:hint="default" w:ascii="Times New Roman" w:hAnsi="Times New Roman" w:eastAsia="宋体" w:cs="Times New Roman"/>
                      <w:color w:val="auto"/>
                      <w:szCs w:val="21"/>
                      <w:highlight w:val="none"/>
                    </w:rPr>
                    <w:t>尘G</w:t>
                  </w:r>
                  <w:r>
                    <w:rPr>
                      <w:rFonts w:hint="default" w:ascii="Times New Roman" w:hAnsi="Times New Roman" w:eastAsia="宋体" w:cs="Times New Roman"/>
                      <w:color w:val="auto"/>
                      <w:szCs w:val="21"/>
                      <w:highlight w:val="none"/>
                      <w:vertAlign w:val="subscript"/>
                    </w:rPr>
                    <w:t>1</w:t>
                  </w:r>
                </w:p>
              </w:tc>
              <w:tc>
                <w:tcPr>
                  <w:tcW w:w="2023" w:type="dxa"/>
                  <w:tcBorders>
                    <w:tl2br w:val="nil"/>
                    <w:tr2bl w:val="nil"/>
                  </w:tcBorders>
                  <w:noWrap w:val="0"/>
                  <w:vAlign w:val="center"/>
                </w:tcPr>
                <w:p w14:paraId="2724B32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颗粒物</w:t>
                  </w:r>
                </w:p>
              </w:tc>
              <w:tc>
                <w:tcPr>
                  <w:tcW w:w="2989" w:type="dxa"/>
                  <w:tcBorders>
                    <w:tl2br w:val="nil"/>
                    <w:tr2bl w:val="nil"/>
                  </w:tcBorders>
                  <w:noWrap w:val="0"/>
                  <w:vAlign w:val="center"/>
                </w:tcPr>
                <w:p w14:paraId="4BE107A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1套集气罩+收尘风管+布袋除尘器+15.5m高排气筒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卸料</w:t>
                  </w:r>
                  <w:r>
                    <w:rPr>
                      <w:rFonts w:hint="default" w:ascii="Times New Roman" w:hAnsi="Times New Roman" w:eastAsia="宋体" w:cs="Times New Roman"/>
                      <w:color w:val="auto"/>
                      <w:sz w:val="21"/>
                      <w:szCs w:val="21"/>
                      <w:highlight w:val="none"/>
                    </w:rPr>
                    <w:t>过程产生的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3BDB6781">
                  <w:pPr>
                    <w:keepNext w:val="0"/>
                    <w:keepLines w:val="0"/>
                    <w:widowControl w:val="0"/>
                    <w:suppressLineNumbers w:val="0"/>
                    <w:spacing w:before="0" w:beforeAutospacing="0" w:after="0" w:afterAutospacing="0"/>
                    <w:ind w:left="0" w:leftChars="0" w:right="0" w:rightChars="0"/>
                    <w:jc w:val="both"/>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有组织（</w:t>
                  </w:r>
                  <w:r>
                    <w:rPr>
                      <w:rFonts w:hint="eastAsia" w:cs="Times New Roman"/>
                      <w:color w:val="auto"/>
                      <w:sz w:val="21"/>
                      <w:szCs w:val="21"/>
                      <w:highlight w:val="none"/>
                      <w:lang w:val="en-US" w:eastAsia="zh-CN"/>
                    </w:rPr>
                    <w:t>DA001</w:t>
                  </w:r>
                  <w:r>
                    <w:rPr>
                      <w:rFonts w:hint="eastAsia" w:cs="Times New Roman"/>
                      <w:color w:val="auto"/>
                      <w:sz w:val="21"/>
                      <w:szCs w:val="21"/>
                      <w:highlight w:val="none"/>
                      <w:lang w:eastAsia="zh-CN"/>
                    </w:rPr>
                    <w:t>）</w:t>
                  </w:r>
                </w:p>
              </w:tc>
            </w:tr>
            <w:tr w14:paraId="7E04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67" w:type="dxa"/>
                  <w:vMerge w:val="continue"/>
                  <w:tcBorders>
                    <w:tl2br w:val="nil"/>
                    <w:tr2bl w:val="nil"/>
                  </w:tcBorders>
                  <w:noWrap w:val="0"/>
                  <w:vAlign w:val="center"/>
                </w:tcPr>
                <w:p w14:paraId="2D22DB4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153" w:type="dxa"/>
                  <w:tcBorders>
                    <w:tl2br w:val="nil"/>
                    <w:tr2bl w:val="nil"/>
                  </w:tcBorders>
                  <w:noWrap w:val="0"/>
                  <w:vAlign w:val="center"/>
                </w:tcPr>
                <w:p w14:paraId="687D703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eastAsia="zh-CN"/>
                    </w:rPr>
                    <w:t>原料堆场扬尘</w:t>
                  </w:r>
                  <w:r>
                    <w:rPr>
                      <w:rFonts w:hint="default" w:ascii="Times New Roman" w:hAnsi="Times New Roman" w:eastAsia="宋体" w:cs="Times New Roman"/>
                      <w:color w:val="auto"/>
                      <w:szCs w:val="21"/>
                      <w:highlight w:val="none"/>
                      <w:lang w:eastAsia="zh-CN"/>
                    </w:rPr>
                    <w:t>（</w:t>
                  </w:r>
                  <w:r>
                    <w:rPr>
                      <w:rFonts w:hint="eastAsia" w:cs="Times New Roman"/>
                      <w:color w:val="auto"/>
                      <w:szCs w:val="21"/>
                      <w:highlight w:val="none"/>
                      <w:lang w:val="en-US" w:eastAsia="zh-CN"/>
                    </w:rPr>
                    <w:t>原料堆棚、均化堆场</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G</w:t>
                  </w:r>
                  <w:r>
                    <w:rPr>
                      <w:rFonts w:hint="default" w:ascii="Times New Roman" w:hAnsi="Times New Roman" w:eastAsia="宋体" w:cs="Times New Roman"/>
                      <w:color w:val="auto"/>
                      <w:szCs w:val="21"/>
                      <w:highlight w:val="none"/>
                      <w:vertAlign w:val="subscript"/>
                    </w:rPr>
                    <w:t>2</w:t>
                  </w:r>
                </w:p>
              </w:tc>
              <w:tc>
                <w:tcPr>
                  <w:tcW w:w="2023" w:type="dxa"/>
                  <w:tcBorders>
                    <w:tl2br w:val="nil"/>
                    <w:tr2bl w:val="nil"/>
                  </w:tcBorders>
                  <w:noWrap w:val="0"/>
                  <w:vAlign w:val="center"/>
                </w:tcPr>
                <w:p w14:paraId="3476E9B5">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2989" w:type="dxa"/>
                  <w:tcBorders>
                    <w:tl2br w:val="nil"/>
                    <w:tr2bl w:val="nil"/>
                  </w:tcBorders>
                  <w:noWrap w:val="0"/>
                  <w:vAlign w:val="center"/>
                </w:tcPr>
                <w:p w14:paraId="259A1DB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8"/>
                      <w:sz w:val="21"/>
                      <w:szCs w:val="21"/>
                      <w:highlight w:val="none"/>
                      <w:lang w:eastAsia="zh-CN"/>
                    </w:rPr>
                    <w:t>原料</w:t>
                  </w:r>
                  <w:r>
                    <w:rPr>
                      <w:rFonts w:hint="eastAsia" w:cs="Times New Roman"/>
                      <w:color w:val="auto"/>
                      <w:spacing w:val="-8"/>
                      <w:sz w:val="21"/>
                      <w:szCs w:val="21"/>
                      <w:highlight w:val="none"/>
                      <w:lang w:eastAsia="zh-CN"/>
                    </w:rPr>
                    <w:t>煤</w:t>
                  </w:r>
                  <w:r>
                    <w:rPr>
                      <w:rFonts w:hint="eastAsia" w:ascii="Times New Roman" w:hAnsi="Times New Roman" w:eastAsia="宋体" w:cs="Times New Roman"/>
                      <w:color w:val="auto"/>
                      <w:spacing w:val="-8"/>
                      <w:sz w:val="21"/>
                      <w:szCs w:val="21"/>
                      <w:highlight w:val="none"/>
                      <w:lang w:eastAsia="zh-CN"/>
                    </w:rPr>
                    <w:t>储存区为全封闭厂房，</w:t>
                  </w:r>
                  <w:r>
                    <w:rPr>
                      <w:rFonts w:hint="default" w:ascii="Times New Roman" w:hAnsi="Times New Roman" w:eastAsia="宋体" w:cs="Times New Roman"/>
                      <w:color w:val="auto"/>
                      <w:spacing w:val="-3"/>
                      <w:sz w:val="21"/>
                      <w:szCs w:val="21"/>
                      <w:highlight w:val="none"/>
                    </w:rPr>
                    <w:t>其产生</w:t>
                  </w:r>
                  <w:r>
                    <w:rPr>
                      <w:rFonts w:hint="default" w:ascii="Times New Roman" w:hAnsi="Times New Roman" w:eastAsia="宋体" w:cs="Times New Roman"/>
                      <w:color w:val="auto"/>
                      <w:spacing w:val="-5"/>
                      <w:sz w:val="21"/>
                      <w:szCs w:val="21"/>
                      <w:highlight w:val="none"/>
                    </w:rPr>
                    <w:t>的无组织扬尘</w:t>
                  </w:r>
                  <w:r>
                    <w:rPr>
                      <w:rFonts w:hint="eastAsia" w:cs="Times New Roman"/>
                      <w:color w:val="auto"/>
                      <w:spacing w:val="-5"/>
                      <w:sz w:val="21"/>
                      <w:szCs w:val="21"/>
                      <w:highlight w:val="none"/>
                      <w:lang w:eastAsia="zh-CN"/>
                    </w:rPr>
                    <w:t>均在堆棚内</w:t>
                  </w:r>
                  <w:r>
                    <w:rPr>
                      <w:rFonts w:hint="default" w:ascii="Times New Roman" w:hAnsi="Times New Roman" w:eastAsia="宋体" w:cs="Times New Roman"/>
                      <w:color w:val="auto"/>
                      <w:spacing w:val="-11"/>
                      <w:sz w:val="21"/>
                      <w:szCs w:val="21"/>
                      <w:highlight w:val="none"/>
                    </w:rPr>
                    <w:t>，</w:t>
                  </w:r>
                  <w:r>
                    <w:rPr>
                      <w:rFonts w:hint="eastAsia" w:cs="Times New Roman"/>
                      <w:color w:val="auto"/>
                      <w:spacing w:val="-11"/>
                      <w:sz w:val="21"/>
                      <w:szCs w:val="21"/>
                      <w:highlight w:val="none"/>
                      <w:lang w:eastAsia="zh-CN"/>
                    </w:rPr>
                    <w:t>仅有少量扬尘在开门时溢出。</w:t>
                  </w:r>
                </w:p>
              </w:tc>
              <w:tc>
                <w:tcPr>
                  <w:tcW w:w="1517" w:type="dxa"/>
                  <w:tcBorders>
                    <w:tl2br w:val="nil"/>
                    <w:tr2bl w:val="nil"/>
                  </w:tcBorders>
                  <w:noWrap w:val="0"/>
                  <w:vAlign w:val="center"/>
                </w:tcPr>
                <w:p w14:paraId="5765B8D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r>
            <w:tr w14:paraId="0E1A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dxa"/>
                  <w:vMerge w:val="continue"/>
                  <w:tcBorders>
                    <w:tl2br w:val="nil"/>
                    <w:tr2bl w:val="nil"/>
                  </w:tcBorders>
                  <w:noWrap w:val="0"/>
                  <w:vAlign w:val="center"/>
                </w:tcPr>
                <w:p w14:paraId="13D3459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6D5E6073">
                  <w:pPr>
                    <w:pStyle w:val="25"/>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原料</w:t>
                  </w:r>
                  <w:r>
                    <w:rPr>
                      <w:rFonts w:hint="eastAsia" w:ascii="Times New Roman" w:hAnsi="Times New Roman" w:eastAsia="宋体" w:cs="Times New Roman"/>
                      <w:color w:val="auto"/>
                      <w:kern w:val="2"/>
                      <w:sz w:val="21"/>
                      <w:szCs w:val="21"/>
                      <w:highlight w:val="none"/>
                      <w:lang w:val="en-US" w:eastAsia="zh-CN" w:bidi="ar-SA"/>
                    </w:rPr>
                    <w:t>转载</w:t>
                  </w:r>
                  <w:r>
                    <w:rPr>
                      <w:rFonts w:hint="eastAsia" w:cs="Times New Roman"/>
                      <w:color w:val="auto"/>
                      <w:kern w:val="2"/>
                      <w:sz w:val="21"/>
                      <w:szCs w:val="21"/>
                      <w:highlight w:val="none"/>
                      <w:lang w:val="en-US" w:eastAsia="zh-CN" w:bidi="ar-SA"/>
                    </w:rPr>
                    <w:t>点</w:t>
                  </w:r>
                  <w:r>
                    <w:rPr>
                      <w:rFonts w:hint="eastAsia" w:ascii="Times New Roman" w:hAnsi="Times New Roman" w:eastAsia="宋体" w:cs="Times New Roman"/>
                      <w:color w:val="auto"/>
                      <w:kern w:val="2"/>
                      <w:sz w:val="21"/>
                      <w:szCs w:val="21"/>
                      <w:highlight w:val="none"/>
                      <w:lang w:val="en-US" w:eastAsia="zh-CN" w:bidi="ar-SA"/>
                    </w:rPr>
                    <w:t>落料粉尘</w:t>
                  </w:r>
                  <w:r>
                    <w:rPr>
                      <w:rFonts w:hint="eastAsia" w:cs="Times New Roman"/>
                      <w:color w:val="auto"/>
                      <w:sz w:val="21"/>
                      <w:szCs w:val="21"/>
                      <w:highlight w:val="none"/>
                      <w:lang w:val="en-US" w:eastAsia="zh-CN"/>
                    </w:rPr>
                    <w:t>G</w:t>
                  </w:r>
                  <w:r>
                    <w:rPr>
                      <w:rFonts w:hint="eastAsia" w:cs="Times New Roman"/>
                      <w:color w:val="auto"/>
                      <w:sz w:val="21"/>
                      <w:szCs w:val="21"/>
                      <w:highlight w:val="none"/>
                      <w:vertAlign w:val="subscript"/>
                      <w:lang w:val="en-US" w:eastAsia="zh-CN"/>
                    </w:rPr>
                    <w:t>3</w:t>
                  </w:r>
                </w:p>
              </w:tc>
              <w:tc>
                <w:tcPr>
                  <w:tcW w:w="2023" w:type="dxa"/>
                  <w:tcBorders>
                    <w:tl2br w:val="nil"/>
                    <w:tr2bl w:val="nil"/>
                  </w:tcBorders>
                  <w:noWrap w:val="0"/>
                  <w:vAlign w:val="center"/>
                </w:tcPr>
                <w:p w14:paraId="40FBD15B">
                  <w:pPr>
                    <w:pStyle w:val="25"/>
                    <w:spacing w:after="0"/>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颗粒物</w:t>
                  </w:r>
                </w:p>
              </w:tc>
              <w:tc>
                <w:tcPr>
                  <w:tcW w:w="2989" w:type="dxa"/>
                  <w:tcBorders>
                    <w:tl2br w:val="nil"/>
                    <w:tr2bl w:val="nil"/>
                  </w:tcBorders>
                  <w:noWrap w:val="0"/>
                  <w:vAlign w:val="center"/>
                </w:tcPr>
                <w:p w14:paraId="72F3BD3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1套集气罩+收尘风管+布袋除尘器+15.5m高排气筒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原料转载</w:t>
                  </w:r>
                  <w:r>
                    <w:rPr>
                      <w:rFonts w:hint="default" w:ascii="Times New Roman" w:hAnsi="Times New Roman" w:eastAsia="宋体" w:cs="Times New Roman"/>
                      <w:color w:val="auto"/>
                      <w:sz w:val="21"/>
                      <w:szCs w:val="21"/>
                      <w:highlight w:val="none"/>
                    </w:rPr>
                    <w:t>过程产生的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309BAC5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有组织（</w:t>
                  </w:r>
                  <w:r>
                    <w:rPr>
                      <w:rFonts w:hint="eastAsia" w:cs="Times New Roman"/>
                      <w:color w:val="auto"/>
                      <w:sz w:val="21"/>
                      <w:szCs w:val="21"/>
                      <w:highlight w:val="none"/>
                      <w:lang w:val="en-US" w:eastAsia="zh-CN"/>
                    </w:rPr>
                    <w:t>DA003</w:t>
                  </w:r>
                  <w:r>
                    <w:rPr>
                      <w:rFonts w:hint="eastAsia" w:cs="Times New Roman"/>
                      <w:color w:val="auto"/>
                      <w:sz w:val="21"/>
                      <w:szCs w:val="21"/>
                      <w:highlight w:val="none"/>
                      <w:lang w:eastAsia="zh-CN"/>
                    </w:rPr>
                    <w:t>）</w:t>
                  </w:r>
                </w:p>
              </w:tc>
            </w:tr>
            <w:tr w14:paraId="6483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667" w:type="dxa"/>
                  <w:vMerge w:val="continue"/>
                  <w:tcBorders>
                    <w:tl2br w:val="nil"/>
                    <w:tr2bl w:val="nil"/>
                  </w:tcBorders>
                  <w:noWrap w:val="0"/>
                  <w:vAlign w:val="center"/>
                </w:tcPr>
                <w:p w14:paraId="09B18A6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3804ED4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subscript"/>
                      <w:lang w:val="en-US" w:eastAsia="zh-CN"/>
                    </w:rPr>
                  </w:pPr>
                  <w:r>
                    <w:rPr>
                      <w:rFonts w:hint="eastAsia" w:cs="Times New Roman"/>
                      <w:color w:val="auto"/>
                      <w:sz w:val="21"/>
                      <w:szCs w:val="21"/>
                      <w:highlight w:val="none"/>
                      <w:lang w:eastAsia="zh-CN"/>
                    </w:rPr>
                    <w:t>破碎粉尘</w:t>
                  </w:r>
                  <w:r>
                    <w:rPr>
                      <w:rFonts w:hint="eastAsia" w:cs="Times New Roman"/>
                      <w:color w:val="auto"/>
                      <w:sz w:val="21"/>
                      <w:szCs w:val="21"/>
                      <w:highlight w:val="none"/>
                      <w:lang w:val="en-US" w:eastAsia="zh-CN"/>
                    </w:rPr>
                    <w:t>G</w:t>
                  </w:r>
                  <w:r>
                    <w:rPr>
                      <w:rFonts w:hint="eastAsia" w:cs="Times New Roman"/>
                      <w:color w:val="auto"/>
                      <w:sz w:val="21"/>
                      <w:szCs w:val="21"/>
                      <w:highlight w:val="none"/>
                      <w:vertAlign w:val="subscript"/>
                      <w:lang w:val="en-US" w:eastAsia="zh-CN"/>
                    </w:rPr>
                    <w:t>4</w:t>
                  </w:r>
                </w:p>
              </w:tc>
              <w:tc>
                <w:tcPr>
                  <w:tcW w:w="2023" w:type="dxa"/>
                  <w:tcBorders>
                    <w:tl2br w:val="nil"/>
                    <w:tr2bl w:val="nil"/>
                  </w:tcBorders>
                  <w:noWrap w:val="0"/>
                  <w:vAlign w:val="center"/>
                </w:tcPr>
                <w:p w14:paraId="2BA01895">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颗粒物</w:t>
                  </w:r>
                </w:p>
              </w:tc>
              <w:tc>
                <w:tcPr>
                  <w:tcW w:w="2989" w:type="dxa"/>
                  <w:tcBorders>
                    <w:tl2br w:val="nil"/>
                    <w:tr2bl w:val="nil"/>
                  </w:tcBorders>
                  <w:noWrap w:val="0"/>
                  <w:vAlign w:val="center"/>
                </w:tcPr>
                <w:p w14:paraId="51563AC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1套集气罩+收尘风管+布袋除尘器+15.5m高排气筒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破碎</w:t>
                  </w:r>
                  <w:r>
                    <w:rPr>
                      <w:rFonts w:hint="default" w:ascii="Times New Roman" w:hAnsi="Times New Roman" w:eastAsia="宋体" w:cs="Times New Roman"/>
                      <w:color w:val="auto"/>
                      <w:sz w:val="21"/>
                      <w:szCs w:val="21"/>
                      <w:highlight w:val="none"/>
                    </w:rPr>
                    <w:t>过程产生的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p>
              </w:tc>
              <w:tc>
                <w:tcPr>
                  <w:tcW w:w="1517" w:type="dxa"/>
                  <w:tcBorders>
                    <w:tl2br w:val="nil"/>
                    <w:tr2bl w:val="nil"/>
                  </w:tcBorders>
                  <w:noWrap w:val="0"/>
                  <w:vAlign w:val="center"/>
                </w:tcPr>
                <w:p w14:paraId="2F9EAB4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有组织（</w:t>
                  </w:r>
                  <w:r>
                    <w:rPr>
                      <w:rFonts w:hint="eastAsia" w:cs="Times New Roman"/>
                      <w:color w:val="auto"/>
                      <w:sz w:val="21"/>
                      <w:szCs w:val="21"/>
                      <w:highlight w:val="none"/>
                      <w:lang w:val="en-US" w:eastAsia="zh-CN"/>
                    </w:rPr>
                    <w:t>DA002</w:t>
                  </w:r>
                  <w:r>
                    <w:rPr>
                      <w:rFonts w:hint="eastAsia" w:cs="Times New Roman"/>
                      <w:color w:val="auto"/>
                      <w:sz w:val="21"/>
                      <w:szCs w:val="21"/>
                      <w:highlight w:val="none"/>
                      <w:lang w:eastAsia="zh-CN"/>
                    </w:rPr>
                    <w:t>）</w:t>
                  </w:r>
                </w:p>
              </w:tc>
            </w:tr>
            <w:tr w14:paraId="775E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667" w:type="dxa"/>
                  <w:vMerge w:val="continue"/>
                  <w:tcBorders>
                    <w:tl2br w:val="nil"/>
                    <w:tr2bl w:val="nil"/>
                  </w:tcBorders>
                  <w:noWrap w:val="0"/>
                  <w:vAlign w:val="center"/>
                </w:tcPr>
                <w:p w14:paraId="76EE385B">
                  <w:pPr>
                    <w:keepNext w:val="0"/>
                    <w:keepLines w:val="0"/>
                    <w:widowControl w:val="0"/>
                    <w:suppressLineNumbers w:val="0"/>
                    <w:spacing w:before="0" w:beforeAutospacing="0" w:after="0" w:afterAutospacing="0"/>
                    <w:ind w:left="0" w:right="0"/>
                    <w:jc w:val="center"/>
                    <w:rPr>
                      <w:color w:val="auto"/>
                      <w:highlight w:val="none"/>
                    </w:rPr>
                  </w:pPr>
                </w:p>
              </w:tc>
              <w:tc>
                <w:tcPr>
                  <w:tcW w:w="1153" w:type="dxa"/>
                  <w:tcBorders>
                    <w:tl2br w:val="nil"/>
                    <w:tr2bl w:val="nil"/>
                  </w:tcBorders>
                  <w:noWrap w:val="0"/>
                  <w:vAlign w:val="center"/>
                </w:tcPr>
                <w:p w14:paraId="116250FF">
                  <w:pPr>
                    <w:keepNext w:val="0"/>
                    <w:keepLines w:val="0"/>
                    <w:widowControl w:val="0"/>
                    <w:suppressLineNumbers w:val="0"/>
                    <w:spacing w:before="0" w:beforeAutospacing="0" w:after="0" w:afterAutospacing="0"/>
                    <w:ind w:left="0" w:right="0"/>
                    <w:jc w:val="center"/>
                    <w:rPr>
                      <w:rFonts w:hint="default" w:cs="Times New Roman"/>
                      <w:color w:val="auto"/>
                      <w:sz w:val="21"/>
                      <w:szCs w:val="21"/>
                      <w:highlight w:val="none"/>
                      <w:vertAlign w:val="subscript"/>
                      <w:lang w:val="en-US" w:eastAsia="zh-CN"/>
                    </w:rPr>
                  </w:pPr>
                  <w:r>
                    <w:rPr>
                      <w:rFonts w:hint="eastAsia" w:cs="Times New Roman"/>
                      <w:color w:val="auto"/>
                      <w:sz w:val="21"/>
                      <w:szCs w:val="21"/>
                      <w:highlight w:val="none"/>
                      <w:lang w:eastAsia="zh-CN"/>
                    </w:rPr>
                    <w:t>烘干废气</w:t>
                  </w:r>
                  <w:r>
                    <w:rPr>
                      <w:rFonts w:hint="eastAsia" w:cs="Times New Roman"/>
                      <w:color w:val="auto"/>
                      <w:sz w:val="21"/>
                      <w:szCs w:val="21"/>
                      <w:highlight w:val="none"/>
                      <w:lang w:val="en-US" w:eastAsia="zh-CN"/>
                    </w:rPr>
                    <w:t>G</w:t>
                  </w:r>
                  <w:r>
                    <w:rPr>
                      <w:rFonts w:hint="eastAsia" w:cs="Times New Roman"/>
                      <w:color w:val="auto"/>
                      <w:sz w:val="21"/>
                      <w:szCs w:val="21"/>
                      <w:highlight w:val="none"/>
                      <w:vertAlign w:val="subscript"/>
                      <w:lang w:val="en-US" w:eastAsia="zh-CN"/>
                    </w:rPr>
                    <w:t>5</w:t>
                  </w:r>
                </w:p>
              </w:tc>
              <w:tc>
                <w:tcPr>
                  <w:tcW w:w="2023" w:type="dxa"/>
                  <w:tcBorders>
                    <w:tl2br w:val="nil"/>
                    <w:tr2bl w:val="nil"/>
                  </w:tcBorders>
                  <w:noWrap w:val="0"/>
                  <w:vAlign w:val="center"/>
                </w:tcPr>
                <w:p w14:paraId="7FFEB4DB">
                  <w:pPr>
                    <w:keepNext w:val="0"/>
                    <w:keepLines w:val="0"/>
                    <w:widowControl w:val="0"/>
                    <w:suppressLineNumbers w:val="0"/>
                    <w:spacing w:before="0" w:beforeAutospacing="0" w:after="0" w:afterAutospacing="0"/>
                    <w:ind w:left="0" w:leftChars="0" w:right="0" w:right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颗粒物、二氧化硫、氮氧化物、</w:t>
                  </w:r>
                  <w:r>
                    <w:rPr>
                      <w:rFonts w:hint="eastAsia"/>
                      <w:color w:val="auto"/>
                      <w:szCs w:val="21"/>
                      <w:highlight w:val="none"/>
                    </w:rPr>
                    <w:t>N</w:t>
                  </w:r>
                  <w:r>
                    <w:rPr>
                      <w:color w:val="auto"/>
                      <w:szCs w:val="21"/>
                      <w:highlight w:val="none"/>
                    </w:rPr>
                    <w:t>H</w:t>
                  </w:r>
                  <w:r>
                    <w:rPr>
                      <w:color w:val="auto"/>
                      <w:szCs w:val="21"/>
                      <w:highlight w:val="none"/>
                      <w:vertAlign w:val="subscript"/>
                    </w:rPr>
                    <w:t>3</w:t>
                  </w:r>
                  <w:r>
                    <w:rPr>
                      <w:color w:val="auto"/>
                      <w:szCs w:val="21"/>
                      <w:highlight w:val="none"/>
                    </w:rPr>
                    <w:t>、</w:t>
                  </w:r>
                </w:p>
              </w:tc>
              <w:tc>
                <w:tcPr>
                  <w:tcW w:w="2989" w:type="dxa"/>
                  <w:tcBorders>
                    <w:tl2br w:val="nil"/>
                    <w:tr2bl w:val="nil"/>
                  </w:tcBorders>
                  <w:noWrap w:val="0"/>
                  <w:vAlign w:val="center"/>
                </w:tcPr>
                <w:p w14:paraId="43186F60">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olor w:val="auto"/>
                      <w:sz w:val="21"/>
                      <w:szCs w:val="21"/>
                      <w:highlight w:val="none"/>
                    </w:rPr>
                    <w:t>炉内喷钙脱硫</w:t>
                  </w:r>
                  <w:r>
                    <w:rPr>
                      <w:rFonts w:hint="eastAsia"/>
                      <w:color w:val="auto"/>
                      <w:sz w:val="21"/>
                      <w:szCs w:val="21"/>
                      <w:highlight w:val="none"/>
                      <w:lang w:eastAsia="zh-CN"/>
                    </w:rPr>
                    <w:t>（</w:t>
                  </w:r>
                  <w:r>
                    <w:rPr>
                      <w:rFonts w:hint="eastAsia"/>
                      <w:color w:val="auto"/>
                      <w:sz w:val="21"/>
                      <w:szCs w:val="21"/>
                      <w:highlight w:val="none"/>
                    </w:rPr>
                    <w:t>结合尾部烟气的增湿活化脱硫效应</w:t>
                  </w:r>
                  <w:r>
                    <w:rPr>
                      <w:rFonts w:hint="eastAsia"/>
                      <w:color w:val="auto"/>
                      <w:sz w:val="21"/>
                      <w:szCs w:val="21"/>
                      <w:highlight w:val="none"/>
                      <w:lang w:eastAsia="zh-CN"/>
                    </w:rPr>
                    <w:t>）</w:t>
                  </w:r>
                  <w:r>
                    <w:rPr>
                      <w:rFonts w:hint="eastAsia"/>
                      <w:color w:val="auto"/>
                      <w:sz w:val="21"/>
                      <w:szCs w:val="21"/>
                      <w:highlight w:val="none"/>
                      <w:lang w:val="en-US" w:eastAsia="zh-CN"/>
                    </w:rPr>
                    <w:t>+分级燃烧+</w:t>
                  </w:r>
                  <w:r>
                    <w:rPr>
                      <w:rFonts w:hint="eastAsia"/>
                      <w:color w:val="auto"/>
                      <w:sz w:val="21"/>
                      <w:szCs w:val="21"/>
                      <w:highlight w:val="none"/>
                    </w:rPr>
                    <w:t>SNCR</w:t>
                  </w:r>
                  <w:r>
                    <w:rPr>
                      <w:rFonts w:hint="eastAsia"/>
                      <w:color w:val="auto"/>
                      <w:sz w:val="21"/>
                      <w:szCs w:val="21"/>
                      <w:highlight w:val="none"/>
                      <w:lang w:val="en-US" w:eastAsia="zh-CN"/>
                    </w:rPr>
                    <w:t>喷氨</w:t>
                  </w:r>
                  <w:r>
                    <w:rPr>
                      <w:rFonts w:hint="eastAsia"/>
                      <w:color w:val="auto"/>
                      <w:sz w:val="21"/>
                      <w:szCs w:val="21"/>
                      <w:highlight w:val="none"/>
                    </w:rPr>
                    <w:t>脱硝</w:t>
                  </w:r>
                  <w:r>
                    <w:rPr>
                      <w:rFonts w:hint="eastAsia" w:cs="Times New Roman"/>
                      <w:color w:val="auto"/>
                      <w:sz w:val="21"/>
                      <w:szCs w:val="21"/>
                      <w:highlight w:val="none"/>
                      <w:lang w:val="en-US" w:eastAsia="zh-CN"/>
                    </w:rPr>
                    <w:t>+1套</w:t>
                  </w:r>
                  <w:r>
                    <w:rPr>
                      <w:rFonts w:hint="eastAsia"/>
                      <w:color w:val="auto"/>
                      <w:sz w:val="21"/>
                      <w:szCs w:val="21"/>
                      <w:highlight w:val="none"/>
                    </w:rPr>
                    <w:t>脉冲袋式除尘器</w:t>
                  </w:r>
                  <w:r>
                    <w:rPr>
                      <w:rFonts w:hint="eastAsia" w:cs="Times New Roman"/>
                      <w:color w:val="auto"/>
                      <w:sz w:val="21"/>
                      <w:szCs w:val="21"/>
                      <w:highlight w:val="none"/>
                      <w:lang w:val="en-US" w:eastAsia="zh-CN"/>
                    </w:rPr>
                    <w:t>+25m高排气筒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烘干</w:t>
                  </w:r>
                  <w:r>
                    <w:rPr>
                      <w:rFonts w:hint="default" w:ascii="Times New Roman" w:hAnsi="Times New Roman" w:eastAsia="宋体" w:cs="Times New Roman"/>
                      <w:color w:val="auto"/>
                      <w:sz w:val="21"/>
                      <w:szCs w:val="21"/>
                      <w:highlight w:val="none"/>
                    </w:rPr>
                    <w:t>过程产生的</w:t>
                  </w:r>
                  <w:r>
                    <w:rPr>
                      <w:rFonts w:hint="eastAsia" w:cs="Times New Roman"/>
                      <w:color w:val="auto"/>
                      <w:sz w:val="21"/>
                      <w:szCs w:val="21"/>
                      <w:highlight w:val="none"/>
                      <w:lang w:val="en-US" w:eastAsia="zh-CN"/>
                    </w:rPr>
                    <w:t>污染物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 w:val="0"/>
                      <w:bCs w:val="0"/>
                      <w:color w:val="auto"/>
                      <w:sz w:val="21"/>
                      <w:szCs w:val="21"/>
                      <w:highlight w:val="none"/>
                      <w:vertAlign w:val="baseline"/>
                      <w:lang w:val="en-US" w:eastAsia="zh-CN"/>
                    </w:rPr>
                    <w:t>35467.44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脱硫效率85%，脱硝效率75%，</w:t>
                  </w:r>
                  <w:r>
                    <w:rPr>
                      <w:rFonts w:hint="default" w:ascii="Times New Roman" w:hAnsi="Times New Roman" w:eastAsia="宋体" w:cs="Times New Roman"/>
                      <w:bCs/>
                      <w:color w:val="auto"/>
                      <w:sz w:val="21"/>
                      <w:szCs w:val="21"/>
                      <w:highlight w:val="none"/>
                      <w:lang w:val="en-US" w:eastAsia="zh-CN"/>
                    </w:rPr>
                    <w:t>排气筒内径</w:t>
                  </w:r>
                  <w:r>
                    <w:rPr>
                      <w:rFonts w:hint="eastAsia" w:cs="Times New Roman"/>
                      <w:bCs/>
                      <w:color w:val="auto"/>
                      <w:sz w:val="21"/>
                      <w:szCs w:val="21"/>
                      <w:highlight w:val="none"/>
                      <w:lang w:val="en-US" w:eastAsia="zh-CN"/>
                    </w:rPr>
                    <w:t>1.0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3C84EB3C">
                  <w:pPr>
                    <w:keepNext w:val="0"/>
                    <w:keepLines w:val="0"/>
                    <w:widowControl w:val="0"/>
                    <w:suppressLineNumbers w:val="0"/>
                    <w:spacing w:before="0" w:beforeAutospacing="0" w:after="0" w:afterAutospacing="0"/>
                    <w:ind w:left="0" w:right="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r>
                    <w:rPr>
                      <w:rFonts w:hint="eastAsia" w:cs="Times New Roman"/>
                      <w:color w:val="auto"/>
                      <w:sz w:val="21"/>
                      <w:szCs w:val="21"/>
                      <w:highlight w:val="none"/>
                      <w:lang w:val="en-US" w:eastAsia="zh-CN"/>
                    </w:rPr>
                    <w:t>DA005</w:t>
                  </w:r>
                  <w:r>
                    <w:rPr>
                      <w:rFonts w:hint="eastAsia" w:cs="Times New Roman"/>
                      <w:color w:val="auto"/>
                      <w:sz w:val="21"/>
                      <w:szCs w:val="21"/>
                      <w:highlight w:val="none"/>
                      <w:lang w:eastAsia="zh-CN"/>
                    </w:rPr>
                    <w:t>）</w:t>
                  </w:r>
                </w:p>
              </w:tc>
            </w:tr>
            <w:tr w14:paraId="7DCD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67" w:type="dxa"/>
                  <w:vMerge w:val="continue"/>
                  <w:tcBorders>
                    <w:tl2br w:val="nil"/>
                    <w:tr2bl w:val="nil"/>
                  </w:tcBorders>
                  <w:noWrap w:val="0"/>
                  <w:vAlign w:val="center"/>
                </w:tcPr>
                <w:p w14:paraId="0E5D28AC">
                  <w:pPr>
                    <w:keepNext w:val="0"/>
                    <w:keepLines w:val="0"/>
                    <w:widowControl w:val="0"/>
                    <w:suppressLineNumbers w:val="0"/>
                    <w:spacing w:before="0" w:beforeAutospacing="0" w:after="0" w:afterAutospacing="0"/>
                    <w:ind w:left="0" w:right="0"/>
                    <w:jc w:val="center"/>
                    <w:rPr>
                      <w:rFonts w:hint="eastAsia" w:cs="Times New Roman"/>
                      <w:color w:val="auto"/>
                      <w:sz w:val="21"/>
                      <w:szCs w:val="21"/>
                      <w:highlight w:val="none"/>
                      <w:lang w:eastAsia="zh-CN"/>
                    </w:rPr>
                  </w:pPr>
                </w:p>
              </w:tc>
              <w:tc>
                <w:tcPr>
                  <w:tcW w:w="1153" w:type="dxa"/>
                  <w:tcBorders>
                    <w:tl2br w:val="nil"/>
                    <w:tr2bl w:val="nil"/>
                  </w:tcBorders>
                  <w:noWrap w:val="0"/>
                  <w:vAlign w:val="center"/>
                </w:tcPr>
                <w:p w14:paraId="0774FE43">
                  <w:pPr>
                    <w:keepNext w:val="0"/>
                    <w:keepLines w:val="0"/>
                    <w:widowControl w:val="0"/>
                    <w:suppressLineNumbers w:val="0"/>
                    <w:spacing w:before="0" w:beforeAutospacing="0" w:after="0" w:afterAutospacing="0"/>
                    <w:ind w:left="0" w:right="0"/>
                    <w:jc w:val="center"/>
                    <w:rPr>
                      <w:rFonts w:hint="default" w:cs="Times New Roman"/>
                      <w:color w:val="auto"/>
                      <w:sz w:val="21"/>
                      <w:szCs w:val="21"/>
                      <w:highlight w:val="none"/>
                      <w:vertAlign w:val="subscript"/>
                      <w:lang w:val="en-US" w:eastAsia="zh-CN"/>
                    </w:rPr>
                  </w:pPr>
                  <w:r>
                    <w:rPr>
                      <w:rFonts w:hint="eastAsia" w:cs="Times New Roman"/>
                      <w:color w:val="auto"/>
                      <w:sz w:val="21"/>
                      <w:szCs w:val="21"/>
                      <w:highlight w:val="none"/>
                      <w:lang w:eastAsia="zh-CN"/>
                    </w:rPr>
                    <w:t>成品堆场扬尘</w:t>
                  </w:r>
                  <w:r>
                    <w:rPr>
                      <w:rFonts w:hint="eastAsia" w:cs="Times New Roman"/>
                      <w:color w:val="auto"/>
                      <w:sz w:val="21"/>
                      <w:szCs w:val="21"/>
                      <w:highlight w:val="none"/>
                      <w:lang w:val="en-US" w:eastAsia="zh-CN"/>
                    </w:rPr>
                    <w:t>G</w:t>
                  </w:r>
                  <w:r>
                    <w:rPr>
                      <w:rFonts w:hint="eastAsia" w:cs="Times New Roman"/>
                      <w:color w:val="auto"/>
                      <w:sz w:val="21"/>
                      <w:szCs w:val="21"/>
                      <w:highlight w:val="none"/>
                      <w:vertAlign w:val="subscript"/>
                      <w:lang w:val="en-US" w:eastAsia="zh-CN"/>
                    </w:rPr>
                    <w:t>6</w:t>
                  </w:r>
                </w:p>
              </w:tc>
              <w:tc>
                <w:tcPr>
                  <w:tcW w:w="2023" w:type="dxa"/>
                  <w:tcBorders>
                    <w:tl2br w:val="nil"/>
                    <w:tr2bl w:val="nil"/>
                  </w:tcBorders>
                  <w:noWrap w:val="0"/>
                  <w:vAlign w:val="center"/>
                </w:tcPr>
                <w:p w14:paraId="3C1600E5">
                  <w:pPr>
                    <w:keepNext w:val="0"/>
                    <w:keepLines w:val="0"/>
                    <w:widowControl w:val="0"/>
                    <w:suppressLineNumbers w:val="0"/>
                    <w:spacing w:before="0" w:beforeAutospacing="0" w:after="0" w:afterAutospacing="0"/>
                    <w:ind w:left="0" w:right="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颗粒物</w:t>
                  </w:r>
                </w:p>
              </w:tc>
              <w:tc>
                <w:tcPr>
                  <w:tcW w:w="2989" w:type="dxa"/>
                  <w:tcBorders>
                    <w:tl2br w:val="nil"/>
                    <w:tr2bl w:val="nil"/>
                  </w:tcBorders>
                  <w:noWrap w:val="0"/>
                  <w:vAlign w:val="center"/>
                </w:tcPr>
                <w:p w14:paraId="7D3553B4">
                  <w:pPr>
                    <w:keepNext w:val="0"/>
                    <w:keepLines w:val="0"/>
                    <w:widowControl w:val="0"/>
                    <w:suppressLineNumbers w:val="0"/>
                    <w:spacing w:before="0" w:beforeAutospacing="0" w:after="0" w:afterAutospacing="0"/>
                    <w:ind w:left="0" w:right="0"/>
                    <w:jc w:val="center"/>
                    <w:rPr>
                      <w:rFonts w:hint="eastAsia" w:cs="Times New Roman"/>
                      <w:color w:val="auto"/>
                      <w:sz w:val="21"/>
                      <w:szCs w:val="21"/>
                      <w:highlight w:val="none"/>
                      <w:lang w:eastAsia="zh-CN"/>
                    </w:rPr>
                  </w:pPr>
                  <w:r>
                    <w:rPr>
                      <w:rFonts w:hint="eastAsia" w:ascii="Times New Roman" w:hAnsi="Times New Roman" w:eastAsia="宋体" w:cs="Times New Roman"/>
                      <w:color w:val="auto"/>
                      <w:spacing w:val="-8"/>
                      <w:sz w:val="21"/>
                      <w:szCs w:val="21"/>
                      <w:highlight w:val="none"/>
                      <w:lang w:eastAsia="zh-CN"/>
                    </w:rPr>
                    <w:t>成品煤储存区为全封闭厂房，</w:t>
                  </w:r>
                  <w:r>
                    <w:rPr>
                      <w:rFonts w:hint="default" w:ascii="Times New Roman" w:hAnsi="Times New Roman" w:eastAsia="宋体" w:cs="Times New Roman"/>
                      <w:color w:val="auto"/>
                      <w:spacing w:val="-3"/>
                      <w:sz w:val="21"/>
                      <w:szCs w:val="21"/>
                      <w:highlight w:val="none"/>
                    </w:rPr>
                    <w:t>其产生</w:t>
                  </w:r>
                  <w:r>
                    <w:rPr>
                      <w:rFonts w:hint="default" w:ascii="Times New Roman" w:hAnsi="Times New Roman" w:eastAsia="宋体" w:cs="Times New Roman"/>
                      <w:color w:val="auto"/>
                      <w:spacing w:val="-5"/>
                      <w:sz w:val="21"/>
                      <w:szCs w:val="21"/>
                      <w:highlight w:val="none"/>
                    </w:rPr>
                    <w:t>的无组织扬尘</w:t>
                  </w:r>
                  <w:r>
                    <w:rPr>
                      <w:rFonts w:hint="eastAsia" w:cs="Times New Roman"/>
                      <w:color w:val="auto"/>
                      <w:spacing w:val="-5"/>
                      <w:sz w:val="21"/>
                      <w:szCs w:val="21"/>
                      <w:highlight w:val="none"/>
                      <w:lang w:eastAsia="zh-CN"/>
                    </w:rPr>
                    <w:t>均在堆棚内</w:t>
                  </w:r>
                  <w:r>
                    <w:rPr>
                      <w:rFonts w:hint="default" w:ascii="Times New Roman" w:hAnsi="Times New Roman" w:eastAsia="宋体" w:cs="Times New Roman"/>
                      <w:color w:val="auto"/>
                      <w:spacing w:val="-11"/>
                      <w:sz w:val="21"/>
                      <w:szCs w:val="21"/>
                      <w:highlight w:val="none"/>
                    </w:rPr>
                    <w:t>，</w:t>
                  </w:r>
                  <w:r>
                    <w:rPr>
                      <w:rFonts w:hint="eastAsia" w:cs="Times New Roman"/>
                      <w:color w:val="auto"/>
                      <w:spacing w:val="-11"/>
                      <w:sz w:val="21"/>
                      <w:szCs w:val="21"/>
                      <w:highlight w:val="none"/>
                      <w:lang w:eastAsia="zh-CN"/>
                    </w:rPr>
                    <w:t>仅有少量扬尘在开门时溢出。</w:t>
                  </w:r>
                </w:p>
              </w:tc>
              <w:tc>
                <w:tcPr>
                  <w:tcW w:w="1517" w:type="dxa"/>
                  <w:tcBorders>
                    <w:tl2br w:val="nil"/>
                    <w:tr2bl w:val="nil"/>
                  </w:tcBorders>
                  <w:noWrap w:val="0"/>
                  <w:vAlign w:val="center"/>
                </w:tcPr>
                <w:p w14:paraId="70D2DCB9">
                  <w:pPr>
                    <w:keepNext w:val="0"/>
                    <w:keepLines w:val="0"/>
                    <w:widowControl w:val="0"/>
                    <w:suppressLineNumbers w:val="0"/>
                    <w:spacing w:before="0" w:beforeAutospacing="0" w:after="0" w:afterAutospacing="0"/>
                    <w:ind w:left="0" w:right="0"/>
                    <w:jc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无组织</w:t>
                  </w:r>
                </w:p>
              </w:tc>
            </w:tr>
            <w:tr w14:paraId="27C2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67" w:type="dxa"/>
                  <w:vMerge w:val="continue"/>
                  <w:tcBorders>
                    <w:tl2br w:val="nil"/>
                    <w:tr2bl w:val="nil"/>
                  </w:tcBorders>
                  <w:noWrap w:val="0"/>
                  <w:vAlign w:val="center"/>
                </w:tcPr>
                <w:p w14:paraId="6C1ED54A">
                  <w:pPr>
                    <w:keepNext w:val="0"/>
                    <w:keepLines w:val="0"/>
                    <w:widowControl w:val="0"/>
                    <w:suppressLineNumbers w:val="0"/>
                    <w:spacing w:before="0" w:beforeAutospacing="0" w:after="0" w:afterAutospacing="0"/>
                    <w:ind w:left="0" w:right="0"/>
                    <w:jc w:val="center"/>
                    <w:rPr>
                      <w:color w:val="auto"/>
                      <w:highlight w:val="none"/>
                    </w:rPr>
                  </w:pPr>
                </w:p>
              </w:tc>
              <w:tc>
                <w:tcPr>
                  <w:tcW w:w="1153" w:type="dxa"/>
                  <w:tcBorders>
                    <w:tl2br w:val="nil"/>
                    <w:tr2bl w:val="nil"/>
                  </w:tcBorders>
                  <w:noWrap w:val="0"/>
                  <w:vAlign w:val="center"/>
                </w:tcPr>
                <w:p w14:paraId="72ACE294">
                  <w:pPr>
                    <w:keepNext w:val="0"/>
                    <w:keepLines w:val="0"/>
                    <w:widowControl w:val="0"/>
                    <w:suppressLineNumbers w:val="0"/>
                    <w:spacing w:before="0" w:beforeAutospacing="0" w:after="0" w:afterAutospacing="0"/>
                    <w:ind w:left="0" w:right="0"/>
                    <w:jc w:val="center"/>
                    <w:rPr>
                      <w:rFonts w:hint="eastAsia" w:cs="Times New Roman"/>
                      <w:color w:val="auto"/>
                      <w:sz w:val="21"/>
                      <w:szCs w:val="21"/>
                      <w:highlight w:val="none"/>
                      <w:lang w:eastAsia="zh-CN"/>
                    </w:rPr>
                  </w:pPr>
                  <w:r>
                    <w:rPr>
                      <w:rFonts w:hint="eastAsia" w:cs="Times New Roman"/>
                      <w:color w:val="auto"/>
                      <w:kern w:val="2"/>
                      <w:sz w:val="21"/>
                      <w:szCs w:val="21"/>
                      <w:highlight w:val="none"/>
                      <w:lang w:val="en-US" w:eastAsia="zh-CN" w:bidi="ar-SA"/>
                    </w:rPr>
                    <w:t>喂煤仓</w:t>
                  </w:r>
                  <w:r>
                    <w:rPr>
                      <w:rFonts w:hint="eastAsia" w:ascii="Times New Roman" w:hAnsi="Times New Roman" w:eastAsia="宋体" w:cs="Times New Roman"/>
                      <w:color w:val="auto"/>
                      <w:kern w:val="2"/>
                      <w:sz w:val="21"/>
                      <w:szCs w:val="21"/>
                      <w:highlight w:val="none"/>
                      <w:lang w:val="en-US" w:eastAsia="zh-CN" w:bidi="ar-SA"/>
                    </w:rPr>
                    <w:t>粉尘</w:t>
                  </w:r>
                  <w:r>
                    <w:rPr>
                      <w:rFonts w:hint="eastAsia" w:cs="Times New Roman"/>
                      <w:color w:val="auto"/>
                      <w:sz w:val="21"/>
                      <w:szCs w:val="21"/>
                      <w:highlight w:val="none"/>
                      <w:lang w:val="en-US" w:eastAsia="zh-CN"/>
                    </w:rPr>
                    <w:t>G</w:t>
                  </w:r>
                  <w:r>
                    <w:rPr>
                      <w:rFonts w:hint="eastAsia" w:cs="Times New Roman"/>
                      <w:color w:val="auto"/>
                      <w:sz w:val="21"/>
                      <w:szCs w:val="21"/>
                      <w:highlight w:val="none"/>
                      <w:vertAlign w:val="subscript"/>
                      <w:lang w:val="en-US" w:eastAsia="zh-CN"/>
                    </w:rPr>
                    <w:t>7</w:t>
                  </w:r>
                </w:p>
              </w:tc>
              <w:tc>
                <w:tcPr>
                  <w:tcW w:w="2023" w:type="dxa"/>
                  <w:tcBorders>
                    <w:tl2br w:val="nil"/>
                    <w:tr2bl w:val="nil"/>
                  </w:tcBorders>
                  <w:noWrap w:val="0"/>
                  <w:vAlign w:val="center"/>
                </w:tcPr>
                <w:p w14:paraId="7E8B2FA0">
                  <w:pPr>
                    <w:keepNext w:val="0"/>
                    <w:keepLines w:val="0"/>
                    <w:widowControl w:val="0"/>
                    <w:suppressLineNumbers w:val="0"/>
                    <w:spacing w:before="0" w:beforeAutospacing="0" w:after="0" w:afterAutospacing="0"/>
                    <w:ind w:left="0" w:right="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颗粒物</w:t>
                  </w:r>
                </w:p>
              </w:tc>
              <w:tc>
                <w:tcPr>
                  <w:tcW w:w="2989" w:type="dxa"/>
                  <w:tcBorders>
                    <w:tl2br w:val="nil"/>
                    <w:tr2bl w:val="nil"/>
                  </w:tcBorders>
                  <w:noWrap w:val="0"/>
                  <w:vAlign w:val="center"/>
                </w:tcPr>
                <w:p w14:paraId="64E48A3E">
                  <w:pPr>
                    <w:keepNext w:val="0"/>
                    <w:keepLines w:val="0"/>
                    <w:widowControl w:val="0"/>
                    <w:suppressLineNumbers w:val="0"/>
                    <w:spacing w:before="0" w:beforeAutospacing="0" w:after="0" w:afterAutospacing="0"/>
                    <w:ind w:left="0" w:right="0"/>
                    <w:jc w:val="center"/>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1套集气罩+收尘风管+布袋除尘器+36m高排气筒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喂煤仓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9639</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m</w:t>
                  </w:r>
                </w:p>
              </w:tc>
              <w:tc>
                <w:tcPr>
                  <w:tcW w:w="1517" w:type="dxa"/>
                  <w:tcBorders>
                    <w:tl2br w:val="nil"/>
                    <w:tr2bl w:val="nil"/>
                  </w:tcBorders>
                  <w:noWrap w:val="0"/>
                  <w:vAlign w:val="center"/>
                </w:tcPr>
                <w:p w14:paraId="05A92CD5">
                  <w:pPr>
                    <w:keepNext w:val="0"/>
                    <w:keepLines w:val="0"/>
                    <w:widowControl w:val="0"/>
                    <w:suppressLineNumbers w:val="0"/>
                    <w:spacing w:before="0" w:beforeAutospacing="0" w:after="0" w:afterAutospacing="0"/>
                    <w:ind w:left="0" w:right="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r>
                    <w:rPr>
                      <w:rFonts w:hint="eastAsia" w:cs="Times New Roman"/>
                      <w:color w:val="auto"/>
                      <w:sz w:val="21"/>
                      <w:szCs w:val="21"/>
                      <w:highlight w:val="none"/>
                      <w:lang w:val="en-US" w:eastAsia="zh-CN"/>
                    </w:rPr>
                    <w:t>DA004</w:t>
                  </w:r>
                  <w:r>
                    <w:rPr>
                      <w:rFonts w:hint="eastAsia" w:cs="Times New Roman"/>
                      <w:color w:val="auto"/>
                      <w:sz w:val="21"/>
                      <w:szCs w:val="21"/>
                      <w:highlight w:val="none"/>
                      <w:lang w:eastAsia="zh-CN"/>
                    </w:rPr>
                    <w:t>）</w:t>
                  </w:r>
                </w:p>
              </w:tc>
            </w:tr>
            <w:tr w14:paraId="5AC2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67" w:type="dxa"/>
                  <w:vMerge w:val="continue"/>
                  <w:tcBorders>
                    <w:tl2br w:val="nil"/>
                    <w:tr2bl w:val="nil"/>
                  </w:tcBorders>
                  <w:noWrap w:val="0"/>
                  <w:vAlign w:val="center"/>
                </w:tcPr>
                <w:p w14:paraId="3437C86D">
                  <w:pPr>
                    <w:keepNext w:val="0"/>
                    <w:keepLines w:val="0"/>
                    <w:widowControl w:val="0"/>
                    <w:suppressLineNumbers w:val="0"/>
                    <w:spacing w:before="0" w:beforeAutospacing="0" w:after="0" w:afterAutospacing="0"/>
                    <w:ind w:left="0" w:right="0"/>
                    <w:jc w:val="center"/>
                    <w:rPr>
                      <w:color w:val="auto"/>
                      <w:highlight w:val="none"/>
                    </w:rPr>
                  </w:pPr>
                </w:p>
              </w:tc>
              <w:tc>
                <w:tcPr>
                  <w:tcW w:w="1153" w:type="dxa"/>
                  <w:vMerge w:val="restart"/>
                  <w:tcBorders>
                    <w:tl2br w:val="nil"/>
                    <w:tr2bl w:val="nil"/>
                  </w:tcBorders>
                  <w:noWrap w:val="0"/>
                  <w:vAlign w:val="center"/>
                </w:tcPr>
                <w:p w14:paraId="51D3B99F">
                  <w:pPr>
                    <w:keepNext w:val="0"/>
                    <w:keepLines w:val="0"/>
                    <w:widowControl w:val="0"/>
                    <w:suppressLineNumbers w:val="0"/>
                    <w:spacing w:before="0" w:beforeAutospacing="0" w:after="0" w:afterAutospacing="0"/>
                    <w:ind w:left="0" w:right="0"/>
                    <w:jc w:val="center"/>
                    <w:rPr>
                      <w:rFonts w:hint="default" w:cs="Times New Roman"/>
                      <w:color w:val="auto"/>
                      <w:kern w:val="2"/>
                      <w:sz w:val="21"/>
                      <w:szCs w:val="21"/>
                      <w:highlight w:val="none"/>
                      <w:vertAlign w:val="subscript"/>
                      <w:lang w:val="en-US" w:eastAsia="zh-CN" w:bidi="ar-SA"/>
                    </w:rPr>
                  </w:pPr>
                  <w:r>
                    <w:rPr>
                      <w:rFonts w:hint="eastAsia" w:cs="Times New Roman"/>
                      <w:color w:val="auto"/>
                      <w:kern w:val="2"/>
                      <w:sz w:val="21"/>
                      <w:szCs w:val="21"/>
                      <w:highlight w:val="none"/>
                      <w:lang w:val="en-US" w:eastAsia="zh-CN" w:bidi="ar-SA"/>
                    </w:rPr>
                    <w:t>粉煤仓粉尘G</w:t>
                  </w:r>
                  <w:r>
                    <w:rPr>
                      <w:rFonts w:hint="eastAsia" w:cs="Times New Roman"/>
                      <w:color w:val="auto"/>
                      <w:kern w:val="2"/>
                      <w:sz w:val="21"/>
                      <w:szCs w:val="21"/>
                      <w:highlight w:val="none"/>
                      <w:vertAlign w:val="subscript"/>
                      <w:lang w:val="en-US" w:eastAsia="zh-CN" w:bidi="ar-SA"/>
                    </w:rPr>
                    <w:t>8</w:t>
                  </w:r>
                </w:p>
              </w:tc>
              <w:tc>
                <w:tcPr>
                  <w:tcW w:w="2023" w:type="dxa"/>
                  <w:tcBorders>
                    <w:tl2br w:val="nil"/>
                    <w:tr2bl w:val="nil"/>
                  </w:tcBorders>
                  <w:noWrap w:val="0"/>
                  <w:vAlign w:val="center"/>
                </w:tcPr>
                <w:p w14:paraId="44A9DF9E">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颗粒物</w:t>
                  </w:r>
                  <w:r>
                    <w:rPr>
                      <w:rFonts w:hint="eastAsia" w:cs="Times New Roman"/>
                      <w:color w:val="auto"/>
                      <w:sz w:val="21"/>
                      <w:szCs w:val="21"/>
                      <w:highlight w:val="none"/>
                      <w:lang w:val="en-US" w:eastAsia="zh-CN"/>
                    </w:rPr>
                    <w:t>（</w:t>
                  </w:r>
                  <w:r>
                    <w:rPr>
                      <w:rFonts w:hint="eastAsia" w:cs="Times New Roman"/>
                      <w:color w:val="auto"/>
                      <w:kern w:val="2"/>
                      <w:sz w:val="21"/>
                      <w:szCs w:val="21"/>
                      <w:highlight w:val="none"/>
                      <w:lang w:val="en-US" w:eastAsia="zh-CN" w:bidi="ar-SA"/>
                    </w:rPr>
                    <w:t>1#煤粉仓粉尘</w:t>
                  </w:r>
                  <w:r>
                    <w:rPr>
                      <w:rFonts w:hint="eastAsia" w:cs="Times New Roman"/>
                      <w:color w:val="auto"/>
                      <w:sz w:val="21"/>
                      <w:szCs w:val="21"/>
                      <w:highlight w:val="none"/>
                      <w:lang w:val="en-US" w:eastAsia="zh-CN"/>
                    </w:rPr>
                    <w:t>）</w:t>
                  </w:r>
                </w:p>
              </w:tc>
              <w:tc>
                <w:tcPr>
                  <w:tcW w:w="2989" w:type="dxa"/>
                  <w:tcBorders>
                    <w:tl2br w:val="nil"/>
                    <w:tr2bl w:val="nil"/>
                  </w:tcBorders>
                  <w:noWrap w:val="0"/>
                  <w:vAlign w:val="center"/>
                </w:tcPr>
                <w:p w14:paraId="2D8AA5B1">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1套布袋除尘器+15.5m高排气筒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粉煤仓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42DCD668">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r>
                    <w:rPr>
                      <w:rFonts w:hint="eastAsia" w:cs="Times New Roman"/>
                      <w:color w:val="auto"/>
                      <w:sz w:val="21"/>
                      <w:szCs w:val="21"/>
                      <w:highlight w:val="none"/>
                      <w:lang w:val="en-US" w:eastAsia="zh-CN"/>
                    </w:rPr>
                    <w:t>DA008</w:t>
                  </w:r>
                  <w:r>
                    <w:rPr>
                      <w:rFonts w:hint="eastAsia" w:cs="Times New Roman"/>
                      <w:color w:val="auto"/>
                      <w:sz w:val="21"/>
                      <w:szCs w:val="21"/>
                      <w:highlight w:val="none"/>
                      <w:lang w:eastAsia="zh-CN"/>
                    </w:rPr>
                    <w:t>）</w:t>
                  </w:r>
                </w:p>
              </w:tc>
            </w:tr>
            <w:tr w14:paraId="19AF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67" w:type="dxa"/>
                  <w:vMerge w:val="continue"/>
                  <w:tcBorders>
                    <w:tl2br w:val="nil"/>
                    <w:tr2bl w:val="nil"/>
                  </w:tcBorders>
                  <w:noWrap w:val="0"/>
                  <w:vAlign w:val="center"/>
                </w:tcPr>
                <w:p w14:paraId="490097C2">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53" w:type="dxa"/>
                  <w:vMerge w:val="continue"/>
                  <w:tcBorders>
                    <w:tl2br w:val="nil"/>
                    <w:tr2bl w:val="nil"/>
                  </w:tcBorders>
                  <w:noWrap w:val="0"/>
                  <w:vAlign w:val="center"/>
                </w:tcPr>
                <w:p w14:paraId="72F4788A">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2023" w:type="dxa"/>
                  <w:tcBorders>
                    <w:tl2br w:val="nil"/>
                    <w:tr2bl w:val="nil"/>
                  </w:tcBorders>
                  <w:noWrap w:val="0"/>
                  <w:vAlign w:val="center"/>
                </w:tcPr>
                <w:p w14:paraId="773F26AF">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颗粒物</w:t>
                  </w:r>
                  <w:r>
                    <w:rPr>
                      <w:rFonts w:hint="eastAsia" w:cs="Times New Roman"/>
                      <w:color w:val="auto"/>
                      <w:sz w:val="21"/>
                      <w:szCs w:val="21"/>
                      <w:highlight w:val="none"/>
                      <w:lang w:val="en-US" w:eastAsia="zh-CN"/>
                    </w:rPr>
                    <w:t>（</w:t>
                  </w:r>
                  <w:r>
                    <w:rPr>
                      <w:rFonts w:hint="eastAsia" w:cs="Times New Roman"/>
                      <w:color w:val="auto"/>
                      <w:kern w:val="2"/>
                      <w:sz w:val="21"/>
                      <w:szCs w:val="21"/>
                      <w:highlight w:val="none"/>
                      <w:lang w:val="en-US" w:eastAsia="zh-CN" w:bidi="ar-SA"/>
                    </w:rPr>
                    <w:t>2#煤粉仓粉尘</w:t>
                  </w:r>
                  <w:r>
                    <w:rPr>
                      <w:rFonts w:hint="eastAsia" w:cs="Times New Roman"/>
                      <w:color w:val="auto"/>
                      <w:sz w:val="21"/>
                      <w:szCs w:val="21"/>
                      <w:highlight w:val="none"/>
                      <w:lang w:val="en-US" w:eastAsia="zh-CN"/>
                    </w:rPr>
                    <w:t>）</w:t>
                  </w:r>
                </w:p>
              </w:tc>
              <w:tc>
                <w:tcPr>
                  <w:tcW w:w="2989" w:type="dxa"/>
                  <w:tcBorders>
                    <w:tl2br w:val="nil"/>
                    <w:tr2bl w:val="nil"/>
                  </w:tcBorders>
                  <w:noWrap w:val="0"/>
                  <w:vAlign w:val="center"/>
                </w:tcPr>
                <w:p w14:paraId="17F49A97">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1套布袋除尘器+26.5m高排气筒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粉煤仓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4012</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35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7B694475">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r>
                    <w:rPr>
                      <w:rFonts w:hint="eastAsia" w:cs="Times New Roman"/>
                      <w:color w:val="auto"/>
                      <w:sz w:val="21"/>
                      <w:szCs w:val="21"/>
                      <w:highlight w:val="none"/>
                      <w:lang w:val="en-US" w:eastAsia="zh-CN"/>
                    </w:rPr>
                    <w:t>DA009</w:t>
                  </w:r>
                  <w:r>
                    <w:rPr>
                      <w:rFonts w:hint="eastAsia" w:cs="Times New Roman"/>
                      <w:color w:val="auto"/>
                      <w:sz w:val="21"/>
                      <w:szCs w:val="21"/>
                      <w:highlight w:val="none"/>
                      <w:lang w:eastAsia="zh-CN"/>
                    </w:rPr>
                    <w:t>）</w:t>
                  </w:r>
                </w:p>
              </w:tc>
            </w:tr>
            <w:tr w14:paraId="2BB7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67" w:type="dxa"/>
                  <w:vMerge w:val="continue"/>
                  <w:tcBorders>
                    <w:tl2br w:val="nil"/>
                    <w:tr2bl w:val="nil"/>
                  </w:tcBorders>
                  <w:noWrap w:val="0"/>
                  <w:vAlign w:val="center"/>
                </w:tcPr>
                <w:p w14:paraId="5936492C">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p>
              </w:tc>
              <w:tc>
                <w:tcPr>
                  <w:tcW w:w="1153" w:type="dxa"/>
                  <w:vMerge w:val="continue"/>
                  <w:tcBorders>
                    <w:tl2br w:val="nil"/>
                    <w:tr2bl w:val="nil"/>
                  </w:tcBorders>
                  <w:noWrap w:val="0"/>
                  <w:vAlign w:val="center"/>
                </w:tcPr>
                <w:p w14:paraId="2CED8C6E">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p>
              </w:tc>
              <w:tc>
                <w:tcPr>
                  <w:tcW w:w="2023" w:type="dxa"/>
                  <w:tcBorders>
                    <w:tl2br w:val="nil"/>
                    <w:tr2bl w:val="nil"/>
                  </w:tcBorders>
                  <w:noWrap w:val="0"/>
                  <w:vAlign w:val="center"/>
                </w:tcPr>
                <w:p w14:paraId="4660DAED">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颗粒物</w:t>
                  </w:r>
                  <w:r>
                    <w:rPr>
                      <w:rFonts w:hint="eastAsia" w:cs="Times New Roman"/>
                      <w:color w:val="auto"/>
                      <w:sz w:val="21"/>
                      <w:szCs w:val="21"/>
                      <w:highlight w:val="none"/>
                      <w:lang w:val="en-US" w:eastAsia="zh-CN"/>
                    </w:rPr>
                    <w:t>（</w:t>
                  </w:r>
                  <w:r>
                    <w:rPr>
                      <w:rFonts w:hint="eastAsia" w:cs="Times New Roman"/>
                      <w:color w:val="auto"/>
                      <w:kern w:val="2"/>
                      <w:sz w:val="21"/>
                      <w:szCs w:val="21"/>
                      <w:highlight w:val="none"/>
                      <w:lang w:val="en-US" w:eastAsia="zh-CN" w:bidi="ar-SA"/>
                    </w:rPr>
                    <w:t>3#煤粉仓粉尘</w:t>
                  </w:r>
                  <w:r>
                    <w:rPr>
                      <w:rFonts w:hint="eastAsia" w:cs="Times New Roman"/>
                      <w:color w:val="auto"/>
                      <w:sz w:val="21"/>
                      <w:szCs w:val="21"/>
                      <w:highlight w:val="none"/>
                      <w:lang w:val="en-US" w:eastAsia="zh-CN"/>
                    </w:rPr>
                    <w:t>）</w:t>
                  </w:r>
                </w:p>
              </w:tc>
              <w:tc>
                <w:tcPr>
                  <w:tcW w:w="2989" w:type="dxa"/>
                  <w:tcBorders>
                    <w:tl2br w:val="nil"/>
                    <w:tr2bl w:val="nil"/>
                  </w:tcBorders>
                  <w:noWrap w:val="0"/>
                  <w:vAlign w:val="center"/>
                </w:tcPr>
                <w:p w14:paraId="5071392C">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1套布袋除尘器+26.5m高排气筒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粉煤仓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4012</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35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19E76F5A">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r>
                    <w:rPr>
                      <w:rFonts w:hint="eastAsia" w:cs="Times New Roman"/>
                      <w:color w:val="auto"/>
                      <w:sz w:val="21"/>
                      <w:szCs w:val="21"/>
                      <w:highlight w:val="none"/>
                      <w:lang w:val="en-US" w:eastAsia="zh-CN"/>
                    </w:rPr>
                    <w:t>DA010</w:t>
                  </w:r>
                  <w:r>
                    <w:rPr>
                      <w:rFonts w:hint="eastAsia" w:cs="Times New Roman"/>
                      <w:color w:val="auto"/>
                      <w:sz w:val="21"/>
                      <w:szCs w:val="21"/>
                      <w:highlight w:val="none"/>
                      <w:lang w:eastAsia="zh-CN"/>
                    </w:rPr>
                    <w:t>）</w:t>
                  </w:r>
                </w:p>
              </w:tc>
            </w:tr>
            <w:tr w14:paraId="0422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67" w:type="dxa"/>
                  <w:vMerge w:val="continue"/>
                  <w:tcBorders>
                    <w:tl2br w:val="nil"/>
                    <w:tr2bl w:val="nil"/>
                  </w:tcBorders>
                  <w:noWrap w:val="0"/>
                  <w:vAlign w:val="center"/>
                </w:tcPr>
                <w:p w14:paraId="5DD99D81">
                  <w:pPr>
                    <w:keepNext w:val="0"/>
                    <w:keepLines w:val="0"/>
                    <w:widowControl w:val="0"/>
                    <w:suppressLineNumbers w:val="0"/>
                    <w:spacing w:before="0" w:beforeAutospacing="0" w:after="0" w:afterAutospacing="0"/>
                    <w:ind w:left="0" w:right="0"/>
                    <w:jc w:val="center"/>
                    <w:rPr>
                      <w:color w:val="auto"/>
                      <w:highlight w:val="none"/>
                    </w:rPr>
                  </w:pPr>
                </w:p>
              </w:tc>
              <w:tc>
                <w:tcPr>
                  <w:tcW w:w="1153" w:type="dxa"/>
                  <w:vMerge w:val="restart"/>
                  <w:tcBorders>
                    <w:tl2br w:val="nil"/>
                    <w:tr2bl w:val="nil"/>
                  </w:tcBorders>
                  <w:noWrap w:val="0"/>
                  <w:vAlign w:val="center"/>
                </w:tcPr>
                <w:p w14:paraId="1C57FF9B">
                  <w:pPr>
                    <w:keepNext w:val="0"/>
                    <w:keepLines w:val="0"/>
                    <w:widowControl w:val="0"/>
                    <w:suppressLineNumbers w:val="0"/>
                    <w:spacing w:before="0" w:beforeAutospacing="0" w:after="0" w:afterAutospacing="0"/>
                    <w:ind w:left="0" w:right="0"/>
                    <w:jc w:val="both"/>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成品</w:t>
                  </w:r>
                  <w:r>
                    <w:rPr>
                      <w:rFonts w:hint="eastAsia" w:ascii="Times New Roman" w:hAnsi="Times New Roman" w:eastAsia="宋体" w:cs="Times New Roman"/>
                      <w:color w:val="auto"/>
                      <w:kern w:val="2"/>
                      <w:sz w:val="21"/>
                      <w:szCs w:val="21"/>
                      <w:highlight w:val="none"/>
                      <w:lang w:val="en-US" w:eastAsia="zh-CN" w:bidi="ar-SA"/>
                    </w:rPr>
                    <w:t>转载</w:t>
                  </w:r>
                  <w:r>
                    <w:rPr>
                      <w:rFonts w:hint="eastAsia" w:cs="Times New Roman"/>
                      <w:color w:val="auto"/>
                      <w:kern w:val="2"/>
                      <w:sz w:val="21"/>
                      <w:szCs w:val="21"/>
                      <w:highlight w:val="none"/>
                      <w:lang w:val="en-US" w:eastAsia="zh-CN" w:bidi="ar-SA"/>
                    </w:rPr>
                    <w:t>点</w:t>
                  </w:r>
                  <w:r>
                    <w:rPr>
                      <w:rFonts w:hint="eastAsia" w:ascii="Times New Roman" w:hAnsi="Times New Roman" w:eastAsia="宋体" w:cs="Times New Roman"/>
                      <w:color w:val="auto"/>
                      <w:kern w:val="2"/>
                      <w:sz w:val="21"/>
                      <w:szCs w:val="21"/>
                      <w:highlight w:val="none"/>
                      <w:lang w:val="en-US" w:eastAsia="zh-CN" w:bidi="ar-SA"/>
                    </w:rPr>
                    <w:t>落料粉尘</w:t>
                  </w:r>
                  <w:r>
                    <w:rPr>
                      <w:rFonts w:hint="eastAsia" w:cs="Times New Roman"/>
                      <w:color w:val="auto"/>
                      <w:sz w:val="21"/>
                      <w:szCs w:val="21"/>
                      <w:highlight w:val="none"/>
                      <w:lang w:val="en-US" w:eastAsia="zh-CN"/>
                    </w:rPr>
                    <w:t>G</w:t>
                  </w:r>
                  <w:r>
                    <w:rPr>
                      <w:rFonts w:hint="eastAsia" w:cs="Times New Roman"/>
                      <w:color w:val="auto"/>
                      <w:sz w:val="21"/>
                      <w:szCs w:val="21"/>
                      <w:highlight w:val="none"/>
                      <w:vertAlign w:val="subscript"/>
                      <w:lang w:val="en-US" w:eastAsia="zh-CN"/>
                    </w:rPr>
                    <w:t>9</w:t>
                  </w:r>
                </w:p>
              </w:tc>
              <w:tc>
                <w:tcPr>
                  <w:tcW w:w="2023" w:type="dxa"/>
                  <w:tcBorders>
                    <w:tl2br w:val="nil"/>
                    <w:tr2bl w:val="nil"/>
                  </w:tcBorders>
                  <w:noWrap w:val="0"/>
                  <w:vAlign w:val="center"/>
                </w:tcPr>
                <w:p w14:paraId="291930B2">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颗粒物（</w:t>
                  </w:r>
                  <w:r>
                    <w:rPr>
                      <w:rFonts w:hint="eastAsia"/>
                      <w:color w:val="auto"/>
                      <w:sz w:val="21"/>
                      <w:szCs w:val="21"/>
                      <w:highlight w:val="none"/>
                    </w:rPr>
                    <w:t>出烘干机皮带转运</w:t>
                  </w:r>
                  <w:r>
                    <w:rPr>
                      <w:rFonts w:hint="eastAsia" w:cs="Times New Roman"/>
                      <w:color w:val="auto"/>
                      <w:sz w:val="21"/>
                      <w:szCs w:val="21"/>
                      <w:highlight w:val="none"/>
                      <w:lang w:eastAsia="zh-CN"/>
                    </w:rPr>
                    <w:t>）</w:t>
                  </w:r>
                </w:p>
              </w:tc>
              <w:tc>
                <w:tcPr>
                  <w:tcW w:w="2989" w:type="dxa"/>
                  <w:tcBorders>
                    <w:tl2br w:val="nil"/>
                    <w:tr2bl w:val="nil"/>
                  </w:tcBorders>
                  <w:noWrap w:val="0"/>
                  <w:vAlign w:val="center"/>
                </w:tcPr>
                <w:p w14:paraId="53565382">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1套集气罩+收尘风管+20m高排气筒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），用于</w:t>
                  </w:r>
                  <w:r>
                    <w:rPr>
                      <w:rFonts w:hint="eastAsia" w:cs="Times New Roman"/>
                      <w:color w:val="auto"/>
                      <w:sz w:val="21"/>
                      <w:szCs w:val="21"/>
                      <w:highlight w:val="none"/>
                      <w:lang w:eastAsia="zh-CN"/>
                    </w:rPr>
                    <w:t>处理</w:t>
                  </w:r>
                  <w:r>
                    <w:rPr>
                      <w:rFonts w:hint="eastAsia"/>
                      <w:color w:val="auto"/>
                      <w:sz w:val="21"/>
                      <w:szCs w:val="21"/>
                      <w:highlight w:val="none"/>
                    </w:rPr>
                    <w:t>烘干机皮带转运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554646BD">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r>
                    <w:rPr>
                      <w:rFonts w:hint="eastAsia" w:cs="Times New Roman"/>
                      <w:color w:val="auto"/>
                      <w:sz w:val="21"/>
                      <w:szCs w:val="21"/>
                      <w:highlight w:val="none"/>
                      <w:lang w:val="en-US" w:eastAsia="zh-CN"/>
                    </w:rPr>
                    <w:t>DA011</w:t>
                  </w:r>
                  <w:r>
                    <w:rPr>
                      <w:rFonts w:hint="eastAsia" w:cs="Times New Roman"/>
                      <w:color w:val="auto"/>
                      <w:sz w:val="21"/>
                      <w:szCs w:val="21"/>
                      <w:highlight w:val="none"/>
                      <w:lang w:eastAsia="zh-CN"/>
                    </w:rPr>
                    <w:t>）</w:t>
                  </w:r>
                </w:p>
              </w:tc>
            </w:tr>
            <w:tr w14:paraId="7E16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67" w:type="dxa"/>
                  <w:vMerge w:val="continue"/>
                  <w:tcBorders>
                    <w:tl2br w:val="nil"/>
                    <w:tr2bl w:val="nil"/>
                  </w:tcBorders>
                  <w:noWrap w:val="0"/>
                  <w:vAlign w:val="center"/>
                </w:tcPr>
                <w:p w14:paraId="5B8CD161">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53" w:type="dxa"/>
                  <w:vMerge w:val="continue"/>
                  <w:tcBorders>
                    <w:tl2br w:val="nil"/>
                    <w:tr2bl w:val="nil"/>
                  </w:tcBorders>
                  <w:noWrap w:val="0"/>
                  <w:vAlign w:val="center"/>
                </w:tcPr>
                <w:p w14:paraId="780A3748">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2023" w:type="dxa"/>
                  <w:tcBorders>
                    <w:tl2br w:val="nil"/>
                    <w:tr2bl w:val="nil"/>
                  </w:tcBorders>
                  <w:noWrap w:val="0"/>
                  <w:vAlign w:val="center"/>
                </w:tcPr>
                <w:p w14:paraId="72B7D3CF">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r>
                    <w:rPr>
                      <w:rFonts w:hint="eastAsia" w:cs="Times New Roman"/>
                      <w:color w:val="auto"/>
                      <w:sz w:val="21"/>
                      <w:szCs w:val="21"/>
                      <w:highlight w:val="none"/>
                      <w:lang w:eastAsia="zh-CN"/>
                    </w:rPr>
                    <w:t>进成品堆棚转运</w:t>
                  </w:r>
                  <w:r>
                    <w:rPr>
                      <w:rFonts w:hint="eastAsia" w:cs="Times New Roman"/>
                      <w:color w:val="auto"/>
                      <w:sz w:val="21"/>
                      <w:szCs w:val="21"/>
                      <w:highlight w:val="none"/>
                      <w:lang w:val="en-US" w:eastAsia="zh-CN"/>
                    </w:rPr>
                    <w:t>）</w:t>
                  </w:r>
                </w:p>
              </w:tc>
              <w:tc>
                <w:tcPr>
                  <w:tcW w:w="2989" w:type="dxa"/>
                  <w:tcBorders>
                    <w:tl2br w:val="nil"/>
                    <w:tr2bl w:val="nil"/>
                  </w:tcBorders>
                  <w:noWrap w:val="0"/>
                  <w:vAlign w:val="center"/>
                </w:tcPr>
                <w:p w14:paraId="2CE28D2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1套集气罩+收尘风管+26.5m高排气筒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03972011">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r>
                    <w:rPr>
                      <w:rFonts w:hint="eastAsia" w:cs="Times New Roman"/>
                      <w:color w:val="auto"/>
                      <w:sz w:val="21"/>
                      <w:szCs w:val="21"/>
                      <w:highlight w:val="none"/>
                      <w:lang w:val="en-US" w:eastAsia="zh-CN"/>
                    </w:rPr>
                    <w:t>DA012</w:t>
                  </w:r>
                  <w:r>
                    <w:rPr>
                      <w:rFonts w:hint="eastAsia" w:cs="Times New Roman"/>
                      <w:color w:val="auto"/>
                      <w:sz w:val="21"/>
                      <w:szCs w:val="21"/>
                      <w:highlight w:val="none"/>
                      <w:lang w:eastAsia="zh-CN"/>
                    </w:rPr>
                    <w:t>）</w:t>
                  </w:r>
                </w:p>
              </w:tc>
            </w:tr>
            <w:tr w14:paraId="0D9F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67" w:type="dxa"/>
                  <w:vMerge w:val="continue"/>
                  <w:tcBorders>
                    <w:tl2br w:val="nil"/>
                    <w:tr2bl w:val="nil"/>
                  </w:tcBorders>
                  <w:noWrap w:val="0"/>
                  <w:vAlign w:val="center"/>
                </w:tcPr>
                <w:p w14:paraId="30F27F12">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53" w:type="dxa"/>
                  <w:vMerge w:val="continue"/>
                  <w:tcBorders>
                    <w:tl2br w:val="nil"/>
                    <w:tr2bl w:val="nil"/>
                  </w:tcBorders>
                  <w:noWrap w:val="0"/>
                  <w:vAlign w:val="center"/>
                </w:tcPr>
                <w:p w14:paraId="2EC28A35">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2023" w:type="dxa"/>
                  <w:tcBorders>
                    <w:tl2br w:val="nil"/>
                    <w:tr2bl w:val="nil"/>
                  </w:tcBorders>
                  <w:noWrap w:val="0"/>
                  <w:vAlign w:val="center"/>
                </w:tcPr>
                <w:p w14:paraId="31D48C8D">
                  <w:pPr>
                    <w:keepNext w:val="0"/>
                    <w:keepLines w:val="0"/>
                    <w:widowControl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r>
                    <w:rPr>
                      <w:rFonts w:hint="eastAsia" w:ascii="Times New Roman" w:hAnsi="Times New Roman" w:eastAsia="宋体" w:cs="Times New Roman"/>
                      <w:bCs/>
                      <w:color w:val="auto"/>
                      <w:sz w:val="21"/>
                      <w:szCs w:val="21"/>
                      <w:highlight w:val="none"/>
                      <w:lang w:eastAsia="zh-CN"/>
                    </w:rPr>
                    <w:t>出成品堆棚皮带转运</w:t>
                  </w:r>
                  <w:r>
                    <w:rPr>
                      <w:rFonts w:hint="eastAsia" w:cs="Times New Roman"/>
                      <w:color w:val="auto"/>
                      <w:sz w:val="21"/>
                      <w:szCs w:val="21"/>
                      <w:highlight w:val="none"/>
                      <w:lang w:val="en-US" w:eastAsia="zh-CN"/>
                    </w:rPr>
                    <w:t>）</w:t>
                  </w:r>
                </w:p>
              </w:tc>
              <w:tc>
                <w:tcPr>
                  <w:tcW w:w="2989" w:type="dxa"/>
                  <w:tcBorders>
                    <w:tl2br w:val="nil"/>
                    <w:tr2bl w:val="nil"/>
                  </w:tcBorders>
                  <w:noWrap w:val="0"/>
                  <w:vAlign w:val="center"/>
                </w:tcPr>
                <w:p w14:paraId="453B43AE">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共设置“</w:t>
                  </w:r>
                  <w:r>
                    <w:rPr>
                      <w:rFonts w:hint="eastAsia" w:cs="Times New Roman"/>
                      <w:color w:val="auto"/>
                      <w:sz w:val="21"/>
                      <w:szCs w:val="21"/>
                      <w:highlight w:val="none"/>
                      <w:lang w:val="en-US" w:eastAsia="zh-CN"/>
                    </w:rPr>
                    <w:t>1套集气罩+收尘风管+布袋除尘器+32.5m高排气筒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，用于处理</w:t>
                  </w:r>
                  <w:r>
                    <w:rPr>
                      <w:rFonts w:hint="eastAsia" w:ascii="Times New Roman" w:hAnsi="Times New Roman" w:eastAsia="宋体" w:cs="Times New Roman"/>
                      <w:bCs/>
                      <w:color w:val="auto"/>
                      <w:sz w:val="21"/>
                      <w:szCs w:val="21"/>
                      <w:highlight w:val="none"/>
                      <w:lang w:eastAsia="zh-CN"/>
                    </w:rPr>
                    <w:t>出成品堆棚皮带转运</w:t>
                  </w:r>
                  <w:r>
                    <w:rPr>
                      <w:rFonts w:hint="default" w:ascii="Times New Roman" w:hAnsi="Times New Roman" w:eastAsia="宋体" w:cs="Times New Roman"/>
                      <w:bCs/>
                      <w:color w:val="auto"/>
                      <w:sz w:val="21"/>
                      <w:szCs w:val="21"/>
                      <w:highlight w:val="none"/>
                    </w:rPr>
                    <w:t>过程产生的</w:t>
                  </w:r>
                  <w:r>
                    <w:rPr>
                      <w:rFonts w:hint="default" w:ascii="Times New Roman" w:hAnsi="Times New Roman" w:eastAsia="宋体" w:cs="Times New Roman"/>
                      <w:bCs/>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43AE575C">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r>
                    <w:rPr>
                      <w:rFonts w:hint="eastAsia" w:cs="Times New Roman"/>
                      <w:color w:val="auto"/>
                      <w:sz w:val="21"/>
                      <w:szCs w:val="21"/>
                      <w:highlight w:val="none"/>
                      <w:lang w:val="en-US" w:eastAsia="zh-CN"/>
                    </w:rPr>
                    <w:t>DA013</w:t>
                  </w:r>
                  <w:r>
                    <w:rPr>
                      <w:rFonts w:hint="eastAsia" w:cs="Times New Roman"/>
                      <w:color w:val="auto"/>
                      <w:sz w:val="21"/>
                      <w:szCs w:val="21"/>
                      <w:highlight w:val="none"/>
                      <w:lang w:eastAsia="zh-CN"/>
                    </w:rPr>
                    <w:t>）</w:t>
                  </w:r>
                </w:p>
              </w:tc>
            </w:tr>
            <w:tr w14:paraId="2D4C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67" w:type="dxa"/>
                  <w:vMerge w:val="continue"/>
                  <w:tcBorders>
                    <w:tl2br w:val="nil"/>
                    <w:tr2bl w:val="nil"/>
                  </w:tcBorders>
                  <w:noWrap w:val="0"/>
                  <w:vAlign w:val="center"/>
                </w:tcPr>
                <w:p w14:paraId="2D2E8B4A">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p>
              </w:tc>
              <w:tc>
                <w:tcPr>
                  <w:tcW w:w="1153" w:type="dxa"/>
                  <w:vMerge w:val="continue"/>
                  <w:tcBorders>
                    <w:tl2br w:val="nil"/>
                    <w:tr2bl w:val="nil"/>
                  </w:tcBorders>
                  <w:noWrap w:val="0"/>
                  <w:vAlign w:val="center"/>
                </w:tcPr>
                <w:p w14:paraId="07F3C217">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p>
              </w:tc>
              <w:tc>
                <w:tcPr>
                  <w:tcW w:w="2023" w:type="dxa"/>
                  <w:tcBorders>
                    <w:tl2br w:val="nil"/>
                    <w:tr2bl w:val="nil"/>
                  </w:tcBorders>
                  <w:noWrap w:val="0"/>
                  <w:vAlign w:val="center"/>
                </w:tcPr>
                <w:p w14:paraId="6158C2B7">
                  <w:pPr>
                    <w:keepNext w:val="0"/>
                    <w:keepLines w:val="0"/>
                    <w:widowControl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r>
                    <w:rPr>
                      <w:rFonts w:hint="eastAsia" w:ascii="Times New Roman" w:hAnsi="Times New Roman" w:eastAsia="宋体" w:cs="Times New Roman"/>
                      <w:color w:val="auto"/>
                      <w:sz w:val="21"/>
                      <w:szCs w:val="21"/>
                      <w:highlight w:val="none"/>
                      <w:lang w:val="en-US" w:eastAsia="zh-CN"/>
                    </w:rPr>
                    <w:t>出成品装车车间皮带转运</w:t>
                  </w:r>
                  <w:r>
                    <w:rPr>
                      <w:rFonts w:hint="eastAsia" w:cs="Times New Roman"/>
                      <w:color w:val="auto"/>
                      <w:sz w:val="21"/>
                      <w:szCs w:val="21"/>
                      <w:highlight w:val="none"/>
                      <w:lang w:val="en-US" w:eastAsia="zh-CN"/>
                    </w:rPr>
                    <w:t>）</w:t>
                  </w:r>
                </w:p>
              </w:tc>
              <w:tc>
                <w:tcPr>
                  <w:tcW w:w="2989" w:type="dxa"/>
                  <w:tcBorders>
                    <w:tl2br w:val="nil"/>
                    <w:tr2bl w:val="nil"/>
                  </w:tcBorders>
                  <w:noWrap w:val="0"/>
                  <w:vAlign w:val="center"/>
                </w:tcPr>
                <w:p w14:paraId="6902EC14">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共设置“</w:t>
                  </w:r>
                  <w:r>
                    <w:rPr>
                      <w:rFonts w:hint="eastAsia" w:cs="Times New Roman"/>
                      <w:color w:val="auto"/>
                      <w:sz w:val="21"/>
                      <w:szCs w:val="21"/>
                      <w:highlight w:val="none"/>
                      <w:lang w:val="en-US" w:eastAsia="zh-CN"/>
                    </w:rPr>
                    <w:t>2套集气罩+收尘风管+布袋除尘器（设两个转运点）+35m高排气筒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，用于处理</w:t>
                  </w:r>
                  <w:r>
                    <w:rPr>
                      <w:rFonts w:hint="eastAsia" w:ascii="Times New Roman" w:hAnsi="Times New Roman" w:eastAsia="宋体" w:cs="Times New Roman"/>
                      <w:color w:val="auto"/>
                      <w:sz w:val="21"/>
                      <w:szCs w:val="21"/>
                      <w:highlight w:val="none"/>
                      <w:lang w:val="en-US" w:eastAsia="zh-CN"/>
                    </w:rPr>
                    <w:t>出成品装车车间皮带转运</w:t>
                  </w:r>
                  <w:r>
                    <w:rPr>
                      <w:rFonts w:hint="default" w:ascii="Times New Roman" w:hAnsi="Times New Roman" w:eastAsia="宋体" w:cs="Times New Roman"/>
                      <w:color w:val="auto"/>
                      <w:sz w:val="21"/>
                      <w:szCs w:val="21"/>
                      <w:highlight w:val="none"/>
                    </w:rPr>
                    <w:t>过程产生的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单个</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30B4E480">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r>
                    <w:rPr>
                      <w:rFonts w:hint="eastAsia" w:cs="Times New Roman"/>
                      <w:color w:val="auto"/>
                      <w:sz w:val="21"/>
                      <w:szCs w:val="21"/>
                      <w:highlight w:val="none"/>
                      <w:lang w:val="en-US" w:eastAsia="zh-CN"/>
                    </w:rPr>
                    <w:t>DA014</w:t>
                  </w:r>
                  <w:r>
                    <w:rPr>
                      <w:rFonts w:hint="eastAsia" w:cs="Times New Roman"/>
                      <w:color w:val="auto"/>
                      <w:sz w:val="21"/>
                      <w:szCs w:val="21"/>
                      <w:highlight w:val="none"/>
                      <w:lang w:eastAsia="zh-CN"/>
                    </w:rPr>
                    <w:t>）</w:t>
                  </w:r>
                </w:p>
              </w:tc>
            </w:tr>
            <w:tr w14:paraId="192F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667" w:type="dxa"/>
                  <w:vMerge w:val="continue"/>
                  <w:tcBorders>
                    <w:tl2br w:val="nil"/>
                    <w:tr2bl w:val="nil"/>
                  </w:tcBorders>
                  <w:noWrap w:val="0"/>
                  <w:vAlign w:val="center"/>
                </w:tcPr>
                <w:p w14:paraId="362BA0CF">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53" w:type="dxa"/>
                  <w:tcBorders>
                    <w:tl2br w:val="nil"/>
                    <w:tr2bl w:val="nil"/>
                  </w:tcBorders>
                  <w:noWrap w:val="0"/>
                  <w:vAlign w:val="center"/>
                </w:tcPr>
                <w:p w14:paraId="6EC80F75">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氨水储罐</w:t>
                  </w:r>
                </w:p>
              </w:tc>
              <w:tc>
                <w:tcPr>
                  <w:tcW w:w="2023" w:type="dxa"/>
                  <w:tcBorders>
                    <w:tl2br w:val="nil"/>
                    <w:tr2bl w:val="nil"/>
                  </w:tcBorders>
                  <w:noWrap w:val="0"/>
                  <w:vAlign w:val="center"/>
                </w:tcPr>
                <w:p w14:paraId="03540E75">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氨气</w:t>
                  </w:r>
                </w:p>
              </w:tc>
              <w:tc>
                <w:tcPr>
                  <w:tcW w:w="2989" w:type="dxa"/>
                  <w:tcBorders>
                    <w:tl2br w:val="nil"/>
                    <w:tr2bl w:val="nil"/>
                  </w:tcBorders>
                  <w:noWrap w:val="0"/>
                  <w:vAlign w:val="center"/>
                </w:tcPr>
                <w:p w14:paraId="3D1EBBF2">
                  <w:pPr>
                    <w:keepNext w:val="0"/>
                    <w:keepLines w:val="0"/>
                    <w:widowControl w:val="0"/>
                    <w:suppressLineNumbers w:val="0"/>
                    <w:spacing w:before="0" w:beforeAutospacing="0" w:after="0" w:afterAutospacing="0"/>
                    <w:ind w:left="0" w:leftChars="0" w:right="0" w:rightChars="0"/>
                    <w:jc w:val="center"/>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lang w:val="en-US" w:eastAsia="zh-CN" w:bidi="ar-SA"/>
                    </w:rPr>
                    <w:t>设置1个容积为20m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vertAlign w:val="baseline"/>
                      <w:lang w:val="en-US" w:eastAsia="zh-CN" w:bidi="ar-SA"/>
                    </w:rPr>
                    <w:t>的清水罐进行吸收。</w:t>
                  </w:r>
                </w:p>
              </w:tc>
              <w:tc>
                <w:tcPr>
                  <w:tcW w:w="1517" w:type="dxa"/>
                  <w:tcBorders>
                    <w:tl2br w:val="nil"/>
                    <w:tr2bl w:val="nil"/>
                  </w:tcBorders>
                  <w:noWrap w:val="0"/>
                  <w:vAlign w:val="center"/>
                </w:tcPr>
                <w:p w14:paraId="47F4FC2A">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无组织</w:t>
                  </w:r>
                </w:p>
              </w:tc>
            </w:tr>
            <w:tr w14:paraId="7DF0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67" w:type="dxa"/>
                  <w:vMerge w:val="continue"/>
                  <w:tcBorders>
                    <w:tl2br w:val="nil"/>
                    <w:tr2bl w:val="nil"/>
                  </w:tcBorders>
                  <w:noWrap w:val="0"/>
                  <w:vAlign w:val="center"/>
                </w:tcPr>
                <w:p w14:paraId="4375AD30">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53" w:type="dxa"/>
                  <w:tcBorders>
                    <w:tl2br w:val="nil"/>
                    <w:tr2bl w:val="nil"/>
                  </w:tcBorders>
                  <w:noWrap w:val="0"/>
                  <w:vAlign w:val="center"/>
                </w:tcPr>
                <w:p w14:paraId="08213453">
                  <w:pPr>
                    <w:keepNext w:val="0"/>
                    <w:keepLines w:val="0"/>
                    <w:widowControl w:val="0"/>
                    <w:suppressLineNumbers w:val="0"/>
                    <w:spacing w:before="0" w:beforeAutospacing="0" w:after="0" w:afterAutospacing="0"/>
                    <w:ind w:left="0" w:leftChars="0" w:right="0" w:rightChars="0"/>
                    <w:jc w:val="center"/>
                    <w:rPr>
                      <w:rFonts w:hint="default" w:cs="Times New Roman"/>
                      <w:color w:val="auto"/>
                      <w:kern w:val="2"/>
                      <w:sz w:val="21"/>
                      <w:szCs w:val="21"/>
                      <w:highlight w:val="none"/>
                      <w:vertAlign w:val="subscript"/>
                      <w:lang w:val="en-US" w:eastAsia="zh-CN" w:bidi="ar-SA"/>
                    </w:rPr>
                  </w:pPr>
                  <w:r>
                    <w:rPr>
                      <w:rFonts w:hint="eastAsia" w:cs="Times New Roman"/>
                      <w:color w:val="auto"/>
                      <w:kern w:val="2"/>
                      <w:sz w:val="21"/>
                      <w:szCs w:val="21"/>
                      <w:highlight w:val="none"/>
                      <w:lang w:val="en-US" w:eastAsia="zh-CN" w:bidi="ar-SA"/>
                    </w:rPr>
                    <w:t>石灰石粉储罐粉尘G</w:t>
                  </w:r>
                  <w:r>
                    <w:rPr>
                      <w:rFonts w:hint="eastAsia" w:cs="Times New Roman"/>
                      <w:color w:val="auto"/>
                      <w:kern w:val="2"/>
                      <w:sz w:val="21"/>
                      <w:szCs w:val="21"/>
                      <w:highlight w:val="none"/>
                      <w:vertAlign w:val="subscript"/>
                      <w:lang w:val="en-US" w:eastAsia="zh-CN" w:bidi="ar-SA"/>
                    </w:rPr>
                    <w:t>10</w:t>
                  </w:r>
                </w:p>
              </w:tc>
              <w:tc>
                <w:tcPr>
                  <w:tcW w:w="2023" w:type="dxa"/>
                  <w:tcBorders>
                    <w:tl2br w:val="nil"/>
                    <w:tr2bl w:val="nil"/>
                  </w:tcBorders>
                  <w:noWrap w:val="0"/>
                  <w:vAlign w:val="center"/>
                </w:tcPr>
                <w:p w14:paraId="45F44F6E">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2989" w:type="dxa"/>
                  <w:tcBorders>
                    <w:tl2br w:val="nil"/>
                    <w:tr2bl w:val="nil"/>
                  </w:tcBorders>
                  <w:noWrap w:val="0"/>
                  <w:vAlign w:val="center"/>
                </w:tcPr>
                <w:p w14:paraId="647BAE53">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1套布袋除尘器+15m高排气筒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，用于处理</w:t>
                  </w:r>
                  <w:r>
                    <w:rPr>
                      <w:rFonts w:hint="eastAsia" w:ascii="Times New Roman" w:hAnsi="Times New Roman" w:eastAsia="宋体" w:cs="Times New Roman"/>
                      <w:bCs/>
                      <w:color w:val="auto"/>
                      <w:sz w:val="21"/>
                      <w:szCs w:val="21"/>
                      <w:highlight w:val="none"/>
                      <w:lang w:eastAsia="zh-CN"/>
                    </w:rPr>
                    <w:t>石灰石粉储罐</w:t>
                  </w:r>
                  <w:r>
                    <w:rPr>
                      <w:rFonts w:hint="default" w:ascii="Times New Roman" w:hAnsi="Times New Roman" w:eastAsia="宋体" w:cs="Times New Roman"/>
                      <w:bCs/>
                      <w:color w:val="auto"/>
                      <w:sz w:val="21"/>
                      <w:szCs w:val="21"/>
                      <w:highlight w:val="none"/>
                    </w:rPr>
                    <w:t>产生的</w:t>
                  </w:r>
                  <w:r>
                    <w:rPr>
                      <w:rFonts w:hint="default" w:ascii="Times New Roman" w:hAnsi="Times New Roman" w:eastAsia="宋体" w:cs="Times New Roman"/>
                      <w:bCs/>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04F38E25">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有组织（DA019）</w:t>
                  </w:r>
                </w:p>
              </w:tc>
            </w:tr>
            <w:tr w14:paraId="3F5B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667" w:type="dxa"/>
                  <w:vMerge w:val="continue"/>
                  <w:tcBorders>
                    <w:tl2br w:val="nil"/>
                    <w:tr2bl w:val="nil"/>
                  </w:tcBorders>
                  <w:noWrap w:val="0"/>
                  <w:vAlign w:val="center"/>
                </w:tcPr>
                <w:p w14:paraId="0B8D11C9">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53" w:type="dxa"/>
                  <w:vMerge w:val="restart"/>
                  <w:tcBorders>
                    <w:tl2br w:val="nil"/>
                    <w:tr2bl w:val="nil"/>
                  </w:tcBorders>
                  <w:noWrap w:val="0"/>
                  <w:vAlign w:val="center"/>
                </w:tcPr>
                <w:p w14:paraId="4BEED69C">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val="zh-CN" w:eastAsia="zh-CN"/>
                    </w:rPr>
                    <w:t>成品散装粉尘</w:t>
                  </w:r>
                  <w:r>
                    <w:rPr>
                      <w:rFonts w:hint="default" w:ascii="Times New Roman" w:hAnsi="Times New Roman" w:eastAsia="宋体" w:cs="Times New Roman"/>
                      <w:color w:val="auto"/>
                      <w:sz w:val="21"/>
                      <w:szCs w:val="21"/>
                      <w:highlight w:val="none"/>
                    </w:rPr>
                    <w:t>G</w:t>
                  </w:r>
                  <w:r>
                    <w:rPr>
                      <w:rFonts w:hint="eastAsia" w:cs="Times New Roman"/>
                      <w:color w:val="auto"/>
                      <w:sz w:val="21"/>
                      <w:szCs w:val="21"/>
                      <w:highlight w:val="none"/>
                      <w:vertAlign w:val="subscript"/>
                      <w:lang w:val="en-US" w:eastAsia="zh-CN"/>
                    </w:rPr>
                    <w:t>11</w:t>
                  </w:r>
                </w:p>
              </w:tc>
              <w:tc>
                <w:tcPr>
                  <w:tcW w:w="2023" w:type="dxa"/>
                  <w:tcBorders>
                    <w:tl2br w:val="nil"/>
                    <w:tr2bl w:val="nil"/>
                  </w:tcBorders>
                  <w:noWrap w:val="0"/>
                  <w:vAlign w:val="center"/>
                </w:tcPr>
                <w:p w14:paraId="300F12D6">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颗粒物（1#块煤散装）</w:t>
                  </w:r>
                </w:p>
              </w:tc>
              <w:tc>
                <w:tcPr>
                  <w:tcW w:w="2989" w:type="dxa"/>
                  <w:tcBorders>
                    <w:tl2br w:val="nil"/>
                    <w:tr2bl w:val="nil"/>
                  </w:tcBorders>
                  <w:noWrap w:val="0"/>
                  <w:vAlign w:val="center"/>
                </w:tcPr>
                <w:p w14:paraId="1DF3D6CF">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6171</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36544A6D">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eastAsia="zh-CN"/>
                    </w:rPr>
                    <w:t>有组织（</w:t>
                  </w:r>
                  <w:r>
                    <w:rPr>
                      <w:rFonts w:hint="eastAsia" w:cs="Times New Roman"/>
                      <w:color w:val="auto"/>
                      <w:sz w:val="21"/>
                      <w:szCs w:val="21"/>
                      <w:highlight w:val="none"/>
                      <w:lang w:val="en-US" w:eastAsia="zh-CN"/>
                    </w:rPr>
                    <w:t>DA015</w:t>
                  </w:r>
                  <w:r>
                    <w:rPr>
                      <w:rFonts w:hint="eastAsia" w:cs="Times New Roman"/>
                      <w:color w:val="auto"/>
                      <w:sz w:val="21"/>
                      <w:szCs w:val="21"/>
                      <w:highlight w:val="none"/>
                      <w:lang w:eastAsia="zh-CN"/>
                    </w:rPr>
                    <w:t>）</w:t>
                  </w:r>
                </w:p>
              </w:tc>
            </w:tr>
            <w:tr w14:paraId="7C38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667" w:type="dxa"/>
                  <w:vMerge w:val="continue"/>
                  <w:tcBorders>
                    <w:tl2br w:val="nil"/>
                    <w:tr2bl w:val="nil"/>
                  </w:tcBorders>
                  <w:noWrap w:val="0"/>
                  <w:vAlign w:val="center"/>
                </w:tcPr>
                <w:p w14:paraId="2D72E002">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53" w:type="dxa"/>
                  <w:vMerge w:val="continue"/>
                  <w:tcBorders>
                    <w:tl2br w:val="nil"/>
                    <w:tr2bl w:val="nil"/>
                  </w:tcBorders>
                  <w:noWrap w:val="0"/>
                  <w:vAlign w:val="center"/>
                </w:tcPr>
                <w:p w14:paraId="15EEDD0E">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2023" w:type="dxa"/>
                  <w:tcBorders>
                    <w:tl2br w:val="nil"/>
                    <w:tr2bl w:val="nil"/>
                  </w:tcBorders>
                  <w:noWrap w:val="0"/>
                  <w:vAlign w:val="center"/>
                </w:tcPr>
                <w:p w14:paraId="1F131AD1">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颗粒物（2#块煤散装）</w:t>
                  </w:r>
                </w:p>
              </w:tc>
              <w:tc>
                <w:tcPr>
                  <w:tcW w:w="2989" w:type="dxa"/>
                  <w:tcBorders>
                    <w:tl2br w:val="nil"/>
                    <w:tr2bl w:val="nil"/>
                  </w:tcBorders>
                  <w:noWrap w:val="0"/>
                  <w:vAlign w:val="center"/>
                </w:tcPr>
                <w:p w14:paraId="18A74B97">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16</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6171</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4DC28619">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eastAsia="zh-CN"/>
                    </w:rPr>
                    <w:t>有组织（</w:t>
                  </w:r>
                  <w:r>
                    <w:rPr>
                      <w:rFonts w:hint="eastAsia" w:cs="Times New Roman"/>
                      <w:color w:val="auto"/>
                      <w:sz w:val="21"/>
                      <w:szCs w:val="21"/>
                      <w:highlight w:val="none"/>
                      <w:lang w:val="en-US" w:eastAsia="zh-CN"/>
                    </w:rPr>
                    <w:t>DA016</w:t>
                  </w:r>
                  <w:r>
                    <w:rPr>
                      <w:rFonts w:hint="eastAsia" w:cs="Times New Roman"/>
                      <w:color w:val="auto"/>
                      <w:sz w:val="21"/>
                      <w:szCs w:val="21"/>
                      <w:highlight w:val="none"/>
                      <w:lang w:eastAsia="zh-CN"/>
                    </w:rPr>
                    <w:t>）</w:t>
                  </w:r>
                </w:p>
              </w:tc>
            </w:tr>
            <w:tr w14:paraId="3028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667" w:type="dxa"/>
                  <w:vMerge w:val="continue"/>
                  <w:tcBorders>
                    <w:tl2br w:val="nil"/>
                    <w:tr2bl w:val="nil"/>
                  </w:tcBorders>
                  <w:noWrap w:val="0"/>
                  <w:vAlign w:val="center"/>
                </w:tcPr>
                <w:p w14:paraId="2E191886">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p>
              </w:tc>
              <w:tc>
                <w:tcPr>
                  <w:tcW w:w="1153" w:type="dxa"/>
                  <w:vMerge w:val="continue"/>
                  <w:tcBorders>
                    <w:tl2br w:val="nil"/>
                    <w:tr2bl w:val="nil"/>
                  </w:tcBorders>
                  <w:noWrap w:val="0"/>
                  <w:vAlign w:val="center"/>
                </w:tcPr>
                <w:p w14:paraId="5ED3EC66">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p>
              </w:tc>
              <w:tc>
                <w:tcPr>
                  <w:tcW w:w="2023" w:type="dxa"/>
                  <w:tcBorders>
                    <w:tl2br w:val="nil"/>
                    <w:tr2bl w:val="nil"/>
                  </w:tcBorders>
                  <w:noWrap w:val="0"/>
                  <w:vAlign w:val="center"/>
                </w:tcPr>
                <w:p w14:paraId="0401544D">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颗粒物（1#煤粉散装）</w:t>
                  </w:r>
                </w:p>
              </w:tc>
              <w:tc>
                <w:tcPr>
                  <w:tcW w:w="2989" w:type="dxa"/>
                  <w:tcBorders>
                    <w:tl2br w:val="nil"/>
                    <w:tr2bl w:val="nil"/>
                  </w:tcBorders>
                  <w:noWrap w:val="0"/>
                  <w:vAlign w:val="center"/>
                </w:tcPr>
                <w:p w14:paraId="37BDA6A1">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3284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30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52E64ECE">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eastAsia="zh-CN"/>
                    </w:rPr>
                    <w:t>有组织（</w:t>
                  </w:r>
                  <w:r>
                    <w:rPr>
                      <w:rFonts w:hint="eastAsia" w:cs="Times New Roman"/>
                      <w:color w:val="auto"/>
                      <w:sz w:val="21"/>
                      <w:szCs w:val="21"/>
                      <w:highlight w:val="none"/>
                      <w:lang w:val="en-US" w:eastAsia="zh-CN"/>
                    </w:rPr>
                    <w:t>DA017</w:t>
                  </w:r>
                  <w:r>
                    <w:rPr>
                      <w:rFonts w:hint="eastAsia" w:cs="Times New Roman"/>
                      <w:color w:val="auto"/>
                      <w:sz w:val="21"/>
                      <w:szCs w:val="21"/>
                      <w:highlight w:val="none"/>
                      <w:lang w:eastAsia="zh-CN"/>
                    </w:rPr>
                    <w:t>）</w:t>
                  </w:r>
                </w:p>
              </w:tc>
            </w:tr>
            <w:tr w14:paraId="6478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667" w:type="dxa"/>
                  <w:vMerge w:val="continue"/>
                  <w:tcBorders>
                    <w:tl2br w:val="nil"/>
                    <w:tr2bl w:val="nil"/>
                  </w:tcBorders>
                  <w:noWrap w:val="0"/>
                  <w:vAlign w:val="center"/>
                </w:tcPr>
                <w:p w14:paraId="2F5CE711">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p>
              </w:tc>
              <w:tc>
                <w:tcPr>
                  <w:tcW w:w="1153" w:type="dxa"/>
                  <w:vMerge w:val="continue"/>
                  <w:tcBorders>
                    <w:tl2br w:val="nil"/>
                    <w:tr2bl w:val="nil"/>
                  </w:tcBorders>
                  <w:noWrap w:val="0"/>
                  <w:vAlign w:val="center"/>
                </w:tcPr>
                <w:p w14:paraId="2575646D">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p>
              </w:tc>
              <w:tc>
                <w:tcPr>
                  <w:tcW w:w="2023" w:type="dxa"/>
                  <w:tcBorders>
                    <w:tl2br w:val="nil"/>
                    <w:tr2bl w:val="nil"/>
                  </w:tcBorders>
                  <w:noWrap w:val="0"/>
                  <w:vAlign w:val="center"/>
                </w:tcPr>
                <w:p w14:paraId="3ECF5EB7">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颗粒物（2#煤粉散装）</w:t>
                  </w:r>
                </w:p>
              </w:tc>
              <w:tc>
                <w:tcPr>
                  <w:tcW w:w="2989" w:type="dxa"/>
                  <w:tcBorders>
                    <w:tl2br w:val="nil"/>
                    <w:tr2bl w:val="nil"/>
                  </w:tcBorders>
                  <w:noWrap w:val="0"/>
                  <w:vAlign w:val="center"/>
                </w:tcPr>
                <w:p w14:paraId="76517233">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3284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30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4A848F05">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eastAsia="zh-CN"/>
                    </w:rPr>
                    <w:t>有组织（</w:t>
                  </w:r>
                  <w:r>
                    <w:rPr>
                      <w:rFonts w:hint="eastAsia" w:cs="Times New Roman"/>
                      <w:color w:val="auto"/>
                      <w:sz w:val="21"/>
                      <w:szCs w:val="21"/>
                      <w:highlight w:val="none"/>
                      <w:lang w:val="en-US" w:eastAsia="zh-CN"/>
                    </w:rPr>
                    <w:t>DA018</w:t>
                  </w:r>
                  <w:r>
                    <w:rPr>
                      <w:rFonts w:hint="eastAsia" w:cs="Times New Roman"/>
                      <w:color w:val="auto"/>
                      <w:sz w:val="21"/>
                      <w:szCs w:val="21"/>
                      <w:highlight w:val="none"/>
                      <w:lang w:eastAsia="zh-CN"/>
                    </w:rPr>
                    <w:t>）</w:t>
                  </w:r>
                </w:p>
              </w:tc>
            </w:tr>
            <w:tr w14:paraId="254B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67" w:type="dxa"/>
                  <w:vMerge w:val="continue"/>
                  <w:tcBorders>
                    <w:tl2br w:val="nil"/>
                    <w:tr2bl w:val="nil"/>
                  </w:tcBorders>
                  <w:noWrap w:val="0"/>
                  <w:vAlign w:val="center"/>
                </w:tcPr>
                <w:p w14:paraId="3DE2ADF6">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p>
              </w:tc>
              <w:tc>
                <w:tcPr>
                  <w:tcW w:w="1153" w:type="dxa"/>
                  <w:vMerge w:val="restart"/>
                  <w:tcBorders>
                    <w:tl2br w:val="nil"/>
                    <w:tr2bl w:val="nil"/>
                  </w:tcBorders>
                  <w:noWrap w:val="0"/>
                  <w:vAlign w:val="center"/>
                </w:tcPr>
                <w:p w14:paraId="5DEDA556">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eastAsia="zh-CN"/>
                    </w:rPr>
                    <w:t>燃料仓</w:t>
                  </w:r>
                  <w:r>
                    <w:rPr>
                      <w:rFonts w:hint="eastAsia" w:cs="Times New Roman"/>
                      <w:color w:val="auto"/>
                      <w:sz w:val="21"/>
                      <w:szCs w:val="21"/>
                      <w:highlight w:val="none"/>
                      <w:lang w:val="en-US" w:eastAsia="zh-CN"/>
                    </w:rPr>
                    <w:t>粉尘</w:t>
                  </w:r>
                  <w:r>
                    <w:rPr>
                      <w:rFonts w:hint="default" w:ascii="Times New Roman" w:hAnsi="Times New Roman" w:eastAsia="宋体" w:cs="Times New Roman"/>
                      <w:color w:val="auto"/>
                      <w:sz w:val="21"/>
                      <w:szCs w:val="21"/>
                      <w:highlight w:val="none"/>
                    </w:rPr>
                    <w:t>G</w:t>
                  </w:r>
                  <w:r>
                    <w:rPr>
                      <w:rFonts w:hint="eastAsia" w:cs="Times New Roman"/>
                      <w:color w:val="auto"/>
                      <w:sz w:val="21"/>
                      <w:szCs w:val="21"/>
                      <w:highlight w:val="none"/>
                      <w:vertAlign w:val="subscript"/>
                      <w:lang w:val="en-US" w:eastAsia="zh-CN"/>
                    </w:rPr>
                    <w:t>12</w:t>
                  </w:r>
                </w:p>
              </w:tc>
              <w:tc>
                <w:tcPr>
                  <w:tcW w:w="2023" w:type="dxa"/>
                  <w:tcBorders>
                    <w:tl2br w:val="nil"/>
                    <w:tr2bl w:val="nil"/>
                  </w:tcBorders>
                  <w:noWrap w:val="0"/>
                  <w:vAlign w:val="center"/>
                </w:tcPr>
                <w:p w14:paraId="31AAC6BC">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颗粒物（1#燃料仓粉尘）</w:t>
                  </w:r>
                </w:p>
              </w:tc>
              <w:tc>
                <w:tcPr>
                  <w:tcW w:w="2989" w:type="dxa"/>
                  <w:tcBorders>
                    <w:tl2br w:val="nil"/>
                    <w:tr2bl w:val="nil"/>
                  </w:tcBorders>
                  <w:noWrap w:val="0"/>
                  <w:vAlign w:val="center"/>
                </w:tcPr>
                <w:p w14:paraId="64840776">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1套布袋除尘器+20.5m高排气筒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喂煤仓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0F638551">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有组织</w:t>
                  </w:r>
                  <w:r>
                    <w:rPr>
                      <w:rFonts w:hint="eastAsia" w:cs="Times New Roman"/>
                      <w:color w:val="auto"/>
                      <w:sz w:val="21"/>
                      <w:szCs w:val="21"/>
                      <w:highlight w:val="none"/>
                      <w:lang w:val="en-US" w:eastAsia="zh-CN"/>
                    </w:rPr>
                    <w:t>（DA006）</w:t>
                  </w:r>
                </w:p>
              </w:tc>
            </w:tr>
            <w:tr w14:paraId="3C87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67" w:type="dxa"/>
                  <w:vMerge w:val="continue"/>
                  <w:tcBorders>
                    <w:tl2br w:val="nil"/>
                    <w:tr2bl w:val="nil"/>
                  </w:tcBorders>
                  <w:noWrap w:val="0"/>
                  <w:vAlign w:val="center"/>
                </w:tcPr>
                <w:p w14:paraId="7A10919F">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53" w:type="dxa"/>
                  <w:vMerge w:val="continue"/>
                  <w:tcBorders>
                    <w:tl2br w:val="nil"/>
                    <w:tr2bl w:val="nil"/>
                  </w:tcBorders>
                  <w:noWrap w:val="0"/>
                  <w:vAlign w:val="center"/>
                </w:tcPr>
                <w:p w14:paraId="1B34643E">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2023" w:type="dxa"/>
                  <w:tcBorders>
                    <w:tl2br w:val="nil"/>
                    <w:tr2bl w:val="nil"/>
                  </w:tcBorders>
                  <w:noWrap w:val="0"/>
                  <w:vAlign w:val="center"/>
                </w:tcPr>
                <w:p w14:paraId="591741E7">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颗粒物（2#燃料仓粉尘）</w:t>
                  </w:r>
                </w:p>
              </w:tc>
              <w:tc>
                <w:tcPr>
                  <w:tcW w:w="2989" w:type="dxa"/>
                  <w:tcBorders>
                    <w:tl2br w:val="nil"/>
                    <w:tr2bl w:val="nil"/>
                  </w:tcBorders>
                  <w:noWrap w:val="0"/>
                  <w:vAlign w:val="center"/>
                </w:tcPr>
                <w:p w14:paraId="73C34742">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1套布袋除尘器+20.5m高排气筒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喂煤仓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1517" w:type="dxa"/>
                  <w:tcBorders>
                    <w:tl2br w:val="nil"/>
                    <w:tr2bl w:val="nil"/>
                  </w:tcBorders>
                  <w:noWrap w:val="0"/>
                  <w:vAlign w:val="center"/>
                </w:tcPr>
                <w:p w14:paraId="121CB2B3">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有组织</w:t>
                  </w:r>
                  <w:r>
                    <w:rPr>
                      <w:rFonts w:hint="eastAsia" w:cs="Times New Roman"/>
                      <w:color w:val="auto"/>
                      <w:sz w:val="21"/>
                      <w:szCs w:val="21"/>
                      <w:highlight w:val="none"/>
                      <w:lang w:val="en-US" w:eastAsia="zh-CN"/>
                    </w:rPr>
                    <w:t>（DA007）</w:t>
                  </w:r>
                </w:p>
              </w:tc>
            </w:tr>
            <w:tr w14:paraId="667FA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dxa"/>
                  <w:vMerge w:val="continue"/>
                  <w:tcBorders>
                    <w:tl2br w:val="nil"/>
                    <w:tr2bl w:val="nil"/>
                  </w:tcBorders>
                  <w:noWrap w:val="0"/>
                  <w:vAlign w:val="center"/>
                </w:tcPr>
                <w:p w14:paraId="747D390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53424570">
                  <w:pPr>
                    <w:jc w:val="center"/>
                    <w:rPr>
                      <w:rFonts w:hint="eastAsia"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化粪池、污水处理站</w:t>
                  </w:r>
                </w:p>
              </w:tc>
              <w:tc>
                <w:tcPr>
                  <w:tcW w:w="2023" w:type="dxa"/>
                  <w:tcBorders>
                    <w:tl2br w:val="nil"/>
                    <w:tr2bl w:val="nil"/>
                  </w:tcBorders>
                  <w:noWrap w:val="0"/>
                  <w:vAlign w:val="center"/>
                </w:tcPr>
                <w:p w14:paraId="593D6E00">
                  <w:pPr>
                    <w:pStyle w:val="25"/>
                    <w:spacing w:after="0"/>
                    <w:ind w:firstLine="0" w:firstLineChars="0"/>
                    <w:jc w:val="center"/>
                    <w:rPr>
                      <w:rFonts w:hint="eastAsia" w:cs="Times New Roman"/>
                      <w:color w:val="auto"/>
                      <w:szCs w:val="21"/>
                      <w:highlight w:val="none"/>
                      <w:lang w:eastAsia="zh-CN"/>
                    </w:rPr>
                  </w:pPr>
                  <w:r>
                    <w:rPr>
                      <w:rFonts w:hint="default" w:ascii="Times New Roman" w:hAnsi="Times New Roman" w:eastAsia="宋体" w:cs="Times New Roman"/>
                      <w:color w:val="auto"/>
                      <w:sz w:val="21"/>
                      <w:szCs w:val="21"/>
                      <w:highlight w:val="none"/>
                      <w:lang w:val="en-US" w:eastAsia="zh-CN"/>
                    </w:rPr>
                    <w:t>无组织臭气浓度</w:t>
                  </w:r>
                </w:p>
              </w:tc>
              <w:tc>
                <w:tcPr>
                  <w:tcW w:w="2989" w:type="dxa"/>
                  <w:tcBorders>
                    <w:tl2br w:val="nil"/>
                    <w:tr2bl w:val="nil"/>
                  </w:tcBorders>
                  <w:noWrap w:val="0"/>
                  <w:vAlign w:val="center"/>
                </w:tcPr>
                <w:p w14:paraId="41C9B947">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加强通风及管理。</w:t>
                  </w:r>
                </w:p>
              </w:tc>
              <w:tc>
                <w:tcPr>
                  <w:tcW w:w="1517" w:type="dxa"/>
                  <w:tcBorders>
                    <w:tl2br w:val="nil"/>
                    <w:tr2bl w:val="nil"/>
                  </w:tcBorders>
                  <w:noWrap w:val="0"/>
                  <w:vAlign w:val="center"/>
                </w:tcPr>
                <w:p w14:paraId="4761273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r>
            <w:tr w14:paraId="5CF7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dxa"/>
                  <w:vMerge w:val="restart"/>
                  <w:tcBorders>
                    <w:tl2br w:val="nil"/>
                    <w:tr2bl w:val="nil"/>
                  </w:tcBorders>
                  <w:noWrap w:val="0"/>
                  <w:vAlign w:val="center"/>
                </w:tcPr>
                <w:p w14:paraId="40DF29A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153" w:type="dxa"/>
                  <w:tcBorders>
                    <w:tl2br w:val="nil"/>
                    <w:tr2bl w:val="nil"/>
                  </w:tcBorders>
                  <w:noWrap w:val="0"/>
                  <w:vAlign w:val="center"/>
                </w:tcPr>
                <w:p w14:paraId="598349C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化验清洗废水</w:t>
                  </w:r>
                  <w:r>
                    <w:rPr>
                      <w:rFonts w:hint="default" w:ascii="Times New Roman" w:hAnsi="Times New Roman" w:eastAsia="宋体" w:cs="Times New Roman"/>
                      <w:color w:val="auto"/>
                      <w:szCs w:val="21"/>
                      <w:highlight w:val="none"/>
                      <w:lang w:val="en-US" w:eastAsia="zh-CN"/>
                    </w:rPr>
                    <w:t>W</w:t>
                  </w:r>
                  <w:r>
                    <w:rPr>
                      <w:rFonts w:hint="default" w:ascii="Times New Roman" w:hAnsi="Times New Roman" w:eastAsia="宋体" w:cs="Times New Roman"/>
                      <w:color w:val="auto"/>
                      <w:szCs w:val="21"/>
                      <w:highlight w:val="none"/>
                      <w:vertAlign w:val="subscript"/>
                      <w:lang w:val="en-US" w:eastAsia="zh-CN"/>
                    </w:rPr>
                    <w:t>1</w:t>
                  </w:r>
                </w:p>
              </w:tc>
              <w:tc>
                <w:tcPr>
                  <w:tcW w:w="2023" w:type="dxa"/>
                  <w:tcBorders>
                    <w:tl2br w:val="nil"/>
                    <w:tr2bl w:val="nil"/>
                  </w:tcBorders>
                  <w:noWrap w:val="0"/>
                  <w:vAlign w:val="center"/>
                </w:tcPr>
                <w:p w14:paraId="7098BEFD">
                  <w:pPr>
                    <w:jc w:val="center"/>
                    <w:rPr>
                      <w:rFonts w:hint="default" w:ascii="Times New Roman" w:hAnsi="Times New Roman" w:eastAsia="宋体" w:cs="Times New Roman"/>
                      <w:color w:val="auto"/>
                      <w:sz w:val="21"/>
                      <w:szCs w:val="21"/>
                      <w:highlight w:val="none"/>
                      <w:lang w:eastAsia="zh-CN"/>
                    </w:rPr>
                  </w:pPr>
                  <w:r>
                    <w:rPr>
                      <w:rFonts w:hint="eastAsia" w:cs="Times New Roman"/>
                      <w:color w:val="auto"/>
                      <w:szCs w:val="21"/>
                      <w:highlight w:val="none"/>
                      <w:lang w:eastAsia="zh-CN"/>
                    </w:rPr>
                    <w:t>化验</w:t>
                  </w:r>
                  <w:r>
                    <w:rPr>
                      <w:rFonts w:hint="default" w:ascii="Times New Roman" w:hAnsi="Times New Roman" w:eastAsia="宋体" w:cs="Times New Roman"/>
                      <w:color w:val="auto"/>
                      <w:szCs w:val="21"/>
                      <w:highlight w:val="none"/>
                    </w:rPr>
                    <w:t>设备清洗废水</w:t>
                  </w:r>
                </w:p>
              </w:tc>
              <w:tc>
                <w:tcPr>
                  <w:tcW w:w="2989" w:type="dxa"/>
                  <w:tcBorders>
                    <w:tl2br w:val="nil"/>
                    <w:tr2bl w:val="nil"/>
                  </w:tcBorders>
                  <w:noWrap w:val="0"/>
                  <w:vAlign w:val="center"/>
                </w:tcPr>
                <w:p w14:paraId="47A88AC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化验后的</w:t>
                  </w:r>
                  <w:r>
                    <w:rPr>
                      <w:rFonts w:hint="default" w:ascii="Times New Roman" w:hAnsi="Times New Roman" w:eastAsia="宋体" w:cs="Times New Roman"/>
                      <w:color w:val="auto"/>
                      <w:sz w:val="21"/>
                      <w:szCs w:val="21"/>
                      <w:highlight w:val="none"/>
                      <w:lang w:val="en-US" w:eastAsia="zh-CN"/>
                    </w:rPr>
                    <w:t>容器</w:t>
                  </w:r>
                  <w:r>
                    <w:rPr>
                      <w:rFonts w:hint="eastAsia" w:ascii="Times New Roman" w:hAnsi="Times New Roman" w:eastAsia="宋体" w:cs="Times New Roman"/>
                      <w:color w:val="auto"/>
                      <w:sz w:val="21"/>
                      <w:szCs w:val="21"/>
                      <w:highlight w:val="none"/>
                      <w:lang w:val="en-US" w:eastAsia="zh-CN"/>
                    </w:rPr>
                    <w:t>清洗废水通过投加絮凝剂、加入酸碱中和剂等</w:t>
                  </w:r>
                  <w:r>
                    <w:rPr>
                      <w:rFonts w:hint="default" w:ascii="Times New Roman" w:hAnsi="Times New Roman" w:eastAsia="宋体" w:cs="Times New Roman"/>
                      <w:color w:val="auto"/>
                      <w:sz w:val="21"/>
                      <w:szCs w:val="21"/>
                      <w:highlight w:val="none"/>
                      <w:lang w:val="en-US" w:eastAsia="zh-CN"/>
                    </w:rPr>
                    <w:t>方式</w:t>
                  </w:r>
                  <w:r>
                    <w:rPr>
                      <w:rFonts w:hint="eastAsia" w:ascii="Times New Roman" w:hAnsi="Times New Roman" w:eastAsia="宋体" w:cs="Times New Roman"/>
                      <w:color w:val="auto"/>
                      <w:sz w:val="21"/>
                      <w:szCs w:val="21"/>
                      <w:highlight w:val="none"/>
                      <w:lang w:val="en-US" w:eastAsia="zh-CN"/>
                    </w:rPr>
                    <w:t>对</w:t>
                  </w:r>
                  <w:r>
                    <w:rPr>
                      <w:rFonts w:hint="default" w:ascii="Times New Roman" w:hAnsi="Times New Roman" w:eastAsia="宋体" w:cs="Times New Roman"/>
                      <w:color w:val="auto"/>
                      <w:sz w:val="21"/>
                      <w:szCs w:val="21"/>
                      <w:highlight w:val="none"/>
                      <w:lang w:val="en-US" w:eastAsia="zh-CN"/>
                    </w:rPr>
                    <w:t>废水</w:t>
                  </w:r>
                  <w:r>
                    <w:rPr>
                      <w:rFonts w:hint="eastAsia" w:ascii="Times New Roman" w:hAnsi="Times New Roman" w:eastAsia="宋体" w:cs="Times New Roman"/>
                      <w:color w:val="auto"/>
                      <w:sz w:val="21"/>
                      <w:szCs w:val="21"/>
                      <w:highlight w:val="none"/>
                      <w:lang w:val="en-US" w:eastAsia="zh-CN"/>
                    </w:rPr>
                    <w:t>进行</w:t>
                  </w:r>
                  <w:r>
                    <w:rPr>
                      <w:rFonts w:hint="default" w:ascii="Times New Roman" w:hAnsi="Times New Roman" w:eastAsia="宋体" w:cs="Times New Roman"/>
                      <w:color w:val="auto"/>
                      <w:sz w:val="21"/>
                      <w:szCs w:val="21"/>
                      <w:highlight w:val="none"/>
                      <w:lang w:val="en-US" w:eastAsia="zh-CN"/>
                    </w:rPr>
                    <w:t>沉淀</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中和</w:t>
                  </w:r>
                  <w:r>
                    <w:rPr>
                      <w:rFonts w:hint="eastAsia" w:ascii="Times New Roman" w:hAnsi="Times New Roman" w:eastAsia="宋体"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lang w:val="en-US" w:eastAsia="zh-CN"/>
                    </w:rPr>
                    <w:t>简易</w:t>
                  </w:r>
                  <w:r>
                    <w:rPr>
                      <w:rFonts w:hint="eastAsia" w:ascii="Times New Roman" w:hAnsi="Times New Roman" w:eastAsia="宋体" w:cs="Times New Roman"/>
                      <w:color w:val="auto"/>
                      <w:sz w:val="21"/>
                      <w:szCs w:val="21"/>
                      <w:highlight w:val="none"/>
                      <w:lang w:val="en-US" w:eastAsia="zh-CN"/>
                    </w:rPr>
                    <w:t>处理</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处理后的废水排入厂内</w:t>
                  </w:r>
                  <w:r>
                    <w:rPr>
                      <w:rFonts w:hint="default" w:ascii="Times New Roman" w:hAnsi="Times New Roman" w:eastAsia="宋体" w:cs="Times New Roman"/>
                      <w:color w:val="auto"/>
                      <w:sz w:val="21"/>
                      <w:szCs w:val="21"/>
                      <w:highlight w:val="none"/>
                      <w:lang w:val="en-US" w:eastAsia="zh-CN"/>
                    </w:rPr>
                    <w:t>拟建</w:t>
                  </w:r>
                  <w:r>
                    <w:rPr>
                      <w:rFonts w:hint="eastAsia" w:ascii="Times New Roman" w:hAnsi="Times New Roman" w:eastAsia="宋体" w:cs="Times New Roman"/>
                      <w:color w:val="auto"/>
                      <w:sz w:val="21"/>
                      <w:szCs w:val="21"/>
                      <w:highlight w:val="none"/>
                      <w:lang w:val="en-US" w:eastAsia="zh-CN"/>
                    </w:rPr>
                    <w:t>的污水处理站统一</w:t>
                  </w:r>
                  <w:r>
                    <w:rPr>
                      <w:rFonts w:hint="default" w:ascii="Times New Roman" w:hAnsi="Times New Roman" w:eastAsia="宋体" w:cs="Times New Roman"/>
                      <w:color w:val="auto"/>
                      <w:sz w:val="21"/>
                      <w:szCs w:val="21"/>
                      <w:highlight w:val="none"/>
                      <w:lang w:val="en-US" w:eastAsia="zh-CN"/>
                    </w:rPr>
                    <w:t>处置</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晴天用于绿化或道路场地洒水，雨天储存于蓄水池中待晴天再回用，不外排。</w:t>
                  </w:r>
                </w:p>
              </w:tc>
              <w:tc>
                <w:tcPr>
                  <w:tcW w:w="1517" w:type="dxa"/>
                  <w:tcBorders>
                    <w:tl2br w:val="nil"/>
                    <w:tr2bl w:val="nil"/>
                  </w:tcBorders>
                  <w:noWrap w:val="0"/>
                  <w:vAlign w:val="center"/>
                </w:tcPr>
                <w:p w14:paraId="735C6D5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回用，不外排</w:t>
                  </w:r>
                </w:p>
              </w:tc>
            </w:tr>
            <w:tr w14:paraId="0863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67" w:type="dxa"/>
                  <w:vMerge w:val="continue"/>
                  <w:tcBorders>
                    <w:tl2br w:val="nil"/>
                    <w:tr2bl w:val="nil"/>
                  </w:tcBorders>
                  <w:noWrap w:val="0"/>
                  <w:vAlign w:val="center"/>
                </w:tcPr>
                <w:p w14:paraId="3389092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2AE77A4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设备冷却废水</w:t>
                  </w:r>
                  <w:r>
                    <w:rPr>
                      <w:rFonts w:hint="eastAsia" w:cs="Times New Roman"/>
                      <w:color w:val="auto"/>
                      <w:sz w:val="21"/>
                      <w:szCs w:val="21"/>
                      <w:highlight w:val="none"/>
                      <w:lang w:val="en-US" w:eastAsia="zh-CN"/>
                    </w:rPr>
                    <w:t>W</w:t>
                  </w:r>
                  <w:r>
                    <w:rPr>
                      <w:rFonts w:hint="eastAsia" w:cs="Times New Roman"/>
                      <w:color w:val="auto"/>
                      <w:sz w:val="21"/>
                      <w:szCs w:val="21"/>
                      <w:highlight w:val="none"/>
                      <w:vertAlign w:val="subscript"/>
                      <w:lang w:val="en-US" w:eastAsia="zh-CN"/>
                    </w:rPr>
                    <w:t>2</w:t>
                  </w:r>
                </w:p>
              </w:tc>
              <w:tc>
                <w:tcPr>
                  <w:tcW w:w="2023" w:type="dxa"/>
                  <w:tcBorders>
                    <w:tl2br w:val="nil"/>
                    <w:tr2bl w:val="nil"/>
                  </w:tcBorders>
                  <w:noWrap w:val="0"/>
                  <w:vAlign w:val="center"/>
                </w:tcPr>
                <w:p w14:paraId="5893224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冷却水</w:t>
                  </w:r>
                </w:p>
              </w:tc>
              <w:tc>
                <w:tcPr>
                  <w:tcW w:w="2989" w:type="dxa"/>
                  <w:tcBorders>
                    <w:tl2br w:val="nil"/>
                    <w:tr2bl w:val="nil"/>
                  </w:tcBorders>
                  <w:noWrap w:val="0"/>
                  <w:vAlign w:val="center"/>
                </w:tcPr>
                <w:p w14:paraId="522DC1F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经冷却</w:t>
                  </w:r>
                  <w:r>
                    <w:rPr>
                      <w:rFonts w:hint="default" w:ascii="Times New Roman" w:hAnsi="Times New Roman" w:eastAsia="宋体" w:cs="Times New Roman"/>
                      <w:color w:val="auto"/>
                      <w:sz w:val="21"/>
                      <w:szCs w:val="21"/>
                      <w:highlight w:val="none"/>
                      <w:lang w:val="en-US" w:eastAsia="zh-CN"/>
                    </w:rPr>
                    <w:t>塔及冷却水</w:t>
                  </w:r>
                  <w:r>
                    <w:rPr>
                      <w:rFonts w:hint="default" w:ascii="Times New Roman" w:hAnsi="Times New Roman" w:eastAsia="宋体" w:cs="Times New Roman"/>
                      <w:color w:val="auto"/>
                      <w:sz w:val="21"/>
                      <w:szCs w:val="21"/>
                      <w:highlight w:val="none"/>
                    </w:rPr>
                    <w:t>池冷却后循环使用</w:t>
                  </w:r>
                  <w:r>
                    <w:rPr>
                      <w:rFonts w:hint="default" w:ascii="Times New Roman" w:hAnsi="Times New Roman" w:eastAsia="宋体" w:cs="Times New Roman"/>
                      <w:color w:val="auto"/>
                      <w:sz w:val="21"/>
                      <w:szCs w:val="21"/>
                      <w:highlight w:val="none"/>
                      <w:lang w:eastAsia="zh-CN"/>
                    </w:rPr>
                    <w:t>。</w:t>
                  </w:r>
                </w:p>
              </w:tc>
              <w:tc>
                <w:tcPr>
                  <w:tcW w:w="1517" w:type="dxa"/>
                  <w:tcBorders>
                    <w:tl2br w:val="nil"/>
                    <w:tr2bl w:val="nil"/>
                  </w:tcBorders>
                  <w:noWrap w:val="0"/>
                  <w:vAlign w:val="center"/>
                </w:tcPr>
                <w:p w14:paraId="553CECA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不外排</w:t>
                  </w:r>
                </w:p>
              </w:tc>
            </w:tr>
            <w:tr w14:paraId="4EAB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67" w:type="dxa"/>
                  <w:vMerge w:val="continue"/>
                  <w:tcBorders>
                    <w:tl2br w:val="nil"/>
                    <w:tr2bl w:val="nil"/>
                  </w:tcBorders>
                  <w:noWrap w:val="0"/>
                  <w:vAlign w:val="center"/>
                </w:tcPr>
                <w:p w14:paraId="735BE93F">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153" w:type="dxa"/>
                  <w:tcBorders>
                    <w:tl2br w:val="nil"/>
                    <w:tr2bl w:val="nil"/>
                  </w:tcBorders>
                  <w:noWrap w:val="0"/>
                  <w:vAlign w:val="center"/>
                </w:tcPr>
                <w:p w14:paraId="43A73BD2">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氨气清水罐废水</w:t>
                  </w:r>
                </w:p>
              </w:tc>
              <w:tc>
                <w:tcPr>
                  <w:tcW w:w="2023" w:type="dxa"/>
                  <w:tcBorders>
                    <w:tl2br w:val="nil"/>
                    <w:tr2bl w:val="nil"/>
                  </w:tcBorders>
                  <w:noWrap w:val="0"/>
                  <w:vAlign w:val="center"/>
                </w:tcPr>
                <w:p w14:paraId="33BAC1E8">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吸收废水</w:t>
                  </w:r>
                </w:p>
              </w:tc>
              <w:tc>
                <w:tcPr>
                  <w:tcW w:w="2989" w:type="dxa"/>
                  <w:tcBorders>
                    <w:tl2br w:val="nil"/>
                    <w:tr2bl w:val="nil"/>
                  </w:tcBorders>
                  <w:noWrap w:val="0"/>
                  <w:vAlign w:val="center"/>
                </w:tcPr>
                <w:p w14:paraId="01B5A42B">
                  <w:pPr>
                    <w:keepNext w:val="0"/>
                    <w:keepLines w:val="0"/>
                    <w:widowControl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浓度大于10%时作为脱销使用，喷入炉膛。</w:t>
                  </w:r>
                </w:p>
              </w:tc>
              <w:tc>
                <w:tcPr>
                  <w:tcW w:w="1517" w:type="dxa"/>
                  <w:tcBorders>
                    <w:tl2br w:val="nil"/>
                    <w:tr2bl w:val="nil"/>
                  </w:tcBorders>
                  <w:noWrap w:val="0"/>
                  <w:vAlign w:val="center"/>
                </w:tcPr>
                <w:p w14:paraId="24921FDB">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不外排</w:t>
                  </w:r>
                </w:p>
              </w:tc>
            </w:tr>
            <w:tr w14:paraId="39EC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dxa"/>
                  <w:vMerge w:val="continue"/>
                  <w:tcBorders>
                    <w:tl2br w:val="nil"/>
                    <w:tr2bl w:val="nil"/>
                  </w:tcBorders>
                  <w:noWrap w:val="0"/>
                  <w:vAlign w:val="center"/>
                </w:tcPr>
                <w:p w14:paraId="0EC7956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3AF808C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w:t>
                  </w:r>
                </w:p>
              </w:tc>
              <w:tc>
                <w:tcPr>
                  <w:tcW w:w="2023" w:type="dxa"/>
                  <w:tcBorders>
                    <w:tl2br w:val="nil"/>
                    <w:tr2bl w:val="nil"/>
                  </w:tcBorders>
                  <w:noWrap w:val="0"/>
                  <w:vAlign w:val="center"/>
                </w:tcPr>
                <w:p w14:paraId="5206CEF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日常冲厕及其他</w:t>
                  </w:r>
                </w:p>
              </w:tc>
              <w:tc>
                <w:tcPr>
                  <w:tcW w:w="2989" w:type="dxa"/>
                  <w:tcBorders>
                    <w:tl2br w:val="nil"/>
                    <w:tr2bl w:val="nil"/>
                  </w:tcBorders>
                  <w:noWrap w:val="0"/>
                  <w:vAlign w:val="center"/>
                </w:tcPr>
                <w:p w14:paraId="529B236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办公生活废水进入化粪池、污水处理站处理</w:t>
                  </w:r>
                  <w:r>
                    <w:rPr>
                      <w:rFonts w:hint="default" w:ascii="Times New Roman" w:hAnsi="Times New Roman" w:eastAsia="宋体" w:cs="Times New Roman"/>
                      <w:color w:val="auto"/>
                      <w:sz w:val="21"/>
                      <w:szCs w:val="21"/>
                      <w:highlight w:val="none"/>
                      <w:lang w:val="en-US" w:eastAsia="zh-CN"/>
                    </w:rPr>
                    <w:t>达标后，晴天用于绿化或道路场地洒水，雨天储存于蓄水池中待晴天再回用，不外排。</w:t>
                  </w:r>
                </w:p>
              </w:tc>
              <w:tc>
                <w:tcPr>
                  <w:tcW w:w="1517" w:type="dxa"/>
                  <w:tcBorders>
                    <w:tl2br w:val="nil"/>
                    <w:tr2bl w:val="nil"/>
                  </w:tcBorders>
                  <w:noWrap w:val="0"/>
                  <w:vAlign w:val="center"/>
                </w:tcPr>
                <w:p w14:paraId="66AFE4D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回用，不外排</w:t>
                  </w:r>
                </w:p>
              </w:tc>
            </w:tr>
            <w:tr w14:paraId="6557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67" w:type="dxa"/>
                  <w:vMerge w:val="restart"/>
                  <w:tcBorders>
                    <w:tl2br w:val="nil"/>
                    <w:tr2bl w:val="nil"/>
                  </w:tcBorders>
                  <w:noWrap w:val="0"/>
                  <w:vAlign w:val="center"/>
                </w:tcPr>
                <w:p w14:paraId="78A819F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153" w:type="dxa"/>
                  <w:tcBorders>
                    <w:tl2br w:val="nil"/>
                    <w:tr2bl w:val="nil"/>
                  </w:tcBorders>
                  <w:noWrap w:val="0"/>
                  <w:vAlign w:val="center"/>
                </w:tcPr>
                <w:p w14:paraId="115E8DA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废气处理</w:t>
                  </w:r>
                </w:p>
              </w:tc>
              <w:tc>
                <w:tcPr>
                  <w:tcW w:w="2023" w:type="dxa"/>
                  <w:tcBorders>
                    <w:tl2br w:val="nil"/>
                    <w:tr2bl w:val="nil"/>
                  </w:tcBorders>
                  <w:noWrap w:val="0"/>
                  <w:vAlign w:val="center"/>
                </w:tcPr>
                <w:p w14:paraId="4DF27369">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原料除尘器收集的粉尘</w:t>
                  </w:r>
                </w:p>
              </w:tc>
              <w:tc>
                <w:tcPr>
                  <w:tcW w:w="2989" w:type="dxa"/>
                  <w:tcBorders>
                    <w:tl2br w:val="nil"/>
                    <w:tr2bl w:val="nil"/>
                  </w:tcBorders>
                  <w:noWrap w:val="0"/>
                  <w:vAlign w:val="center"/>
                </w:tcPr>
                <w:p w14:paraId="4DEC3786">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统一收集后</w:t>
                  </w:r>
                  <w:r>
                    <w:rPr>
                      <w:color w:val="auto"/>
                      <w:szCs w:val="21"/>
                      <w:highlight w:val="none"/>
                    </w:rPr>
                    <w:t>作为</w:t>
                  </w:r>
                  <w:r>
                    <w:rPr>
                      <w:rFonts w:hint="eastAsia"/>
                      <w:color w:val="auto"/>
                      <w:szCs w:val="21"/>
                      <w:highlight w:val="none"/>
                      <w:lang w:eastAsia="zh-CN"/>
                    </w:rPr>
                    <w:t>原料返回原料工序</w:t>
                  </w:r>
                </w:p>
              </w:tc>
              <w:tc>
                <w:tcPr>
                  <w:tcW w:w="1517" w:type="dxa"/>
                  <w:vMerge w:val="restart"/>
                  <w:tcBorders>
                    <w:tl2br w:val="nil"/>
                    <w:tr2bl w:val="nil"/>
                  </w:tcBorders>
                  <w:noWrap w:val="0"/>
                  <w:vAlign w:val="center"/>
                </w:tcPr>
                <w:p w14:paraId="4B82163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合理处置</w:t>
                  </w:r>
                  <w:r>
                    <w:rPr>
                      <w:rFonts w:hint="default" w:ascii="Times New Roman" w:hAnsi="Times New Roman" w:eastAsia="宋体" w:cs="Times New Roman"/>
                      <w:color w:val="auto"/>
                      <w:sz w:val="21"/>
                      <w:szCs w:val="21"/>
                      <w:highlight w:val="none"/>
                      <w:lang w:eastAsia="zh-CN"/>
                    </w:rPr>
                    <w:t>，处置率</w:t>
                  </w:r>
                  <w:r>
                    <w:rPr>
                      <w:rFonts w:hint="default" w:ascii="Times New Roman" w:hAnsi="Times New Roman" w:eastAsia="宋体" w:cs="Times New Roman"/>
                      <w:color w:val="auto"/>
                      <w:sz w:val="21"/>
                      <w:szCs w:val="21"/>
                      <w:highlight w:val="none"/>
                      <w:lang w:val="en-US" w:eastAsia="zh-CN"/>
                    </w:rPr>
                    <w:t>100%</w:t>
                  </w:r>
                </w:p>
              </w:tc>
            </w:tr>
            <w:tr w14:paraId="614B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67" w:type="dxa"/>
                  <w:vMerge w:val="continue"/>
                  <w:tcBorders>
                    <w:tl2br w:val="nil"/>
                    <w:tr2bl w:val="nil"/>
                  </w:tcBorders>
                  <w:noWrap w:val="0"/>
                  <w:vAlign w:val="center"/>
                </w:tcPr>
                <w:p w14:paraId="03E80F3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062EE04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燃料燃烧</w:t>
                  </w:r>
                </w:p>
              </w:tc>
              <w:tc>
                <w:tcPr>
                  <w:tcW w:w="2023" w:type="dxa"/>
                  <w:tcBorders>
                    <w:tl2br w:val="nil"/>
                    <w:tr2bl w:val="nil"/>
                  </w:tcBorders>
                  <w:noWrap w:val="0"/>
                  <w:vAlign w:val="center"/>
                </w:tcPr>
                <w:p w14:paraId="4C5B721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炉渣</w:t>
                  </w:r>
                </w:p>
              </w:tc>
              <w:tc>
                <w:tcPr>
                  <w:tcW w:w="2989" w:type="dxa"/>
                  <w:tcBorders>
                    <w:tl2br w:val="nil"/>
                    <w:tr2bl w:val="nil"/>
                  </w:tcBorders>
                  <w:noWrap w:val="0"/>
                  <w:vAlign w:val="center"/>
                </w:tcPr>
                <w:p w14:paraId="4036E86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lang w:val="zh-CN"/>
                    </w:rPr>
                    <w:t>统一收集后</w:t>
                  </w:r>
                  <w:r>
                    <w:rPr>
                      <w:rFonts w:hint="eastAsia" w:ascii="Times New Roman" w:hAnsi="Times New Roman" w:eastAsia="宋体" w:cs="Times New Roman"/>
                      <w:color w:val="auto"/>
                      <w:szCs w:val="21"/>
                      <w:highlight w:val="none"/>
                      <w:lang w:val="zh-CN"/>
                    </w:rPr>
                    <w:t>通过铲车装车作为水泥生产的混合材外售</w:t>
                  </w:r>
                  <w:r>
                    <w:rPr>
                      <w:rFonts w:hint="default" w:ascii="Times New Roman" w:hAnsi="Times New Roman" w:eastAsia="宋体" w:cs="Times New Roman"/>
                      <w:color w:val="auto"/>
                      <w:szCs w:val="21"/>
                      <w:highlight w:val="none"/>
                    </w:rPr>
                    <w:t>。</w:t>
                  </w:r>
                </w:p>
              </w:tc>
              <w:tc>
                <w:tcPr>
                  <w:tcW w:w="1517" w:type="dxa"/>
                  <w:vMerge w:val="continue"/>
                  <w:tcBorders>
                    <w:tl2br w:val="nil"/>
                    <w:tr2bl w:val="nil"/>
                  </w:tcBorders>
                  <w:noWrap w:val="0"/>
                  <w:vAlign w:val="center"/>
                </w:tcPr>
                <w:p w14:paraId="0F66A3E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6D28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dxa"/>
                  <w:vMerge w:val="continue"/>
                  <w:tcBorders>
                    <w:tl2br w:val="nil"/>
                    <w:tr2bl w:val="nil"/>
                  </w:tcBorders>
                  <w:noWrap w:val="0"/>
                  <w:vAlign w:val="center"/>
                </w:tcPr>
                <w:p w14:paraId="4C5B07B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0B8AEB50">
                  <w:pPr>
                    <w:ind w:left="51" w:leftChars="0" w:right="51"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烘干机液压油站</w:t>
                  </w:r>
                </w:p>
              </w:tc>
              <w:tc>
                <w:tcPr>
                  <w:tcW w:w="2023" w:type="dxa"/>
                  <w:tcBorders>
                    <w:tl2br w:val="nil"/>
                    <w:tr2bl w:val="nil"/>
                  </w:tcBorders>
                  <w:noWrap w:val="0"/>
                  <w:vAlign w:val="center"/>
                </w:tcPr>
                <w:p w14:paraId="1F33771B">
                  <w:pPr>
                    <w:ind w:left="51" w:leftChars="0" w:right="51" w:right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Cs w:val="21"/>
                      <w:highlight w:val="none"/>
                      <w:lang w:val="en-US" w:eastAsia="zh-CN"/>
                    </w:rPr>
                    <w:t>废液压油</w:t>
                  </w:r>
                </w:p>
              </w:tc>
              <w:tc>
                <w:tcPr>
                  <w:tcW w:w="2989" w:type="dxa"/>
                  <w:tcBorders>
                    <w:tl2br w:val="nil"/>
                    <w:tr2bl w:val="nil"/>
                  </w:tcBorders>
                  <w:noWrap w:val="0"/>
                  <w:vAlign w:val="center"/>
                </w:tcPr>
                <w:p w14:paraId="0A0269F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统一收集后暂存于危废暂存间，委托有资质的单位定期清运处置。</w:t>
                  </w:r>
                </w:p>
              </w:tc>
              <w:tc>
                <w:tcPr>
                  <w:tcW w:w="1517" w:type="dxa"/>
                  <w:vMerge w:val="continue"/>
                  <w:tcBorders>
                    <w:tl2br w:val="nil"/>
                    <w:tr2bl w:val="nil"/>
                  </w:tcBorders>
                  <w:noWrap w:val="0"/>
                  <w:vAlign w:val="center"/>
                </w:tcPr>
                <w:p w14:paraId="66DA25C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1B7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dxa"/>
                  <w:vMerge w:val="continue"/>
                  <w:tcBorders>
                    <w:tl2br w:val="nil"/>
                    <w:tr2bl w:val="nil"/>
                  </w:tcBorders>
                  <w:noWrap w:val="0"/>
                  <w:vAlign w:val="center"/>
                </w:tcPr>
                <w:p w14:paraId="641F0DC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550C5A1E">
                  <w:pPr>
                    <w:ind w:left="51" w:leftChars="0" w:right="51" w:rightChars="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产品化验</w:t>
                  </w:r>
                </w:p>
              </w:tc>
              <w:tc>
                <w:tcPr>
                  <w:tcW w:w="2023" w:type="dxa"/>
                  <w:tcBorders>
                    <w:tl2br w:val="nil"/>
                    <w:tr2bl w:val="nil"/>
                  </w:tcBorders>
                  <w:noWrap w:val="0"/>
                  <w:vAlign w:val="center"/>
                </w:tcPr>
                <w:p w14:paraId="26C86D51">
                  <w:pPr>
                    <w:ind w:left="51" w:leftChars="0" w:right="51" w:right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废试剂瓶、废液</w:t>
                  </w:r>
                </w:p>
              </w:tc>
              <w:tc>
                <w:tcPr>
                  <w:tcW w:w="2989" w:type="dxa"/>
                  <w:tcBorders>
                    <w:tl2br w:val="nil"/>
                    <w:tr2bl w:val="nil"/>
                  </w:tcBorders>
                  <w:noWrap w:val="0"/>
                  <w:vAlign w:val="center"/>
                </w:tcPr>
                <w:p w14:paraId="4CFDA47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统一收集后暂存于危废暂存间，委托有资质的单位定期清运处置</w:t>
                  </w:r>
                </w:p>
              </w:tc>
              <w:tc>
                <w:tcPr>
                  <w:tcW w:w="1517" w:type="dxa"/>
                  <w:vMerge w:val="continue"/>
                  <w:tcBorders>
                    <w:tl2br w:val="nil"/>
                    <w:tr2bl w:val="nil"/>
                  </w:tcBorders>
                  <w:noWrap w:val="0"/>
                  <w:vAlign w:val="center"/>
                </w:tcPr>
                <w:p w14:paraId="33E4BD7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36CD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dxa"/>
                  <w:vMerge w:val="continue"/>
                  <w:tcBorders>
                    <w:tl2br w:val="nil"/>
                    <w:tr2bl w:val="nil"/>
                  </w:tcBorders>
                  <w:noWrap w:val="0"/>
                  <w:vAlign w:val="center"/>
                </w:tcPr>
                <w:p w14:paraId="353F9C4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3662153B">
                  <w:pPr>
                    <w:keepNext w:val="0"/>
                    <w:keepLines w:val="0"/>
                    <w:widowControl w:val="0"/>
                    <w:suppressLineNumbers w:val="0"/>
                    <w:spacing w:before="0" w:beforeAutospacing="0" w:after="0" w:afterAutospacing="0"/>
                    <w:ind w:left="0" w:leftChars="0" w:right="0" w:rightChars="0"/>
                    <w:jc w:val="center"/>
                    <w:rPr>
                      <w:rFonts w:hint="eastAsia"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废气处理</w:t>
                  </w:r>
                </w:p>
              </w:tc>
              <w:tc>
                <w:tcPr>
                  <w:tcW w:w="2023" w:type="dxa"/>
                  <w:tcBorders>
                    <w:tl2br w:val="nil"/>
                    <w:tr2bl w:val="nil"/>
                  </w:tcBorders>
                  <w:noWrap w:val="0"/>
                  <w:vAlign w:val="center"/>
                </w:tcPr>
                <w:p w14:paraId="1BDAEEBF">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val="en-US" w:eastAsia="zh-CN"/>
                    </w:rPr>
                  </w:pPr>
                  <w:r>
                    <w:rPr>
                      <w:rFonts w:hint="eastAsia" w:cs="Times New Roman"/>
                      <w:color w:val="auto"/>
                      <w:sz w:val="21"/>
                      <w:szCs w:val="21"/>
                      <w:highlight w:val="none"/>
                      <w:lang w:eastAsia="zh-CN"/>
                    </w:rPr>
                    <w:t>烘干工序除尘器收集的粉尘</w:t>
                  </w:r>
                </w:p>
              </w:tc>
              <w:tc>
                <w:tcPr>
                  <w:tcW w:w="2989" w:type="dxa"/>
                  <w:tcBorders>
                    <w:tl2br w:val="nil"/>
                    <w:tr2bl w:val="nil"/>
                  </w:tcBorders>
                  <w:noWrap w:val="0"/>
                  <w:vAlign w:val="center"/>
                </w:tcPr>
                <w:p w14:paraId="29AA9274">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统一收集后</w:t>
                  </w:r>
                  <w:r>
                    <w:rPr>
                      <w:rFonts w:hint="eastAsia" w:cs="Times New Roman"/>
                      <w:color w:val="auto"/>
                      <w:szCs w:val="21"/>
                      <w:highlight w:val="none"/>
                      <w:lang w:eastAsia="zh-CN"/>
                    </w:rPr>
                    <w:t>储运至粉煤仓作为成品外售</w:t>
                  </w:r>
                </w:p>
              </w:tc>
              <w:tc>
                <w:tcPr>
                  <w:tcW w:w="1517" w:type="dxa"/>
                  <w:vMerge w:val="continue"/>
                  <w:tcBorders>
                    <w:tl2br w:val="nil"/>
                    <w:tr2bl w:val="nil"/>
                  </w:tcBorders>
                  <w:noWrap w:val="0"/>
                  <w:vAlign w:val="center"/>
                </w:tcPr>
                <w:p w14:paraId="44DDA58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10AD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dxa"/>
                  <w:vMerge w:val="continue"/>
                  <w:tcBorders>
                    <w:tl2br w:val="nil"/>
                    <w:tr2bl w:val="nil"/>
                  </w:tcBorders>
                  <w:noWrap w:val="0"/>
                  <w:vAlign w:val="center"/>
                </w:tcPr>
                <w:p w14:paraId="0CDC826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07AC00CF">
                  <w:pPr>
                    <w:keepNext w:val="0"/>
                    <w:keepLines w:val="0"/>
                    <w:widowControl w:val="0"/>
                    <w:suppressLineNumbers w:val="0"/>
                    <w:spacing w:before="0" w:beforeAutospacing="0" w:after="0" w:afterAutospacing="0"/>
                    <w:ind w:left="0" w:leftChars="0" w:right="0" w:rightChars="0"/>
                    <w:jc w:val="center"/>
                    <w:rPr>
                      <w:rFonts w:hint="eastAsia"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废气处理</w:t>
                  </w:r>
                </w:p>
              </w:tc>
              <w:tc>
                <w:tcPr>
                  <w:tcW w:w="2023" w:type="dxa"/>
                  <w:tcBorders>
                    <w:tl2br w:val="nil"/>
                    <w:tr2bl w:val="nil"/>
                  </w:tcBorders>
                  <w:noWrap w:val="0"/>
                  <w:vAlign w:val="center"/>
                </w:tcPr>
                <w:p w14:paraId="4F4D5C4B">
                  <w:pPr>
                    <w:keepNext w:val="0"/>
                    <w:keepLines w:val="0"/>
                    <w:widowControl w:val="0"/>
                    <w:suppressLineNumbers w:val="0"/>
                    <w:spacing w:before="0" w:beforeAutospacing="0" w:after="0" w:afterAutospacing="0"/>
                    <w:ind w:left="0" w:leftChars="0" w:right="0" w:rightChars="0"/>
                    <w:jc w:val="center"/>
                    <w:rPr>
                      <w:rFonts w:hint="eastAsia" w:cs="Times New Roman"/>
                      <w:color w:val="auto"/>
                      <w:szCs w:val="21"/>
                      <w:highlight w:val="none"/>
                      <w:lang w:val="en-US" w:eastAsia="zh-CN"/>
                    </w:rPr>
                  </w:pPr>
                  <w:r>
                    <w:rPr>
                      <w:rFonts w:hint="eastAsia" w:cs="Times New Roman"/>
                      <w:color w:val="auto"/>
                      <w:sz w:val="21"/>
                      <w:szCs w:val="21"/>
                      <w:highlight w:val="none"/>
                      <w:lang w:eastAsia="zh-CN"/>
                    </w:rPr>
                    <w:t>成品除尘器收集的粉尘</w:t>
                  </w:r>
                </w:p>
              </w:tc>
              <w:tc>
                <w:tcPr>
                  <w:tcW w:w="2989" w:type="dxa"/>
                  <w:tcBorders>
                    <w:tl2br w:val="nil"/>
                    <w:tr2bl w:val="nil"/>
                  </w:tcBorders>
                  <w:noWrap w:val="0"/>
                  <w:vAlign w:val="center"/>
                </w:tcPr>
                <w:p w14:paraId="0DDC3E8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统一收集后</w:t>
                  </w:r>
                  <w:r>
                    <w:rPr>
                      <w:color w:val="auto"/>
                      <w:szCs w:val="21"/>
                      <w:highlight w:val="none"/>
                    </w:rPr>
                    <w:t>作为成品送回储仓内发运外售</w:t>
                  </w:r>
                </w:p>
              </w:tc>
              <w:tc>
                <w:tcPr>
                  <w:tcW w:w="1517" w:type="dxa"/>
                  <w:vMerge w:val="continue"/>
                  <w:tcBorders>
                    <w:tl2br w:val="nil"/>
                    <w:tr2bl w:val="nil"/>
                  </w:tcBorders>
                  <w:noWrap w:val="0"/>
                  <w:vAlign w:val="center"/>
                </w:tcPr>
                <w:p w14:paraId="645B0AD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6665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dxa"/>
                  <w:vMerge w:val="continue"/>
                  <w:tcBorders>
                    <w:tl2br w:val="nil"/>
                    <w:tr2bl w:val="nil"/>
                  </w:tcBorders>
                  <w:noWrap w:val="0"/>
                  <w:vAlign w:val="center"/>
                </w:tcPr>
                <w:p w14:paraId="49F72C5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0C5C99E7">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废气处理</w:t>
                  </w:r>
                </w:p>
              </w:tc>
              <w:tc>
                <w:tcPr>
                  <w:tcW w:w="2023" w:type="dxa"/>
                  <w:tcBorders>
                    <w:tl2br w:val="nil"/>
                    <w:tr2bl w:val="nil"/>
                  </w:tcBorders>
                  <w:noWrap w:val="0"/>
                  <w:vAlign w:val="center"/>
                </w:tcPr>
                <w:p w14:paraId="50F8E32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石灰石粉除尘器</w:t>
                  </w:r>
                </w:p>
              </w:tc>
              <w:tc>
                <w:tcPr>
                  <w:tcW w:w="2989" w:type="dxa"/>
                  <w:tcBorders>
                    <w:tl2br w:val="nil"/>
                    <w:tr2bl w:val="nil"/>
                  </w:tcBorders>
                  <w:noWrap w:val="0"/>
                  <w:vAlign w:val="center"/>
                </w:tcPr>
                <w:p w14:paraId="2D56FCA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收集的粉尘</w:t>
                  </w:r>
                  <w:r>
                    <w:rPr>
                      <w:rFonts w:hint="default" w:ascii="Times New Roman" w:hAnsi="Times New Roman" w:cs="Times New Roman"/>
                      <w:color w:val="auto"/>
                      <w:sz w:val="21"/>
                      <w:szCs w:val="21"/>
                      <w:highlight w:val="none"/>
                      <w:lang w:val="zh-CN"/>
                    </w:rPr>
                    <w:t>统一收集后</w:t>
                  </w:r>
                  <w:r>
                    <w:rPr>
                      <w:rFonts w:hint="eastAsia" w:ascii="Times New Roman" w:hAnsi="Times New Roman" w:cs="Times New Roman"/>
                      <w:color w:val="auto"/>
                      <w:sz w:val="21"/>
                      <w:szCs w:val="21"/>
                      <w:highlight w:val="none"/>
                      <w:lang w:val="zh-CN"/>
                    </w:rPr>
                    <w:t>继续回用于烘干废气脱硫</w:t>
                  </w:r>
                </w:p>
              </w:tc>
              <w:tc>
                <w:tcPr>
                  <w:tcW w:w="1517" w:type="dxa"/>
                  <w:vMerge w:val="continue"/>
                  <w:tcBorders>
                    <w:tl2br w:val="nil"/>
                    <w:tr2bl w:val="nil"/>
                  </w:tcBorders>
                  <w:noWrap w:val="0"/>
                  <w:vAlign w:val="center"/>
                </w:tcPr>
                <w:p w14:paraId="0696F61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23B8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dxa"/>
                  <w:vMerge w:val="continue"/>
                  <w:tcBorders>
                    <w:tl2br w:val="nil"/>
                    <w:tr2bl w:val="nil"/>
                  </w:tcBorders>
                  <w:noWrap w:val="0"/>
                  <w:vAlign w:val="center"/>
                </w:tcPr>
                <w:p w14:paraId="407A5F4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476C2774">
                  <w:pPr>
                    <w:keepNext w:val="0"/>
                    <w:keepLines w:val="0"/>
                    <w:widowControl w:val="0"/>
                    <w:suppressLineNumbers w:val="0"/>
                    <w:spacing w:before="0" w:beforeAutospacing="0" w:after="0" w:afterAutospacing="0"/>
                    <w:ind w:left="0" w:right="0"/>
                    <w:jc w:val="center"/>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废气处理</w:t>
                  </w:r>
                </w:p>
              </w:tc>
              <w:tc>
                <w:tcPr>
                  <w:tcW w:w="2023" w:type="dxa"/>
                  <w:tcBorders>
                    <w:tl2br w:val="nil"/>
                    <w:tr2bl w:val="nil"/>
                  </w:tcBorders>
                  <w:noWrap w:val="0"/>
                  <w:vAlign w:val="center"/>
                </w:tcPr>
                <w:p w14:paraId="0348D90E">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燃料仓除尘器收集的粉尘</w:t>
                  </w:r>
                </w:p>
              </w:tc>
              <w:tc>
                <w:tcPr>
                  <w:tcW w:w="2989" w:type="dxa"/>
                  <w:tcBorders>
                    <w:tl2br w:val="nil"/>
                    <w:tr2bl w:val="nil"/>
                  </w:tcBorders>
                  <w:noWrap w:val="0"/>
                  <w:vAlign w:val="center"/>
                </w:tcPr>
                <w:p w14:paraId="2C53234B">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zh-CN"/>
                    </w:rPr>
                    <w:t>统一收集后</w:t>
                  </w:r>
                  <w:r>
                    <w:rPr>
                      <w:rFonts w:hint="eastAsia" w:ascii="Times New Roman" w:hAnsi="Times New Roman" w:cs="Times New Roman"/>
                      <w:color w:val="auto"/>
                      <w:sz w:val="21"/>
                      <w:szCs w:val="21"/>
                      <w:highlight w:val="none"/>
                      <w:lang w:val="zh-CN"/>
                    </w:rPr>
                    <w:t>继续回用于烘干</w:t>
                  </w:r>
                  <w:r>
                    <w:rPr>
                      <w:rFonts w:hint="eastAsia" w:cs="Times New Roman"/>
                      <w:color w:val="auto"/>
                      <w:sz w:val="21"/>
                      <w:szCs w:val="21"/>
                      <w:highlight w:val="none"/>
                      <w:lang w:val="zh-CN"/>
                    </w:rPr>
                    <w:t>环节</w:t>
                  </w:r>
                </w:p>
              </w:tc>
              <w:tc>
                <w:tcPr>
                  <w:tcW w:w="1517" w:type="dxa"/>
                  <w:vMerge w:val="continue"/>
                  <w:tcBorders>
                    <w:tl2br w:val="nil"/>
                    <w:tr2bl w:val="nil"/>
                  </w:tcBorders>
                  <w:noWrap w:val="0"/>
                  <w:vAlign w:val="center"/>
                </w:tcPr>
                <w:p w14:paraId="184AE64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2EDC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dxa"/>
                  <w:vMerge w:val="continue"/>
                  <w:tcBorders>
                    <w:tl2br w:val="nil"/>
                    <w:tr2bl w:val="nil"/>
                  </w:tcBorders>
                  <w:noWrap w:val="0"/>
                  <w:vAlign w:val="center"/>
                </w:tcPr>
                <w:p w14:paraId="01F16D0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4803B6E3">
                  <w:pPr>
                    <w:keepNext w:val="0"/>
                    <w:keepLines w:val="0"/>
                    <w:widowControl w:val="0"/>
                    <w:suppressLineNumbers w:val="0"/>
                    <w:spacing w:before="0" w:beforeAutospacing="0" w:after="0" w:afterAutospacing="0"/>
                    <w:ind w:left="0" w:right="0"/>
                    <w:jc w:val="center"/>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废气处理</w:t>
                  </w:r>
                </w:p>
              </w:tc>
              <w:tc>
                <w:tcPr>
                  <w:tcW w:w="2023" w:type="dxa"/>
                  <w:tcBorders>
                    <w:tl2br w:val="nil"/>
                    <w:tr2bl w:val="nil"/>
                  </w:tcBorders>
                  <w:noWrap w:val="0"/>
                  <w:vAlign w:val="center"/>
                </w:tcPr>
                <w:p w14:paraId="0EAC6127">
                  <w:pPr>
                    <w:keepNext w:val="0"/>
                    <w:keepLines w:val="0"/>
                    <w:widowControl w:val="0"/>
                    <w:suppressLineNumbers w:val="0"/>
                    <w:spacing w:before="0" w:beforeAutospacing="0" w:after="0" w:afterAutospacing="0"/>
                    <w:ind w:left="0" w:right="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煤粉仓除尘器收集的粉尘</w:t>
                  </w:r>
                </w:p>
              </w:tc>
              <w:tc>
                <w:tcPr>
                  <w:tcW w:w="2989" w:type="dxa"/>
                  <w:vMerge w:val="restart"/>
                  <w:tcBorders>
                    <w:tl2br w:val="nil"/>
                    <w:tr2bl w:val="nil"/>
                  </w:tcBorders>
                  <w:noWrap w:val="0"/>
                  <w:vAlign w:val="center"/>
                </w:tcPr>
                <w:p w14:paraId="66AD786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统一收集后</w:t>
                  </w:r>
                  <w:r>
                    <w:rPr>
                      <w:rFonts w:hint="default" w:ascii="Times New Roman" w:hAnsi="Times New Roman" w:eastAsia="宋体" w:cs="Times New Roman"/>
                      <w:b w:val="0"/>
                      <w:bCs w:val="0"/>
                      <w:color w:val="auto"/>
                      <w:sz w:val="21"/>
                      <w:szCs w:val="21"/>
                      <w:highlight w:val="none"/>
                      <w:lang w:val="en-US" w:eastAsia="zh-CN"/>
                    </w:rPr>
                    <w:t>作为成品送回储仓内发运外售</w:t>
                  </w:r>
                </w:p>
              </w:tc>
              <w:tc>
                <w:tcPr>
                  <w:tcW w:w="1517" w:type="dxa"/>
                  <w:vMerge w:val="continue"/>
                  <w:tcBorders>
                    <w:tl2br w:val="nil"/>
                    <w:tr2bl w:val="nil"/>
                  </w:tcBorders>
                  <w:noWrap w:val="0"/>
                  <w:vAlign w:val="center"/>
                </w:tcPr>
                <w:p w14:paraId="7712D91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303B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dxa"/>
                  <w:vMerge w:val="continue"/>
                  <w:tcBorders>
                    <w:tl2br w:val="nil"/>
                    <w:tr2bl w:val="nil"/>
                  </w:tcBorders>
                  <w:noWrap w:val="0"/>
                  <w:vAlign w:val="center"/>
                </w:tcPr>
                <w:p w14:paraId="454FD9E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574B4F3A">
                  <w:pPr>
                    <w:keepNext w:val="0"/>
                    <w:keepLines w:val="0"/>
                    <w:widowControl w:val="0"/>
                    <w:suppressLineNumbers w:val="0"/>
                    <w:spacing w:before="0" w:beforeAutospacing="0" w:after="0" w:afterAutospacing="0"/>
                    <w:ind w:left="0" w:right="0"/>
                    <w:jc w:val="center"/>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废气处理</w:t>
                  </w:r>
                </w:p>
              </w:tc>
              <w:tc>
                <w:tcPr>
                  <w:tcW w:w="2023" w:type="dxa"/>
                  <w:tcBorders>
                    <w:tl2br w:val="nil"/>
                    <w:tr2bl w:val="nil"/>
                  </w:tcBorders>
                  <w:noWrap w:val="0"/>
                  <w:vAlign w:val="center"/>
                </w:tcPr>
                <w:p w14:paraId="057C70DA">
                  <w:pPr>
                    <w:keepNext w:val="0"/>
                    <w:keepLines w:val="0"/>
                    <w:widowControl w:val="0"/>
                    <w:suppressLineNumbers w:val="0"/>
                    <w:spacing w:before="0" w:beforeAutospacing="0" w:after="0" w:afterAutospacing="0"/>
                    <w:ind w:left="0" w:right="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成品散装除尘器收集的粉尘</w:t>
                  </w:r>
                </w:p>
              </w:tc>
              <w:tc>
                <w:tcPr>
                  <w:tcW w:w="2989" w:type="dxa"/>
                  <w:vMerge w:val="continue"/>
                  <w:tcBorders>
                    <w:tl2br w:val="nil"/>
                    <w:tr2bl w:val="nil"/>
                  </w:tcBorders>
                  <w:noWrap w:val="0"/>
                  <w:vAlign w:val="center"/>
                </w:tcPr>
                <w:p w14:paraId="1B35D9C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zh-CN"/>
                    </w:rPr>
                  </w:pPr>
                </w:p>
              </w:tc>
              <w:tc>
                <w:tcPr>
                  <w:tcW w:w="1517" w:type="dxa"/>
                  <w:vMerge w:val="continue"/>
                  <w:tcBorders>
                    <w:tl2br w:val="nil"/>
                    <w:tr2bl w:val="nil"/>
                  </w:tcBorders>
                  <w:noWrap w:val="0"/>
                  <w:vAlign w:val="center"/>
                </w:tcPr>
                <w:p w14:paraId="315395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6219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dxa"/>
                  <w:vMerge w:val="continue"/>
                  <w:tcBorders>
                    <w:tl2br w:val="nil"/>
                    <w:tr2bl w:val="nil"/>
                  </w:tcBorders>
                  <w:noWrap w:val="0"/>
                  <w:vAlign w:val="center"/>
                </w:tcPr>
                <w:p w14:paraId="69C1ABA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3A48D40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机械维修</w:t>
                  </w:r>
                </w:p>
              </w:tc>
              <w:tc>
                <w:tcPr>
                  <w:tcW w:w="2023" w:type="dxa"/>
                  <w:tcBorders>
                    <w:tl2br w:val="nil"/>
                    <w:tr2bl w:val="nil"/>
                  </w:tcBorders>
                  <w:noWrap w:val="0"/>
                  <w:vAlign w:val="center"/>
                </w:tcPr>
                <w:p w14:paraId="515D1A5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废机油、</w:t>
                  </w:r>
                  <w:r>
                    <w:rPr>
                      <w:rFonts w:hint="default" w:ascii="Times New Roman" w:hAnsi="Times New Roman" w:eastAsia="宋体" w:cs="Times New Roman"/>
                      <w:color w:val="auto"/>
                      <w:sz w:val="21"/>
                      <w:szCs w:val="21"/>
                      <w:highlight w:val="none"/>
                      <w:lang w:val="en-US" w:eastAsia="zh-CN"/>
                    </w:rPr>
                    <w:t>废弃的含油抹布、劳保用品</w:t>
                  </w:r>
                </w:p>
              </w:tc>
              <w:tc>
                <w:tcPr>
                  <w:tcW w:w="2989" w:type="dxa"/>
                  <w:tcBorders>
                    <w:tl2br w:val="nil"/>
                    <w:tr2bl w:val="nil"/>
                  </w:tcBorders>
                  <w:noWrap w:val="0"/>
                  <w:vAlign w:val="center"/>
                </w:tcPr>
                <w:p w14:paraId="0419D2B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统一收集后暂存于危废暂存间，委托有资质的单位定期清运处置。</w:t>
                  </w:r>
                </w:p>
              </w:tc>
              <w:tc>
                <w:tcPr>
                  <w:tcW w:w="1517" w:type="dxa"/>
                  <w:vMerge w:val="continue"/>
                  <w:tcBorders>
                    <w:tl2br w:val="nil"/>
                    <w:tr2bl w:val="nil"/>
                  </w:tcBorders>
                  <w:noWrap w:val="0"/>
                  <w:vAlign w:val="center"/>
                </w:tcPr>
                <w:p w14:paraId="20EBEA0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1001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67" w:type="dxa"/>
                  <w:vMerge w:val="continue"/>
                  <w:tcBorders>
                    <w:tl2br w:val="nil"/>
                    <w:tr2bl w:val="nil"/>
                  </w:tcBorders>
                  <w:noWrap w:val="0"/>
                  <w:vAlign w:val="center"/>
                </w:tcPr>
                <w:p w14:paraId="462738D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38D4560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职工生活</w:t>
                  </w:r>
                </w:p>
              </w:tc>
              <w:tc>
                <w:tcPr>
                  <w:tcW w:w="2023" w:type="dxa"/>
                  <w:tcBorders>
                    <w:tl2br w:val="nil"/>
                    <w:tr2bl w:val="nil"/>
                  </w:tcBorders>
                  <w:noWrap w:val="0"/>
                  <w:vAlign w:val="center"/>
                </w:tcPr>
                <w:p w14:paraId="0A9E5AE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2989" w:type="dxa"/>
                  <w:tcBorders>
                    <w:tl2br w:val="nil"/>
                    <w:tr2bl w:val="nil"/>
                  </w:tcBorders>
                  <w:noWrap w:val="0"/>
                  <w:vAlign w:val="center"/>
                </w:tcPr>
                <w:p w14:paraId="3B92203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收集后</w:t>
                  </w:r>
                  <w:r>
                    <w:rPr>
                      <w:rFonts w:hint="default" w:ascii="Times New Roman" w:hAnsi="Times New Roman" w:eastAsia="宋体" w:cs="Times New Roman"/>
                      <w:color w:val="auto"/>
                      <w:sz w:val="21"/>
                      <w:szCs w:val="21"/>
                      <w:highlight w:val="none"/>
                      <w:lang w:eastAsia="zh-CN"/>
                    </w:rPr>
                    <w:t>委托园区</w:t>
                  </w:r>
                  <w:r>
                    <w:rPr>
                      <w:rFonts w:hint="default" w:ascii="Times New Roman" w:hAnsi="Times New Roman" w:eastAsia="宋体" w:cs="Times New Roman"/>
                      <w:color w:val="auto"/>
                      <w:sz w:val="21"/>
                      <w:szCs w:val="21"/>
                      <w:highlight w:val="none"/>
                    </w:rPr>
                    <w:t>环卫部门</w:t>
                  </w:r>
                  <w:r>
                    <w:rPr>
                      <w:rFonts w:hint="default" w:ascii="Times New Roman" w:hAnsi="Times New Roman" w:eastAsia="宋体" w:cs="Times New Roman"/>
                      <w:color w:val="auto"/>
                      <w:sz w:val="21"/>
                      <w:szCs w:val="21"/>
                      <w:highlight w:val="none"/>
                      <w:lang w:eastAsia="zh-CN"/>
                    </w:rPr>
                    <w:t>清运、</w:t>
                  </w:r>
                  <w:r>
                    <w:rPr>
                      <w:rFonts w:hint="default" w:ascii="Times New Roman" w:hAnsi="Times New Roman" w:eastAsia="宋体" w:cs="Times New Roman"/>
                      <w:color w:val="auto"/>
                      <w:sz w:val="21"/>
                      <w:szCs w:val="21"/>
                      <w:highlight w:val="none"/>
                    </w:rPr>
                    <w:t>处置</w:t>
                  </w:r>
                  <w:r>
                    <w:rPr>
                      <w:rFonts w:hint="default" w:ascii="Times New Roman" w:hAnsi="Times New Roman" w:eastAsia="宋体" w:cs="Times New Roman"/>
                      <w:color w:val="auto"/>
                      <w:sz w:val="21"/>
                      <w:szCs w:val="21"/>
                      <w:highlight w:val="none"/>
                      <w:lang w:eastAsia="zh-CN"/>
                    </w:rPr>
                    <w:t>。</w:t>
                  </w:r>
                </w:p>
              </w:tc>
              <w:tc>
                <w:tcPr>
                  <w:tcW w:w="1517" w:type="dxa"/>
                  <w:vMerge w:val="continue"/>
                  <w:tcBorders>
                    <w:tl2br w:val="nil"/>
                    <w:tr2bl w:val="nil"/>
                  </w:tcBorders>
                  <w:noWrap w:val="0"/>
                  <w:vAlign w:val="center"/>
                </w:tcPr>
                <w:p w14:paraId="3AA8EC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0DDB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67" w:type="dxa"/>
                  <w:vMerge w:val="continue"/>
                  <w:tcBorders>
                    <w:tl2br w:val="nil"/>
                    <w:tr2bl w:val="nil"/>
                  </w:tcBorders>
                  <w:noWrap w:val="0"/>
                  <w:vAlign w:val="center"/>
                </w:tcPr>
                <w:p w14:paraId="1B5FCC2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13DC9B4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化粪池、一体化污水处理站</w:t>
                  </w:r>
                </w:p>
              </w:tc>
              <w:tc>
                <w:tcPr>
                  <w:tcW w:w="2023" w:type="dxa"/>
                  <w:tcBorders>
                    <w:tl2br w:val="nil"/>
                    <w:tr2bl w:val="nil"/>
                  </w:tcBorders>
                  <w:noWrap w:val="0"/>
                  <w:vAlign w:val="center"/>
                </w:tcPr>
                <w:p w14:paraId="31A0D57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
                    </w:rPr>
                    <w:t>污泥</w:t>
                  </w:r>
                </w:p>
              </w:tc>
              <w:tc>
                <w:tcPr>
                  <w:tcW w:w="2989" w:type="dxa"/>
                  <w:tcBorders>
                    <w:tl2br w:val="nil"/>
                    <w:tr2bl w:val="nil"/>
                  </w:tcBorders>
                  <w:noWrap w:val="0"/>
                  <w:vAlign w:val="center"/>
                </w:tcPr>
                <w:p w14:paraId="6AECF96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定期清掏后委托环卫部门清运、处置。</w:t>
                  </w:r>
                </w:p>
              </w:tc>
              <w:tc>
                <w:tcPr>
                  <w:tcW w:w="1517" w:type="dxa"/>
                  <w:vMerge w:val="continue"/>
                  <w:tcBorders>
                    <w:tl2br w:val="nil"/>
                    <w:tr2bl w:val="nil"/>
                  </w:tcBorders>
                  <w:noWrap w:val="0"/>
                  <w:vAlign w:val="center"/>
                </w:tcPr>
                <w:p w14:paraId="782BF71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367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dxa"/>
                  <w:vMerge w:val="restart"/>
                  <w:tcBorders>
                    <w:tl2br w:val="nil"/>
                    <w:tr2bl w:val="nil"/>
                  </w:tcBorders>
                  <w:noWrap w:val="0"/>
                  <w:vAlign w:val="center"/>
                </w:tcPr>
                <w:p w14:paraId="236674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153" w:type="dxa"/>
                  <w:tcBorders>
                    <w:tl2br w:val="nil"/>
                    <w:tr2bl w:val="nil"/>
                  </w:tcBorders>
                  <w:noWrap w:val="0"/>
                  <w:vAlign w:val="center"/>
                </w:tcPr>
                <w:p w14:paraId="3E66D5D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生产工序</w:t>
                  </w:r>
                </w:p>
              </w:tc>
              <w:tc>
                <w:tcPr>
                  <w:tcW w:w="2023" w:type="dxa"/>
                  <w:tcBorders>
                    <w:tl2br w:val="nil"/>
                    <w:tr2bl w:val="nil"/>
                  </w:tcBorders>
                  <w:noWrap w:val="0"/>
                  <w:vAlign w:val="center"/>
                </w:tcPr>
                <w:p w14:paraId="11BD96B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2989" w:type="dxa"/>
                  <w:tcBorders>
                    <w:tl2br w:val="nil"/>
                    <w:tr2bl w:val="nil"/>
                  </w:tcBorders>
                  <w:noWrap w:val="0"/>
                  <w:vAlign w:val="center"/>
                </w:tcPr>
                <w:p w14:paraId="29B3C83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室内布置、基础减震、距离衰减</w:t>
                  </w:r>
                  <w:r>
                    <w:rPr>
                      <w:rFonts w:hint="default" w:ascii="Times New Roman" w:hAnsi="Times New Roman" w:eastAsia="宋体" w:cs="Times New Roman"/>
                      <w:color w:val="auto"/>
                      <w:sz w:val="21"/>
                      <w:szCs w:val="21"/>
                      <w:highlight w:val="none"/>
                      <w:lang w:eastAsia="zh-CN"/>
                    </w:rPr>
                    <w:t>。</w:t>
                  </w:r>
                </w:p>
              </w:tc>
              <w:tc>
                <w:tcPr>
                  <w:tcW w:w="1517" w:type="dxa"/>
                  <w:tcBorders>
                    <w:tl2br w:val="nil"/>
                    <w:tr2bl w:val="nil"/>
                  </w:tcBorders>
                  <w:noWrap w:val="0"/>
                  <w:vAlign w:val="center"/>
                </w:tcPr>
                <w:p w14:paraId="743B5A9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r>
            <w:tr w14:paraId="0DFF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dxa"/>
                  <w:vMerge w:val="continue"/>
                  <w:tcBorders>
                    <w:tl2br w:val="nil"/>
                    <w:tr2bl w:val="nil"/>
                  </w:tcBorders>
                  <w:noWrap w:val="0"/>
                  <w:vAlign w:val="center"/>
                </w:tcPr>
                <w:p w14:paraId="6C044EE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3" w:type="dxa"/>
                  <w:tcBorders>
                    <w:tl2br w:val="nil"/>
                    <w:tr2bl w:val="nil"/>
                  </w:tcBorders>
                  <w:noWrap w:val="0"/>
                  <w:vAlign w:val="center"/>
                </w:tcPr>
                <w:p w14:paraId="7368C1C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人员活动</w:t>
                  </w:r>
                </w:p>
              </w:tc>
              <w:tc>
                <w:tcPr>
                  <w:tcW w:w="2023" w:type="dxa"/>
                  <w:tcBorders>
                    <w:tl2br w:val="nil"/>
                    <w:tr2bl w:val="nil"/>
                  </w:tcBorders>
                  <w:noWrap w:val="0"/>
                  <w:vAlign w:val="center"/>
                </w:tcPr>
                <w:p w14:paraId="0DAF4D0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社会生活噪声</w:t>
                  </w:r>
                </w:p>
              </w:tc>
              <w:tc>
                <w:tcPr>
                  <w:tcW w:w="2989" w:type="dxa"/>
                  <w:tcBorders>
                    <w:tl2br w:val="nil"/>
                    <w:tr2bl w:val="nil"/>
                  </w:tcBorders>
                  <w:noWrap w:val="0"/>
                  <w:vAlign w:val="center"/>
                </w:tcPr>
                <w:p w14:paraId="162C939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距离衰减</w:t>
                  </w:r>
                </w:p>
              </w:tc>
              <w:tc>
                <w:tcPr>
                  <w:tcW w:w="1517" w:type="dxa"/>
                  <w:tcBorders>
                    <w:tl2br w:val="nil"/>
                    <w:tr2bl w:val="nil"/>
                  </w:tcBorders>
                  <w:noWrap w:val="0"/>
                  <w:vAlign w:val="center"/>
                </w:tcPr>
                <w:p w14:paraId="6F46D7B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间断</w:t>
                  </w:r>
                </w:p>
              </w:tc>
            </w:tr>
          </w:tbl>
          <w:p w14:paraId="26D1650C">
            <w:pPr>
              <w:pStyle w:val="7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三</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物料平衡</w:t>
            </w:r>
          </w:p>
          <w:p w14:paraId="26B67B18">
            <w:pPr>
              <w:spacing w:line="360" w:lineRule="auto"/>
              <w:ind w:firstLine="480" w:firstLineChars="200"/>
              <w:rPr>
                <w:rFonts w:hint="eastAsia"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本项目建设</w:t>
            </w:r>
            <w:r>
              <w:rPr>
                <w:rFonts w:hint="eastAsia" w:cs="Times New Roman"/>
                <w:color w:val="auto"/>
                <w:kern w:val="0"/>
                <w:sz w:val="24"/>
                <w:szCs w:val="24"/>
                <w:highlight w:val="none"/>
                <w:lang w:eastAsia="zh-CN"/>
              </w:rPr>
              <w:t>褐煤烘干提质</w:t>
            </w:r>
            <w:r>
              <w:rPr>
                <w:rFonts w:hint="default" w:ascii="Times New Roman" w:hAnsi="Times New Roman" w:eastAsia="宋体" w:cs="Times New Roman"/>
                <w:color w:val="auto"/>
                <w:kern w:val="0"/>
                <w:sz w:val="24"/>
                <w:szCs w:val="24"/>
                <w:highlight w:val="none"/>
              </w:rPr>
              <w:t>生产线。项目</w:t>
            </w:r>
            <w:r>
              <w:rPr>
                <w:rFonts w:hint="eastAsia" w:ascii="Times New Roman" w:hAnsi="Times New Roman" w:eastAsia="宋体" w:cs="Times New Roman"/>
                <w:color w:val="auto"/>
                <w:kern w:val="0"/>
                <w:sz w:val="24"/>
                <w:szCs w:val="24"/>
                <w:highlight w:val="none"/>
                <w:lang w:eastAsia="zh-CN"/>
              </w:rPr>
              <w:t>原料除尘器收集的粉尘</w:t>
            </w:r>
            <w:r>
              <w:rPr>
                <w:rFonts w:hint="default" w:ascii="Times New Roman" w:hAnsi="Times New Roman" w:eastAsia="宋体" w:cs="Times New Roman"/>
                <w:color w:val="auto"/>
                <w:kern w:val="0"/>
                <w:sz w:val="24"/>
                <w:szCs w:val="24"/>
                <w:highlight w:val="none"/>
              </w:rPr>
              <w:t>统一收集后作为</w:t>
            </w:r>
            <w:r>
              <w:rPr>
                <w:rFonts w:hint="eastAsia" w:ascii="Times New Roman" w:hAnsi="Times New Roman" w:eastAsia="宋体" w:cs="Times New Roman"/>
                <w:color w:val="auto"/>
                <w:kern w:val="0"/>
                <w:sz w:val="24"/>
                <w:szCs w:val="24"/>
                <w:highlight w:val="none"/>
                <w:lang w:eastAsia="zh-CN"/>
              </w:rPr>
              <w:t>原料返回原料工序；成品除尘器收集的粉尘、</w:t>
            </w:r>
            <w:r>
              <w:rPr>
                <w:rFonts w:hint="eastAsia" w:ascii="Times New Roman" w:hAnsi="Times New Roman" w:eastAsia="宋体" w:cs="Times New Roman"/>
                <w:color w:val="auto"/>
                <w:kern w:val="0"/>
                <w:sz w:val="24"/>
                <w:szCs w:val="24"/>
                <w:highlight w:val="none"/>
                <w:lang w:val="en-US" w:eastAsia="zh-CN"/>
              </w:rPr>
              <w:t>成品散装除尘器收集的粉尘</w:t>
            </w:r>
            <w:r>
              <w:rPr>
                <w:rFonts w:hint="default" w:ascii="Times New Roman" w:hAnsi="Times New Roman" w:eastAsia="宋体" w:cs="Times New Roman"/>
                <w:color w:val="auto"/>
                <w:kern w:val="0"/>
                <w:sz w:val="24"/>
                <w:szCs w:val="24"/>
                <w:highlight w:val="none"/>
              </w:rPr>
              <w:t>统一收集后作为成品送回储仓内发运外售</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rPr>
              <w:t>主要产出的物料为废气污染物及成品，其中废气污染物包括</w:t>
            </w:r>
            <w:r>
              <w:rPr>
                <w:rFonts w:hint="eastAsia" w:ascii="Times New Roman" w:hAnsi="Times New Roman" w:eastAsia="宋体" w:cs="Times New Roman"/>
                <w:color w:val="auto"/>
                <w:kern w:val="0"/>
                <w:sz w:val="24"/>
                <w:szCs w:val="24"/>
                <w:highlight w:val="none"/>
                <w:lang w:eastAsia="zh-CN"/>
              </w:rPr>
              <w:t>颗粒物</w:t>
            </w: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eastAsia="zh-CN"/>
              </w:rPr>
              <w:t>二氧化硫、氮氧化物、水蒸气等</w:t>
            </w:r>
            <w:r>
              <w:rPr>
                <w:rFonts w:hint="default" w:ascii="Times New Roman" w:hAnsi="Times New Roman" w:eastAsia="宋体" w:cs="Times New Roman"/>
                <w:color w:val="auto"/>
                <w:kern w:val="0"/>
                <w:sz w:val="24"/>
                <w:szCs w:val="24"/>
                <w:highlight w:val="none"/>
              </w:rPr>
              <w:t>。</w:t>
            </w:r>
          </w:p>
          <w:p w14:paraId="450C0B0E">
            <w:pPr>
              <w:keepNext w:val="0"/>
              <w:keepLines w:val="0"/>
              <w:pageBreakBefore w:val="0"/>
              <w:kinsoku/>
              <w:wordWrap/>
              <w:overflowPunct/>
              <w:topLinePunct w:val="0"/>
              <w:autoSpaceDE w:val="0"/>
              <w:autoSpaceDN w:val="0"/>
              <w:bidi w:val="0"/>
              <w:adjustRightInd/>
              <w:spacing w:before="0" w:after="0" w:line="360" w:lineRule="auto"/>
              <w:ind w:left="0" w:right="0" w:firstLine="480" w:firstLineChars="200"/>
              <w:textAlignment w:val="auto"/>
              <w:rPr>
                <w:rFonts w:hint="default" w:ascii="Times New Roman" w:hAnsi="Times New Roman" w:eastAsia="宋体" w:cs="Times New Roman"/>
                <w:b/>
                <w:bCs w:val="0"/>
                <w:color w:val="auto"/>
                <w:szCs w:val="21"/>
                <w:highlight w:val="none"/>
                <w:lang w:bidi="ar"/>
              </w:rPr>
            </w:pPr>
            <w:r>
              <w:rPr>
                <w:rFonts w:hint="default" w:ascii="Times New Roman" w:hAnsi="Times New Roman" w:eastAsia="宋体" w:cs="Times New Roman"/>
                <w:color w:val="auto"/>
                <w:sz w:val="24"/>
                <w:szCs w:val="24"/>
                <w:highlight w:val="none"/>
              </w:rPr>
              <w:t>本项目生产工艺物料平衡见表</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12。</w:t>
            </w:r>
          </w:p>
          <w:p w14:paraId="1AF1E28C">
            <w:pPr>
              <w:adjustRightInd w:val="0"/>
              <w:snapToGrid w:val="0"/>
              <w:spacing w:line="360" w:lineRule="auto"/>
              <w:jc w:val="center"/>
              <w:rPr>
                <w:rFonts w:hint="default"/>
                <w:color w:val="auto"/>
                <w:highlight w:val="none"/>
              </w:rPr>
            </w:pPr>
            <w:r>
              <w:rPr>
                <w:rFonts w:hint="default" w:ascii="Times New Roman" w:hAnsi="Times New Roman" w:eastAsia="宋体" w:cs="Times New Roman"/>
                <w:b/>
                <w:bCs w:val="0"/>
                <w:color w:val="auto"/>
                <w:szCs w:val="21"/>
                <w:highlight w:val="none"/>
                <w:lang w:bidi="ar"/>
              </w:rPr>
              <w:t>表2-</w:t>
            </w:r>
            <w:r>
              <w:rPr>
                <w:rFonts w:hint="eastAsia" w:cs="Times New Roman"/>
                <w:b/>
                <w:bCs w:val="0"/>
                <w:color w:val="auto"/>
                <w:szCs w:val="21"/>
                <w:highlight w:val="none"/>
                <w:lang w:val="en-US" w:eastAsia="zh-CN" w:bidi="ar"/>
              </w:rPr>
              <w:t>12</w:t>
            </w:r>
            <w:r>
              <w:rPr>
                <w:rFonts w:hint="default" w:ascii="Times New Roman" w:hAnsi="Times New Roman" w:eastAsia="宋体" w:cs="Times New Roman"/>
                <w:b/>
                <w:bCs w:val="0"/>
                <w:color w:val="auto"/>
                <w:szCs w:val="21"/>
                <w:highlight w:val="none"/>
                <w:lang w:bidi="ar"/>
              </w:rPr>
              <w:t xml:space="preserve">  </w:t>
            </w:r>
            <w:r>
              <w:rPr>
                <w:rFonts w:hint="eastAsia" w:cs="Times New Roman"/>
                <w:b/>
                <w:bCs w:val="0"/>
                <w:color w:val="auto"/>
                <w:szCs w:val="21"/>
                <w:highlight w:val="none"/>
                <w:lang w:eastAsia="zh-CN" w:bidi="ar"/>
              </w:rPr>
              <w:t>项目</w:t>
            </w:r>
            <w:r>
              <w:rPr>
                <w:rFonts w:hint="eastAsia"/>
                <w:b/>
                <w:color w:val="auto"/>
                <w:szCs w:val="21"/>
                <w:highlight w:val="none"/>
              </w:rPr>
              <w:t xml:space="preserve">生产线物料平衡表 </w:t>
            </w:r>
            <w:r>
              <w:rPr>
                <w:b/>
                <w:color w:val="auto"/>
                <w:szCs w:val="21"/>
                <w:highlight w:val="none"/>
              </w:rPr>
              <w:t xml:space="preserve"> </w:t>
            </w:r>
            <w:r>
              <w:rPr>
                <w:rFonts w:hint="eastAsia"/>
                <w:b/>
                <w:color w:val="auto"/>
                <w:szCs w:val="21"/>
                <w:highlight w:val="none"/>
              </w:rPr>
              <w:t>单位：t</w:t>
            </w:r>
            <w:r>
              <w:rPr>
                <w:b/>
                <w:color w:val="auto"/>
                <w:szCs w:val="21"/>
                <w:highlight w:val="none"/>
              </w:rPr>
              <w:t>/a</w:t>
            </w:r>
          </w:p>
          <w:tbl>
            <w:tblPr>
              <w:tblStyle w:val="27"/>
              <w:tblW w:w="8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7"/>
              <w:gridCol w:w="1520"/>
              <w:gridCol w:w="686"/>
              <w:gridCol w:w="1035"/>
              <w:gridCol w:w="1493"/>
              <w:gridCol w:w="1600"/>
            </w:tblGrid>
            <w:tr w14:paraId="2A67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7" w:type="dxa"/>
                  <w:gridSpan w:val="2"/>
                  <w:tcBorders>
                    <w:tl2br w:val="nil"/>
                    <w:tr2bl w:val="nil"/>
                  </w:tcBorders>
                  <w:vAlign w:val="center"/>
                </w:tcPr>
                <w:p w14:paraId="04CDFA72">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投入</w:t>
                  </w:r>
                </w:p>
              </w:tc>
              <w:tc>
                <w:tcPr>
                  <w:tcW w:w="4814" w:type="dxa"/>
                  <w:gridSpan w:val="4"/>
                  <w:tcBorders>
                    <w:tl2br w:val="nil"/>
                    <w:tr2bl w:val="nil"/>
                  </w:tcBorders>
                  <w:vAlign w:val="center"/>
                </w:tcPr>
                <w:p w14:paraId="4DD07ACD">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产出</w:t>
                  </w:r>
                </w:p>
              </w:tc>
            </w:tr>
            <w:tr w14:paraId="1EA5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dxa"/>
                  <w:tcBorders>
                    <w:tl2br w:val="nil"/>
                    <w:tr2bl w:val="nil"/>
                  </w:tcBorders>
                  <w:vAlign w:val="center"/>
                </w:tcPr>
                <w:p w14:paraId="49ACFB59">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物料</w:t>
                  </w:r>
                </w:p>
              </w:tc>
              <w:tc>
                <w:tcPr>
                  <w:tcW w:w="1520" w:type="dxa"/>
                  <w:tcBorders>
                    <w:tl2br w:val="nil"/>
                    <w:tr2bl w:val="nil"/>
                  </w:tcBorders>
                  <w:vAlign w:val="center"/>
                </w:tcPr>
                <w:p w14:paraId="736190B5">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数量（t/a）</w:t>
                  </w:r>
                </w:p>
              </w:tc>
              <w:tc>
                <w:tcPr>
                  <w:tcW w:w="686" w:type="dxa"/>
                  <w:tcBorders>
                    <w:tl2br w:val="nil"/>
                    <w:tr2bl w:val="nil"/>
                  </w:tcBorders>
                  <w:vAlign w:val="center"/>
                </w:tcPr>
                <w:p w14:paraId="118B4B86">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2528" w:type="dxa"/>
                  <w:gridSpan w:val="2"/>
                  <w:tcBorders>
                    <w:tl2br w:val="nil"/>
                    <w:tr2bl w:val="nil"/>
                  </w:tcBorders>
                  <w:vAlign w:val="center"/>
                </w:tcPr>
                <w:p w14:paraId="178C6F9F">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1600" w:type="dxa"/>
                  <w:tcBorders>
                    <w:tl2br w:val="nil"/>
                    <w:tr2bl w:val="nil"/>
                  </w:tcBorders>
                  <w:vAlign w:val="center"/>
                </w:tcPr>
                <w:p w14:paraId="34B59DDA">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产生量（t/a）</w:t>
                  </w:r>
                </w:p>
              </w:tc>
            </w:tr>
            <w:tr w14:paraId="1E63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007" w:type="dxa"/>
                  <w:vMerge w:val="restart"/>
                  <w:tcBorders>
                    <w:tl2br w:val="nil"/>
                    <w:tr2bl w:val="nil"/>
                  </w:tcBorders>
                  <w:vAlign w:val="center"/>
                </w:tcPr>
                <w:p w14:paraId="74FBC3EC">
                  <w:pPr>
                    <w:keepNext w:val="0"/>
                    <w:keepLines w:val="0"/>
                    <w:widowControl/>
                    <w:suppressLineNumbers w:val="0"/>
                    <w:jc w:val="center"/>
                    <w:textAlignment w:val="center"/>
                    <w:rPr>
                      <w:rFonts w:hint="default"/>
                      <w:color w:val="auto"/>
                      <w:szCs w:val="21"/>
                      <w:highlight w:val="none"/>
                    </w:rPr>
                  </w:pPr>
                  <w:r>
                    <w:rPr>
                      <w:rFonts w:hint="eastAsia"/>
                      <w:color w:val="auto"/>
                      <w:szCs w:val="21"/>
                      <w:highlight w:val="none"/>
                    </w:rPr>
                    <w:t>褐煤</w:t>
                  </w:r>
                </w:p>
              </w:tc>
              <w:tc>
                <w:tcPr>
                  <w:tcW w:w="1520" w:type="dxa"/>
                  <w:vMerge w:val="restart"/>
                  <w:tcBorders>
                    <w:tl2br w:val="nil"/>
                    <w:tr2bl w:val="nil"/>
                  </w:tcBorders>
                  <w:vAlign w:val="center"/>
                </w:tcPr>
                <w:p w14:paraId="76C44F7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1000000</w:t>
                  </w:r>
                </w:p>
              </w:tc>
              <w:tc>
                <w:tcPr>
                  <w:tcW w:w="686" w:type="dxa"/>
                  <w:vMerge w:val="restart"/>
                  <w:tcBorders>
                    <w:tl2br w:val="nil"/>
                    <w:tr2bl w:val="nil"/>
                  </w:tcBorders>
                  <w:vAlign w:val="center"/>
                </w:tcPr>
                <w:p w14:paraId="1044F3E6">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废气</w:t>
                  </w:r>
                </w:p>
              </w:tc>
              <w:tc>
                <w:tcPr>
                  <w:tcW w:w="1035" w:type="dxa"/>
                  <w:vMerge w:val="restart"/>
                  <w:tcBorders>
                    <w:tl2br w:val="nil"/>
                    <w:tr2bl w:val="nil"/>
                  </w:tcBorders>
                  <w:vAlign w:val="center"/>
                </w:tcPr>
                <w:p w14:paraId="1DA3215E">
                  <w:pPr>
                    <w:adjustRightInd w:val="0"/>
                    <w:snapToGrid w:val="0"/>
                    <w:jc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val="en-US" w:eastAsia="zh-CN"/>
                    </w:rPr>
                    <w:t>颗粒物</w:t>
                  </w:r>
                </w:p>
              </w:tc>
              <w:tc>
                <w:tcPr>
                  <w:tcW w:w="1493" w:type="dxa"/>
                  <w:tcBorders>
                    <w:tl2br w:val="nil"/>
                    <w:tr2bl w:val="nil"/>
                  </w:tcBorders>
                  <w:vAlign w:val="center"/>
                </w:tcPr>
                <w:p w14:paraId="122050BB">
                  <w:pPr>
                    <w:adjustRightInd w:val="0"/>
                    <w:snapToGrid w:val="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有组织</w:t>
                  </w:r>
                  <w:r>
                    <w:rPr>
                      <w:rFonts w:hint="eastAsia" w:cs="Times New Roman"/>
                      <w:bCs/>
                      <w:color w:val="auto"/>
                      <w:sz w:val="21"/>
                      <w:szCs w:val="21"/>
                      <w:highlight w:val="none"/>
                      <w:lang w:eastAsia="zh-CN"/>
                    </w:rPr>
                    <w:t>（排放量）</w:t>
                  </w:r>
                </w:p>
              </w:tc>
              <w:tc>
                <w:tcPr>
                  <w:tcW w:w="1600" w:type="dxa"/>
                  <w:tcBorders>
                    <w:tl2br w:val="nil"/>
                    <w:tr2bl w:val="nil"/>
                  </w:tcBorders>
                  <w:vAlign w:val="center"/>
                </w:tcPr>
                <w:p w14:paraId="46250FA1">
                  <w:pPr>
                    <w:adjustRightInd w:val="0"/>
                    <w:snapToGrid w:val="0"/>
                    <w:jc w:val="center"/>
                    <w:rPr>
                      <w:rFonts w:hint="default" w:ascii="Times New Roman" w:hAnsi="Times New Roman" w:eastAsia="宋体" w:cs="Times New Roman"/>
                      <w:bCs/>
                      <w:color w:val="auto"/>
                      <w:sz w:val="21"/>
                      <w:szCs w:val="21"/>
                      <w:highlight w:val="yellow"/>
                      <w:lang w:val="en-US" w:eastAsia="zh-CN"/>
                    </w:rPr>
                  </w:pPr>
                  <w:r>
                    <w:rPr>
                      <w:rFonts w:hint="eastAsia" w:cs="Times New Roman"/>
                      <w:bCs/>
                      <w:color w:val="auto"/>
                      <w:sz w:val="21"/>
                      <w:szCs w:val="21"/>
                      <w:highlight w:val="none"/>
                      <w:lang w:val="en-US" w:eastAsia="zh-CN"/>
                    </w:rPr>
                    <w:t>0.6616</w:t>
                  </w:r>
                </w:p>
              </w:tc>
            </w:tr>
            <w:tr w14:paraId="737F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dxa"/>
                  <w:vMerge w:val="continue"/>
                  <w:tcBorders>
                    <w:tl2br w:val="nil"/>
                    <w:tr2bl w:val="nil"/>
                  </w:tcBorders>
                  <w:vAlign w:val="center"/>
                </w:tcPr>
                <w:p w14:paraId="53E551E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p>
              </w:tc>
              <w:tc>
                <w:tcPr>
                  <w:tcW w:w="1520" w:type="dxa"/>
                  <w:vMerge w:val="continue"/>
                  <w:tcBorders>
                    <w:tl2br w:val="nil"/>
                    <w:tr2bl w:val="nil"/>
                  </w:tcBorders>
                  <w:vAlign w:val="center"/>
                </w:tcPr>
                <w:p w14:paraId="4489BA7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rPr>
                  </w:pPr>
                </w:p>
              </w:tc>
              <w:tc>
                <w:tcPr>
                  <w:tcW w:w="686" w:type="dxa"/>
                  <w:vMerge w:val="continue"/>
                  <w:tcBorders>
                    <w:tl2br w:val="nil"/>
                    <w:tr2bl w:val="nil"/>
                  </w:tcBorders>
                  <w:vAlign w:val="center"/>
                </w:tcPr>
                <w:p w14:paraId="406C257B">
                  <w:pPr>
                    <w:adjustRightInd w:val="0"/>
                    <w:snapToGrid w:val="0"/>
                    <w:jc w:val="center"/>
                    <w:rPr>
                      <w:rFonts w:hint="default" w:ascii="Times New Roman" w:hAnsi="Times New Roman" w:eastAsia="宋体" w:cs="Times New Roman"/>
                      <w:color w:val="auto"/>
                      <w:sz w:val="21"/>
                      <w:szCs w:val="21"/>
                      <w:highlight w:val="none"/>
                    </w:rPr>
                  </w:pPr>
                </w:p>
              </w:tc>
              <w:tc>
                <w:tcPr>
                  <w:tcW w:w="1035" w:type="dxa"/>
                  <w:vMerge w:val="continue"/>
                  <w:tcBorders>
                    <w:tl2br w:val="nil"/>
                    <w:tr2bl w:val="nil"/>
                  </w:tcBorders>
                  <w:vAlign w:val="center"/>
                </w:tcPr>
                <w:p w14:paraId="443C5E78">
                  <w:pPr>
                    <w:adjustRightInd w:val="0"/>
                    <w:snapToGrid w:val="0"/>
                    <w:jc w:val="center"/>
                    <w:rPr>
                      <w:rFonts w:hint="default" w:ascii="Times New Roman" w:hAnsi="Times New Roman" w:eastAsia="宋体" w:cs="Times New Roman"/>
                      <w:color w:val="auto"/>
                      <w:sz w:val="21"/>
                      <w:szCs w:val="21"/>
                      <w:highlight w:val="none"/>
                    </w:rPr>
                  </w:pPr>
                </w:p>
              </w:tc>
              <w:tc>
                <w:tcPr>
                  <w:tcW w:w="1493" w:type="dxa"/>
                  <w:tcBorders>
                    <w:tl2br w:val="nil"/>
                    <w:tr2bl w:val="nil"/>
                  </w:tcBorders>
                  <w:vAlign w:val="center"/>
                </w:tcPr>
                <w:p w14:paraId="079B8079">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无组织</w:t>
                  </w:r>
                </w:p>
              </w:tc>
              <w:tc>
                <w:tcPr>
                  <w:tcW w:w="1600" w:type="dxa"/>
                  <w:tcBorders>
                    <w:tl2br w:val="nil"/>
                    <w:tr2bl w:val="nil"/>
                  </w:tcBorders>
                  <w:vAlign w:val="center"/>
                </w:tcPr>
                <w:p w14:paraId="6FE50D62">
                  <w:pPr>
                    <w:adjustRightInd w:val="0"/>
                    <w:snapToGrid w:val="0"/>
                    <w:jc w:val="center"/>
                    <w:rPr>
                      <w:rFonts w:hint="default" w:ascii="Times New Roman" w:hAnsi="Times New Roman" w:eastAsia="宋体" w:cs="Times New Roman"/>
                      <w:bCs/>
                      <w:color w:val="auto"/>
                      <w:sz w:val="21"/>
                      <w:szCs w:val="21"/>
                      <w:highlight w:val="yellow"/>
                      <w:lang w:val="en-US" w:eastAsia="zh-CN"/>
                    </w:rPr>
                  </w:pPr>
                  <w:r>
                    <w:rPr>
                      <w:rFonts w:hint="eastAsia" w:cs="Times New Roman"/>
                      <w:bCs/>
                      <w:color w:val="auto"/>
                      <w:sz w:val="21"/>
                      <w:szCs w:val="21"/>
                      <w:highlight w:val="none"/>
                      <w:lang w:val="en-US" w:eastAsia="zh-CN"/>
                    </w:rPr>
                    <w:t>29.2743</w:t>
                  </w:r>
                </w:p>
              </w:tc>
            </w:tr>
            <w:tr w14:paraId="1362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007" w:type="dxa"/>
                  <w:vMerge w:val="continue"/>
                  <w:tcBorders>
                    <w:tl2br w:val="nil"/>
                    <w:tr2bl w:val="nil"/>
                  </w:tcBorders>
                  <w:vAlign w:val="center"/>
                </w:tcPr>
                <w:p w14:paraId="04D281C3">
                  <w:pPr>
                    <w:adjustRightInd w:val="0"/>
                    <w:snapToGrid w:val="0"/>
                    <w:jc w:val="center"/>
                    <w:rPr>
                      <w:color w:val="auto"/>
                      <w:highlight w:val="none"/>
                    </w:rPr>
                  </w:pPr>
                </w:p>
              </w:tc>
              <w:tc>
                <w:tcPr>
                  <w:tcW w:w="1520" w:type="dxa"/>
                  <w:vMerge w:val="continue"/>
                  <w:tcBorders>
                    <w:tl2br w:val="nil"/>
                    <w:tr2bl w:val="nil"/>
                  </w:tcBorders>
                  <w:vAlign w:val="center"/>
                </w:tcPr>
                <w:p w14:paraId="14625488">
                  <w:pPr>
                    <w:adjustRightInd w:val="0"/>
                    <w:snapToGrid w:val="0"/>
                    <w:jc w:val="center"/>
                    <w:rPr>
                      <w:color w:val="auto"/>
                      <w:highlight w:val="none"/>
                    </w:rPr>
                  </w:pPr>
                </w:p>
              </w:tc>
              <w:tc>
                <w:tcPr>
                  <w:tcW w:w="686" w:type="dxa"/>
                  <w:vMerge w:val="continue"/>
                  <w:tcBorders>
                    <w:tl2br w:val="nil"/>
                    <w:tr2bl w:val="nil"/>
                  </w:tcBorders>
                  <w:vAlign w:val="center"/>
                </w:tcPr>
                <w:p w14:paraId="7B56DF63">
                  <w:pPr>
                    <w:adjustRightInd w:val="0"/>
                    <w:snapToGrid w:val="0"/>
                    <w:jc w:val="center"/>
                    <w:rPr>
                      <w:color w:val="auto"/>
                      <w:highlight w:val="none"/>
                    </w:rPr>
                  </w:pPr>
                </w:p>
              </w:tc>
              <w:tc>
                <w:tcPr>
                  <w:tcW w:w="2528" w:type="dxa"/>
                  <w:gridSpan w:val="2"/>
                  <w:tcBorders>
                    <w:tl2br w:val="nil"/>
                    <w:tr2bl w:val="nil"/>
                  </w:tcBorders>
                  <w:vAlign w:val="center"/>
                </w:tcPr>
                <w:p w14:paraId="632F4BB0">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水蒸气</w:t>
                  </w:r>
                </w:p>
              </w:tc>
              <w:tc>
                <w:tcPr>
                  <w:tcW w:w="1600" w:type="dxa"/>
                  <w:tcBorders>
                    <w:tl2br w:val="nil"/>
                    <w:tr2bl w:val="nil"/>
                  </w:tcBorders>
                  <w:vAlign w:val="center"/>
                </w:tcPr>
                <w:p w14:paraId="390BDF3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b w:val="0"/>
                      <w:bCs w:val="0"/>
                      <w:color w:val="auto"/>
                      <w:sz w:val="21"/>
                      <w:szCs w:val="21"/>
                      <w:highlight w:val="none"/>
                      <w:vertAlign w:val="baseline"/>
                      <w:lang w:val="en-US" w:eastAsia="zh-CN"/>
                    </w:rPr>
                    <w:t>285731.2</w:t>
                  </w:r>
                </w:p>
              </w:tc>
            </w:tr>
            <w:tr w14:paraId="3966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007" w:type="dxa"/>
                  <w:vMerge w:val="continue"/>
                  <w:tcBorders>
                    <w:tl2br w:val="nil"/>
                    <w:tr2bl w:val="nil"/>
                  </w:tcBorders>
                  <w:vAlign w:val="center"/>
                </w:tcPr>
                <w:p w14:paraId="1323E14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rPr>
                  </w:pPr>
                </w:p>
              </w:tc>
              <w:tc>
                <w:tcPr>
                  <w:tcW w:w="1520" w:type="dxa"/>
                  <w:vMerge w:val="continue"/>
                  <w:tcBorders>
                    <w:tl2br w:val="nil"/>
                    <w:tr2bl w:val="nil"/>
                  </w:tcBorders>
                  <w:vAlign w:val="center"/>
                </w:tcPr>
                <w:p w14:paraId="6A04F3E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rPr>
                  </w:pPr>
                </w:p>
              </w:tc>
              <w:tc>
                <w:tcPr>
                  <w:tcW w:w="686" w:type="dxa"/>
                  <w:vMerge w:val="restart"/>
                  <w:tcBorders>
                    <w:tl2br w:val="nil"/>
                    <w:tr2bl w:val="nil"/>
                  </w:tcBorders>
                  <w:vAlign w:val="center"/>
                </w:tcPr>
                <w:p w14:paraId="0D14D555">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成品</w:t>
                  </w:r>
                </w:p>
              </w:tc>
              <w:tc>
                <w:tcPr>
                  <w:tcW w:w="2528" w:type="dxa"/>
                  <w:gridSpan w:val="2"/>
                  <w:tcBorders>
                    <w:tl2br w:val="nil"/>
                    <w:tr2bl w:val="nil"/>
                  </w:tcBorders>
                  <w:vAlign w:val="center"/>
                </w:tcPr>
                <w:p w14:paraId="23BC7CEB">
                  <w:pPr>
                    <w:keepNext w:val="0"/>
                    <w:keepLines w:val="0"/>
                    <w:widowControl/>
                    <w:suppressLineNumbers w:val="0"/>
                    <w:jc w:val="center"/>
                    <w:textAlignment w:val="center"/>
                    <w:rPr>
                      <w:rFonts w:hint="default"/>
                      <w:color w:val="auto"/>
                      <w:sz w:val="21"/>
                      <w:szCs w:val="21"/>
                      <w:highlight w:val="none"/>
                      <w:lang w:val="en-US" w:eastAsia="zh-CN"/>
                    </w:rPr>
                  </w:pPr>
                  <w:r>
                    <w:rPr>
                      <w:rFonts w:hint="eastAsia" w:cs="Times New Roman"/>
                      <w:bCs/>
                      <w:color w:val="auto"/>
                      <w:sz w:val="21"/>
                      <w:szCs w:val="21"/>
                      <w:highlight w:val="none"/>
                      <w:lang w:val="en-US" w:eastAsia="zh-CN"/>
                    </w:rPr>
                    <w:t>优质褐煤</w:t>
                  </w:r>
                  <w:r>
                    <w:rPr>
                      <w:rFonts w:hint="eastAsia"/>
                      <w:color w:val="auto"/>
                      <w:sz w:val="21"/>
                      <w:szCs w:val="21"/>
                      <w:highlight w:val="none"/>
                      <w:lang w:val="en-US" w:eastAsia="zh-CN"/>
                    </w:rPr>
                    <w:t>产品</w:t>
                  </w:r>
                </w:p>
              </w:tc>
              <w:tc>
                <w:tcPr>
                  <w:tcW w:w="1600" w:type="dxa"/>
                  <w:tcBorders>
                    <w:tl2br w:val="nil"/>
                    <w:tr2bl w:val="nil"/>
                  </w:tcBorders>
                  <w:vAlign w:val="center"/>
                </w:tcPr>
                <w:p w14:paraId="4B5D9D0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714074.1223</w:t>
                  </w:r>
                </w:p>
              </w:tc>
            </w:tr>
            <w:tr w14:paraId="06EA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007" w:type="dxa"/>
                  <w:vMerge w:val="continue"/>
                  <w:tcBorders>
                    <w:tl2br w:val="nil"/>
                    <w:tr2bl w:val="nil"/>
                  </w:tcBorders>
                  <w:vAlign w:val="center"/>
                </w:tcPr>
                <w:p w14:paraId="32376D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20" w:type="dxa"/>
                  <w:vMerge w:val="continue"/>
                  <w:tcBorders>
                    <w:tl2br w:val="nil"/>
                    <w:tr2bl w:val="nil"/>
                  </w:tcBorders>
                  <w:vAlign w:val="center"/>
                </w:tcPr>
                <w:p w14:paraId="03066A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6" w:type="dxa"/>
                  <w:vMerge w:val="restart"/>
                  <w:tcBorders>
                    <w:tl2br w:val="nil"/>
                    <w:tr2bl w:val="nil"/>
                  </w:tcBorders>
                  <w:vAlign w:val="center"/>
                </w:tcPr>
                <w:p w14:paraId="10382910">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固废</w:t>
                  </w:r>
                </w:p>
              </w:tc>
              <w:tc>
                <w:tcPr>
                  <w:tcW w:w="2528" w:type="dxa"/>
                  <w:gridSpan w:val="2"/>
                  <w:tcBorders>
                    <w:tl2br w:val="nil"/>
                    <w:tr2bl w:val="nil"/>
                  </w:tcBorders>
                  <w:vAlign w:val="center"/>
                </w:tcPr>
                <w:p w14:paraId="1889DECC">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原料除尘器收集的粉尘</w:t>
                  </w:r>
                </w:p>
              </w:tc>
              <w:tc>
                <w:tcPr>
                  <w:tcW w:w="1600" w:type="dxa"/>
                  <w:tcBorders>
                    <w:tl2br w:val="nil"/>
                    <w:tr2bl w:val="nil"/>
                  </w:tcBorders>
                  <w:vAlign w:val="center"/>
                </w:tcPr>
                <w:p w14:paraId="7B0CDD2A">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99.8988</w:t>
                  </w:r>
                </w:p>
              </w:tc>
            </w:tr>
            <w:tr w14:paraId="53E0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007" w:type="dxa"/>
                  <w:vMerge w:val="continue"/>
                  <w:tcBorders>
                    <w:tl2br w:val="nil"/>
                    <w:tr2bl w:val="nil"/>
                  </w:tcBorders>
                  <w:vAlign w:val="center"/>
                </w:tcPr>
                <w:p w14:paraId="26DFA165">
                  <w:pPr>
                    <w:adjustRightInd w:val="0"/>
                    <w:snapToGrid w:val="0"/>
                    <w:jc w:val="center"/>
                    <w:rPr>
                      <w:color w:val="auto"/>
                      <w:highlight w:val="none"/>
                    </w:rPr>
                  </w:pPr>
                </w:p>
              </w:tc>
              <w:tc>
                <w:tcPr>
                  <w:tcW w:w="1520" w:type="dxa"/>
                  <w:vMerge w:val="continue"/>
                  <w:tcBorders>
                    <w:tl2br w:val="nil"/>
                    <w:tr2bl w:val="nil"/>
                  </w:tcBorders>
                  <w:vAlign w:val="center"/>
                </w:tcPr>
                <w:p w14:paraId="15A30C5D">
                  <w:pPr>
                    <w:adjustRightInd w:val="0"/>
                    <w:snapToGrid w:val="0"/>
                    <w:jc w:val="center"/>
                    <w:rPr>
                      <w:color w:val="auto"/>
                      <w:highlight w:val="none"/>
                    </w:rPr>
                  </w:pPr>
                </w:p>
              </w:tc>
              <w:tc>
                <w:tcPr>
                  <w:tcW w:w="686" w:type="dxa"/>
                  <w:vMerge w:val="continue"/>
                  <w:tcBorders>
                    <w:tl2br w:val="nil"/>
                    <w:tr2bl w:val="nil"/>
                  </w:tcBorders>
                  <w:vAlign w:val="center"/>
                </w:tcPr>
                <w:p w14:paraId="29B55046">
                  <w:pPr>
                    <w:adjustRightInd w:val="0"/>
                    <w:snapToGrid w:val="0"/>
                    <w:jc w:val="center"/>
                    <w:rPr>
                      <w:color w:val="auto"/>
                      <w:highlight w:val="none"/>
                    </w:rPr>
                  </w:pPr>
                </w:p>
              </w:tc>
              <w:tc>
                <w:tcPr>
                  <w:tcW w:w="2528" w:type="dxa"/>
                  <w:gridSpan w:val="2"/>
                  <w:tcBorders>
                    <w:tl2br w:val="nil"/>
                    <w:tr2bl w:val="nil"/>
                  </w:tcBorders>
                  <w:vAlign w:val="center"/>
                </w:tcPr>
                <w:p w14:paraId="468B9398">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成品除尘器收集的粉尘</w:t>
                  </w:r>
                </w:p>
              </w:tc>
              <w:tc>
                <w:tcPr>
                  <w:tcW w:w="1600" w:type="dxa"/>
                  <w:tcBorders>
                    <w:tl2br w:val="nil"/>
                    <w:tr2bl w:val="nil"/>
                  </w:tcBorders>
                  <w:vAlign w:val="center"/>
                </w:tcPr>
                <w:p w14:paraId="3778DB9D">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 w:val="0"/>
                      <w:bCs w:val="0"/>
                      <w:color w:val="auto"/>
                      <w:sz w:val="21"/>
                      <w:szCs w:val="21"/>
                      <w:highlight w:val="none"/>
                      <w:lang w:val="en-US" w:eastAsia="zh-CN"/>
                    </w:rPr>
                    <w:t>59.3049</w:t>
                  </w:r>
                </w:p>
              </w:tc>
            </w:tr>
            <w:tr w14:paraId="2AF0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007" w:type="dxa"/>
                  <w:vMerge w:val="continue"/>
                  <w:tcBorders>
                    <w:tl2br w:val="nil"/>
                    <w:tr2bl w:val="nil"/>
                  </w:tcBorders>
                  <w:vAlign w:val="center"/>
                </w:tcPr>
                <w:p w14:paraId="656668DB">
                  <w:pPr>
                    <w:adjustRightInd w:val="0"/>
                    <w:snapToGrid w:val="0"/>
                    <w:jc w:val="center"/>
                    <w:rPr>
                      <w:color w:val="auto"/>
                    </w:rPr>
                  </w:pPr>
                </w:p>
              </w:tc>
              <w:tc>
                <w:tcPr>
                  <w:tcW w:w="1520" w:type="dxa"/>
                  <w:vMerge w:val="continue"/>
                  <w:tcBorders>
                    <w:tl2br w:val="nil"/>
                    <w:tr2bl w:val="nil"/>
                  </w:tcBorders>
                  <w:vAlign w:val="center"/>
                </w:tcPr>
                <w:p w14:paraId="4DF57624">
                  <w:pPr>
                    <w:adjustRightInd w:val="0"/>
                    <w:snapToGrid w:val="0"/>
                    <w:jc w:val="center"/>
                    <w:rPr>
                      <w:color w:val="auto"/>
                    </w:rPr>
                  </w:pPr>
                </w:p>
              </w:tc>
              <w:tc>
                <w:tcPr>
                  <w:tcW w:w="686" w:type="dxa"/>
                  <w:vMerge w:val="continue"/>
                  <w:tcBorders>
                    <w:tl2br w:val="nil"/>
                    <w:tr2bl w:val="nil"/>
                  </w:tcBorders>
                  <w:vAlign w:val="center"/>
                </w:tcPr>
                <w:p w14:paraId="7E8A1708">
                  <w:pPr>
                    <w:adjustRightInd w:val="0"/>
                    <w:snapToGrid w:val="0"/>
                    <w:jc w:val="center"/>
                    <w:rPr>
                      <w:color w:val="auto"/>
                    </w:rPr>
                  </w:pPr>
                </w:p>
              </w:tc>
              <w:tc>
                <w:tcPr>
                  <w:tcW w:w="2528" w:type="dxa"/>
                  <w:gridSpan w:val="2"/>
                  <w:tcBorders>
                    <w:tl2br w:val="nil"/>
                    <w:tr2bl w:val="nil"/>
                  </w:tcBorders>
                  <w:vAlign w:val="center"/>
                </w:tcPr>
                <w:p w14:paraId="51183911">
                  <w:pPr>
                    <w:adjustRightInd w:val="0"/>
                    <w:snapToGrid w:val="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成品散装除尘器收集的粉尘</w:t>
                  </w:r>
                </w:p>
              </w:tc>
              <w:tc>
                <w:tcPr>
                  <w:tcW w:w="1600" w:type="dxa"/>
                  <w:tcBorders>
                    <w:tl2br w:val="nil"/>
                    <w:tr2bl w:val="nil"/>
                  </w:tcBorders>
                  <w:vAlign w:val="center"/>
                </w:tcPr>
                <w:p w14:paraId="5E617EB9">
                  <w:pPr>
                    <w:adjustRightInd w:val="0"/>
                    <w:snapToGrid w:val="0"/>
                    <w:jc w:val="center"/>
                    <w:rPr>
                      <w:rFonts w:hint="eastAsia" w:ascii="Times New Roman" w:hAnsi="Times New Roman" w:eastAsia="宋体" w:cs="Times New Roman"/>
                      <w:bCs/>
                      <w:color w:val="auto"/>
                      <w:sz w:val="21"/>
                      <w:szCs w:val="21"/>
                      <w:highlight w:val="none"/>
                      <w:lang w:val="en-US" w:eastAsia="zh-CN"/>
                    </w:rPr>
                  </w:pPr>
                  <w:r>
                    <w:rPr>
                      <w:rFonts w:hint="eastAsia" w:cs="Times New Roman"/>
                      <w:b w:val="0"/>
                      <w:bCs w:val="0"/>
                      <w:color w:val="auto"/>
                      <w:sz w:val="21"/>
                      <w:szCs w:val="21"/>
                      <w:highlight w:val="none"/>
                      <w:lang w:val="en-US" w:eastAsia="zh-CN"/>
                    </w:rPr>
                    <w:t>5.5382</w:t>
                  </w:r>
                </w:p>
              </w:tc>
            </w:tr>
            <w:tr w14:paraId="5546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2007" w:type="dxa"/>
                  <w:vMerge w:val="restart"/>
                  <w:tcBorders>
                    <w:tl2br w:val="nil"/>
                    <w:tr2bl w:val="nil"/>
                  </w:tcBorders>
                  <w:vAlign w:val="center"/>
                </w:tcPr>
                <w:p w14:paraId="15FEDB5B">
                  <w:pPr>
                    <w:adjustRightInd w:val="0"/>
                    <w:snapToGrid w:val="0"/>
                    <w:jc w:val="center"/>
                    <w:rPr>
                      <w:rFonts w:hint="eastAsia" w:eastAsia="宋体"/>
                      <w:color w:val="auto"/>
                      <w:highlight w:val="none"/>
                      <w:lang w:eastAsia="zh-CN"/>
                    </w:rPr>
                  </w:pPr>
                  <w:r>
                    <w:rPr>
                      <w:rFonts w:hint="eastAsia"/>
                      <w:color w:val="auto"/>
                      <w:szCs w:val="21"/>
                      <w:highlight w:val="none"/>
                      <w:lang w:val="en-US" w:eastAsia="zh-CN"/>
                    </w:rPr>
                    <w:t>生物质颗粒</w:t>
                  </w:r>
                  <w:r>
                    <w:rPr>
                      <w:rFonts w:hint="eastAsia"/>
                      <w:color w:val="auto"/>
                      <w:szCs w:val="21"/>
                      <w:highlight w:val="none"/>
                      <w:lang w:eastAsia="zh-CN"/>
                    </w:rPr>
                    <w:t>燃料</w:t>
                  </w:r>
                </w:p>
              </w:tc>
              <w:tc>
                <w:tcPr>
                  <w:tcW w:w="1520" w:type="dxa"/>
                  <w:vMerge w:val="restart"/>
                  <w:tcBorders>
                    <w:tl2br w:val="nil"/>
                    <w:tr2bl w:val="nil"/>
                  </w:tcBorders>
                  <w:vAlign w:val="center"/>
                </w:tcPr>
                <w:p w14:paraId="469A8CCB">
                  <w:pPr>
                    <w:adjustRightInd w:val="0"/>
                    <w:snapToGrid w:val="0"/>
                    <w:jc w:val="center"/>
                    <w:rPr>
                      <w:rFonts w:hint="default" w:eastAsia="宋体"/>
                      <w:color w:val="auto"/>
                      <w:sz w:val="21"/>
                      <w:szCs w:val="21"/>
                      <w:highlight w:val="none"/>
                      <w:lang w:val="en-US" w:eastAsia="zh-CN"/>
                    </w:rPr>
                  </w:pPr>
                  <w:r>
                    <w:rPr>
                      <w:rFonts w:hint="eastAsia" w:cs="Times New Roman"/>
                      <w:color w:val="auto"/>
                      <w:kern w:val="2"/>
                      <w:sz w:val="21"/>
                      <w:szCs w:val="21"/>
                      <w:highlight w:val="none"/>
                      <w:lang w:val="en-US" w:eastAsia="zh-CN" w:bidi="ar-SA"/>
                    </w:rPr>
                    <w:t>36461.6448</w:t>
                  </w:r>
                </w:p>
              </w:tc>
              <w:tc>
                <w:tcPr>
                  <w:tcW w:w="686" w:type="dxa"/>
                  <w:vMerge w:val="restart"/>
                  <w:tcBorders>
                    <w:tl2br w:val="nil"/>
                    <w:tr2bl w:val="nil"/>
                  </w:tcBorders>
                  <w:vAlign w:val="center"/>
                </w:tcPr>
                <w:p w14:paraId="25464A5B">
                  <w:pPr>
                    <w:adjustRightInd w:val="0"/>
                    <w:snapToGrid w:val="0"/>
                    <w:jc w:val="center"/>
                    <w:rPr>
                      <w:color w:val="auto"/>
                      <w:highlight w:val="none"/>
                    </w:rPr>
                  </w:pPr>
                  <w:r>
                    <w:rPr>
                      <w:rFonts w:hint="default" w:ascii="Times New Roman" w:hAnsi="Times New Roman" w:eastAsia="宋体" w:cs="Times New Roman"/>
                      <w:bCs/>
                      <w:color w:val="auto"/>
                      <w:sz w:val="21"/>
                      <w:szCs w:val="21"/>
                      <w:highlight w:val="none"/>
                    </w:rPr>
                    <w:t>废气</w:t>
                  </w:r>
                </w:p>
              </w:tc>
              <w:tc>
                <w:tcPr>
                  <w:tcW w:w="2528" w:type="dxa"/>
                  <w:gridSpan w:val="2"/>
                  <w:tcBorders>
                    <w:tl2br w:val="nil"/>
                    <w:tr2bl w:val="nil"/>
                  </w:tcBorders>
                  <w:vAlign w:val="center"/>
                </w:tcPr>
                <w:p w14:paraId="42A3B14F">
                  <w:pPr>
                    <w:adjustRightInd w:val="0"/>
                    <w:snapToGrid w:val="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600" w:type="dxa"/>
                  <w:tcBorders>
                    <w:tl2br w:val="nil"/>
                    <w:tr2bl w:val="nil"/>
                  </w:tcBorders>
                  <w:vAlign w:val="center"/>
                </w:tcPr>
                <w:p w14:paraId="7B8EA2E2">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76.667</w:t>
                  </w:r>
                </w:p>
              </w:tc>
            </w:tr>
            <w:tr w14:paraId="7428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7" w:type="dxa"/>
                  <w:vMerge w:val="continue"/>
                  <w:tcBorders>
                    <w:tl2br w:val="nil"/>
                    <w:tr2bl w:val="nil"/>
                  </w:tcBorders>
                  <w:vAlign w:val="center"/>
                </w:tcPr>
                <w:p w14:paraId="3AA5A211">
                  <w:pPr>
                    <w:adjustRightInd w:val="0"/>
                    <w:snapToGrid w:val="0"/>
                    <w:jc w:val="center"/>
                    <w:rPr>
                      <w:color w:val="auto"/>
                      <w:highlight w:val="none"/>
                    </w:rPr>
                  </w:pPr>
                </w:p>
              </w:tc>
              <w:tc>
                <w:tcPr>
                  <w:tcW w:w="1520" w:type="dxa"/>
                  <w:vMerge w:val="continue"/>
                  <w:tcBorders>
                    <w:tl2br w:val="nil"/>
                    <w:tr2bl w:val="nil"/>
                  </w:tcBorders>
                  <w:vAlign w:val="center"/>
                </w:tcPr>
                <w:p w14:paraId="36FB8F87">
                  <w:pPr>
                    <w:adjustRightInd w:val="0"/>
                    <w:snapToGrid w:val="0"/>
                    <w:jc w:val="center"/>
                    <w:rPr>
                      <w:color w:val="auto"/>
                      <w:sz w:val="21"/>
                      <w:szCs w:val="21"/>
                      <w:highlight w:val="none"/>
                    </w:rPr>
                  </w:pPr>
                </w:p>
              </w:tc>
              <w:tc>
                <w:tcPr>
                  <w:tcW w:w="686" w:type="dxa"/>
                  <w:vMerge w:val="continue"/>
                  <w:tcBorders>
                    <w:tl2br w:val="nil"/>
                    <w:tr2bl w:val="nil"/>
                  </w:tcBorders>
                  <w:vAlign w:val="center"/>
                </w:tcPr>
                <w:p w14:paraId="1D405CB3">
                  <w:pPr>
                    <w:adjustRightInd w:val="0"/>
                    <w:snapToGrid w:val="0"/>
                    <w:jc w:val="center"/>
                    <w:rPr>
                      <w:color w:val="auto"/>
                      <w:highlight w:val="none"/>
                    </w:rPr>
                  </w:pPr>
                </w:p>
              </w:tc>
              <w:tc>
                <w:tcPr>
                  <w:tcW w:w="2528" w:type="dxa"/>
                  <w:gridSpan w:val="2"/>
                  <w:tcBorders>
                    <w:tl2br w:val="nil"/>
                    <w:tr2bl w:val="nil"/>
                  </w:tcBorders>
                  <w:vAlign w:val="center"/>
                </w:tcPr>
                <w:p w14:paraId="557D8833">
                  <w:pPr>
                    <w:adjustRightInd w:val="0"/>
                    <w:snapToGrid w:val="0"/>
                    <w:jc w:val="center"/>
                    <w:rPr>
                      <w:color w:val="auto"/>
                      <w:highlight w:val="none"/>
                    </w:rPr>
                  </w:pPr>
                  <w:r>
                    <w:rPr>
                      <w:rFonts w:hint="eastAsia" w:cs="Times New Roman"/>
                      <w:bCs/>
                      <w:color w:val="auto"/>
                      <w:sz w:val="21"/>
                      <w:szCs w:val="21"/>
                      <w:highlight w:val="none"/>
                      <w:lang w:val="en-US" w:eastAsia="zh-CN"/>
                    </w:rPr>
                    <w:t>SO</w:t>
                  </w:r>
                  <w:r>
                    <w:rPr>
                      <w:rFonts w:hint="eastAsia" w:cs="Times New Roman"/>
                      <w:bCs/>
                      <w:color w:val="auto"/>
                      <w:sz w:val="21"/>
                      <w:szCs w:val="21"/>
                      <w:highlight w:val="none"/>
                      <w:vertAlign w:val="subscript"/>
                      <w:lang w:val="en-US" w:eastAsia="zh-CN"/>
                    </w:rPr>
                    <w:t>2</w:t>
                  </w:r>
                </w:p>
              </w:tc>
              <w:tc>
                <w:tcPr>
                  <w:tcW w:w="1600" w:type="dxa"/>
                  <w:tcBorders>
                    <w:tl2br w:val="nil"/>
                    <w:tr2bl w:val="nil"/>
                  </w:tcBorders>
                  <w:vAlign w:val="center"/>
                </w:tcPr>
                <w:p w14:paraId="2610A791">
                  <w:pPr>
                    <w:adjustRightInd w:val="0"/>
                    <w:snapToGrid w:val="0"/>
                    <w:jc w:val="center"/>
                    <w:rPr>
                      <w:rFonts w:hint="default"/>
                      <w:color w:val="auto"/>
                      <w:highlight w:val="none"/>
                      <w:lang w:val="en-US"/>
                    </w:rPr>
                  </w:pPr>
                  <w:r>
                    <w:rPr>
                      <w:rFonts w:hint="eastAsia" w:cs="Times New Roman"/>
                      <w:bCs/>
                      <w:color w:val="auto"/>
                      <w:sz w:val="21"/>
                      <w:szCs w:val="21"/>
                      <w:highlight w:val="none"/>
                      <w:lang w:val="en-US" w:eastAsia="zh-CN"/>
                    </w:rPr>
                    <w:t>55.7863</w:t>
                  </w:r>
                </w:p>
              </w:tc>
            </w:tr>
            <w:tr w14:paraId="389C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007" w:type="dxa"/>
                  <w:vMerge w:val="continue"/>
                  <w:tcBorders>
                    <w:tl2br w:val="nil"/>
                    <w:tr2bl w:val="nil"/>
                  </w:tcBorders>
                  <w:vAlign w:val="center"/>
                </w:tcPr>
                <w:p w14:paraId="472849A6">
                  <w:pPr>
                    <w:adjustRightInd w:val="0"/>
                    <w:snapToGrid w:val="0"/>
                    <w:jc w:val="center"/>
                    <w:rPr>
                      <w:color w:val="auto"/>
                      <w:highlight w:val="none"/>
                    </w:rPr>
                  </w:pPr>
                </w:p>
              </w:tc>
              <w:tc>
                <w:tcPr>
                  <w:tcW w:w="1520" w:type="dxa"/>
                  <w:vMerge w:val="continue"/>
                  <w:tcBorders>
                    <w:tl2br w:val="nil"/>
                    <w:tr2bl w:val="nil"/>
                  </w:tcBorders>
                  <w:vAlign w:val="center"/>
                </w:tcPr>
                <w:p w14:paraId="361E8788">
                  <w:pPr>
                    <w:adjustRightInd w:val="0"/>
                    <w:snapToGrid w:val="0"/>
                    <w:jc w:val="center"/>
                    <w:rPr>
                      <w:color w:val="auto"/>
                      <w:sz w:val="21"/>
                      <w:szCs w:val="21"/>
                      <w:highlight w:val="none"/>
                    </w:rPr>
                  </w:pPr>
                </w:p>
              </w:tc>
              <w:tc>
                <w:tcPr>
                  <w:tcW w:w="686" w:type="dxa"/>
                  <w:vMerge w:val="continue"/>
                  <w:tcBorders>
                    <w:tl2br w:val="nil"/>
                    <w:tr2bl w:val="nil"/>
                  </w:tcBorders>
                  <w:vAlign w:val="center"/>
                </w:tcPr>
                <w:p w14:paraId="2D957627">
                  <w:pPr>
                    <w:adjustRightInd w:val="0"/>
                    <w:snapToGrid w:val="0"/>
                    <w:jc w:val="center"/>
                    <w:rPr>
                      <w:color w:val="auto"/>
                      <w:highlight w:val="none"/>
                    </w:rPr>
                  </w:pPr>
                </w:p>
              </w:tc>
              <w:tc>
                <w:tcPr>
                  <w:tcW w:w="2528" w:type="dxa"/>
                  <w:gridSpan w:val="2"/>
                  <w:tcBorders>
                    <w:tl2br w:val="nil"/>
                    <w:tr2bl w:val="nil"/>
                  </w:tcBorders>
                  <w:vAlign w:val="center"/>
                </w:tcPr>
                <w:p w14:paraId="1457BCAD">
                  <w:pPr>
                    <w:adjustRightInd w:val="0"/>
                    <w:snapToGrid w:val="0"/>
                    <w:jc w:val="center"/>
                    <w:rPr>
                      <w:color w:val="auto"/>
                      <w:highlight w:val="none"/>
                    </w:rPr>
                  </w:pPr>
                  <w:r>
                    <w:rPr>
                      <w:rFonts w:hint="eastAsia" w:cs="Times New Roman"/>
                      <w:bCs/>
                      <w:color w:val="auto"/>
                      <w:sz w:val="21"/>
                      <w:szCs w:val="21"/>
                      <w:highlight w:val="none"/>
                      <w:lang w:val="en-US" w:eastAsia="zh-CN"/>
                    </w:rPr>
                    <w:t>NOx</w:t>
                  </w:r>
                </w:p>
              </w:tc>
              <w:tc>
                <w:tcPr>
                  <w:tcW w:w="1600" w:type="dxa"/>
                  <w:tcBorders>
                    <w:tl2br w:val="nil"/>
                    <w:tr2bl w:val="nil"/>
                  </w:tcBorders>
                  <w:vAlign w:val="center"/>
                </w:tcPr>
                <w:p w14:paraId="1C74408F">
                  <w:pPr>
                    <w:adjustRightInd w:val="0"/>
                    <w:snapToGrid w:val="0"/>
                    <w:jc w:val="center"/>
                    <w:rPr>
                      <w:rFonts w:hint="default"/>
                      <w:color w:val="auto"/>
                      <w:highlight w:val="none"/>
                      <w:lang w:val="en-US"/>
                    </w:rPr>
                  </w:pPr>
                  <w:r>
                    <w:rPr>
                      <w:rFonts w:hint="eastAsia" w:cs="Times New Roman"/>
                      <w:bCs/>
                      <w:color w:val="auto"/>
                      <w:sz w:val="21"/>
                      <w:szCs w:val="21"/>
                      <w:highlight w:val="none"/>
                      <w:lang w:val="en-US" w:eastAsia="zh-CN"/>
                    </w:rPr>
                    <w:t>37.1909</w:t>
                  </w:r>
                </w:p>
              </w:tc>
            </w:tr>
            <w:tr w14:paraId="0C11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2007" w:type="dxa"/>
                  <w:vMerge w:val="continue"/>
                  <w:tcBorders>
                    <w:tl2br w:val="nil"/>
                    <w:tr2bl w:val="nil"/>
                  </w:tcBorders>
                  <w:vAlign w:val="center"/>
                </w:tcPr>
                <w:p w14:paraId="4CEF4F26">
                  <w:pPr>
                    <w:adjustRightInd w:val="0"/>
                    <w:snapToGrid w:val="0"/>
                    <w:jc w:val="center"/>
                    <w:rPr>
                      <w:color w:val="auto"/>
                      <w:highlight w:val="none"/>
                    </w:rPr>
                  </w:pPr>
                </w:p>
              </w:tc>
              <w:tc>
                <w:tcPr>
                  <w:tcW w:w="1520" w:type="dxa"/>
                  <w:vMerge w:val="continue"/>
                  <w:tcBorders>
                    <w:tl2br w:val="nil"/>
                    <w:tr2bl w:val="nil"/>
                  </w:tcBorders>
                  <w:vAlign w:val="center"/>
                </w:tcPr>
                <w:p w14:paraId="3CD8CFAC">
                  <w:pPr>
                    <w:adjustRightInd w:val="0"/>
                    <w:snapToGrid w:val="0"/>
                    <w:jc w:val="center"/>
                    <w:rPr>
                      <w:color w:val="auto"/>
                      <w:sz w:val="21"/>
                      <w:szCs w:val="21"/>
                      <w:highlight w:val="none"/>
                    </w:rPr>
                  </w:pPr>
                </w:p>
              </w:tc>
              <w:tc>
                <w:tcPr>
                  <w:tcW w:w="686" w:type="dxa"/>
                  <w:tcBorders>
                    <w:tl2br w:val="nil"/>
                    <w:tr2bl w:val="nil"/>
                  </w:tcBorders>
                  <w:vAlign w:val="center"/>
                </w:tcPr>
                <w:p w14:paraId="193A649E">
                  <w:pPr>
                    <w:adjustRightInd w:val="0"/>
                    <w:snapToGrid w:val="0"/>
                    <w:jc w:val="center"/>
                    <w:rPr>
                      <w:color w:val="auto"/>
                      <w:highlight w:val="none"/>
                    </w:rPr>
                  </w:pPr>
                  <w:r>
                    <w:rPr>
                      <w:rFonts w:hint="eastAsia"/>
                      <w:color w:val="auto"/>
                      <w:highlight w:val="none"/>
                      <w:lang w:val="en-US" w:eastAsia="zh-CN"/>
                    </w:rPr>
                    <w:t>/</w:t>
                  </w:r>
                </w:p>
              </w:tc>
              <w:tc>
                <w:tcPr>
                  <w:tcW w:w="2528" w:type="dxa"/>
                  <w:gridSpan w:val="2"/>
                  <w:tcBorders>
                    <w:tl2br w:val="nil"/>
                    <w:tr2bl w:val="nil"/>
                  </w:tcBorders>
                  <w:vAlign w:val="center"/>
                </w:tcPr>
                <w:p w14:paraId="2269998D">
                  <w:pPr>
                    <w:adjustRightInd w:val="0"/>
                    <w:snapToGrid w:val="0"/>
                    <w:jc w:val="center"/>
                    <w:rPr>
                      <w:color w:val="auto"/>
                      <w:highlight w:val="none"/>
                    </w:rPr>
                  </w:pPr>
                  <w:r>
                    <w:rPr>
                      <w:rFonts w:hint="eastAsia" w:cs="Times New Roman"/>
                      <w:bCs/>
                      <w:color w:val="auto"/>
                      <w:sz w:val="21"/>
                      <w:szCs w:val="21"/>
                      <w:highlight w:val="none"/>
                      <w:lang w:val="en-US" w:eastAsia="zh-CN"/>
                    </w:rPr>
                    <w:t>碳及其化合物</w:t>
                  </w:r>
                </w:p>
              </w:tc>
              <w:tc>
                <w:tcPr>
                  <w:tcW w:w="1600" w:type="dxa"/>
                  <w:tcBorders>
                    <w:tl2br w:val="nil"/>
                    <w:tr2bl w:val="nil"/>
                  </w:tcBorders>
                  <w:vAlign w:val="center"/>
                </w:tcPr>
                <w:p w14:paraId="0F6AEEC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36001.7118</w:t>
                  </w:r>
                </w:p>
              </w:tc>
            </w:tr>
            <w:tr w14:paraId="3217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007" w:type="dxa"/>
                  <w:vMerge w:val="continue"/>
                  <w:tcBorders>
                    <w:tl2br w:val="nil"/>
                    <w:tr2bl w:val="nil"/>
                  </w:tcBorders>
                  <w:vAlign w:val="center"/>
                </w:tcPr>
                <w:p w14:paraId="717A72EF">
                  <w:pPr>
                    <w:adjustRightInd w:val="0"/>
                    <w:snapToGrid w:val="0"/>
                    <w:jc w:val="center"/>
                    <w:rPr>
                      <w:color w:val="auto"/>
                      <w:highlight w:val="none"/>
                    </w:rPr>
                  </w:pPr>
                </w:p>
              </w:tc>
              <w:tc>
                <w:tcPr>
                  <w:tcW w:w="1520" w:type="dxa"/>
                  <w:vMerge w:val="continue"/>
                  <w:tcBorders>
                    <w:tl2br w:val="nil"/>
                    <w:tr2bl w:val="nil"/>
                  </w:tcBorders>
                  <w:vAlign w:val="center"/>
                </w:tcPr>
                <w:p w14:paraId="484D4ABD">
                  <w:pPr>
                    <w:adjustRightInd w:val="0"/>
                    <w:snapToGrid w:val="0"/>
                    <w:jc w:val="center"/>
                    <w:rPr>
                      <w:color w:val="auto"/>
                      <w:sz w:val="21"/>
                      <w:szCs w:val="21"/>
                      <w:highlight w:val="none"/>
                    </w:rPr>
                  </w:pPr>
                </w:p>
              </w:tc>
              <w:tc>
                <w:tcPr>
                  <w:tcW w:w="686" w:type="dxa"/>
                  <w:tcBorders>
                    <w:tl2br w:val="nil"/>
                    <w:tr2bl w:val="nil"/>
                  </w:tcBorders>
                  <w:vAlign w:val="center"/>
                </w:tcPr>
                <w:p w14:paraId="7457F692">
                  <w:pPr>
                    <w:adjustRightInd w:val="0"/>
                    <w:snapToGrid w:val="0"/>
                    <w:jc w:val="center"/>
                    <w:rPr>
                      <w:color w:val="auto"/>
                      <w:highlight w:val="none"/>
                    </w:rPr>
                  </w:pPr>
                  <w:r>
                    <w:rPr>
                      <w:rFonts w:hint="eastAsia" w:ascii="Times New Roman" w:hAnsi="Times New Roman" w:eastAsia="宋体" w:cs="Times New Roman"/>
                      <w:bCs/>
                      <w:color w:val="auto"/>
                      <w:sz w:val="21"/>
                      <w:szCs w:val="21"/>
                      <w:highlight w:val="none"/>
                      <w:lang w:val="en-US" w:eastAsia="zh-CN"/>
                    </w:rPr>
                    <w:t>固废</w:t>
                  </w:r>
                </w:p>
              </w:tc>
              <w:tc>
                <w:tcPr>
                  <w:tcW w:w="2528" w:type="dxa"/>
                  <w:gridSpan w:val="2"/>
                  <w:tcBorders>
                    <w:tl2br w:val="nil"/>
                    <w:tr2bl w:val="nil"/>
                  </w:tcBorders>
                  <w:vAlign w:val="center"/>
                </w:tcPr>
                <w:p w14:paraId="4A6A0E1B">
                  <w:pPr>
                    <w:adjustRightInd w:val="0"/>
                    <w:snapToGrid w:val="0"/>
                    <w:jc w:val="center"/>
                    <w:rPr>
                      <w:color w:val="auto"/>
                      <w:highlight w:val="none"/>
                    </w:rPr>
                  </w:pPr>
                  <w:r>
                    <w:rPr>
                      <w:rFonts w:hint="eastAsia" w:cs="Times New Roman"/>
                      <w:bCs/>
                      <w:color w:val="auto"/>
                      <w:sz w:val="21"/>
                      <w:szCs w:val="21"/>
                      <w:highlight w:val="none"/>
                      <w:lang w:val="en-US" w:eastAsia="zh-CN"/>
                    </w:rPr>
                    <w:t>炉渣</w:t>
                  </w:r>
                </w:p>
              </w:tc>
              <w:tc>
                <w:tcPr>
                  <w:tcW w:w="1600" w:type="dxa"/>
                  <w:tcBorders>
                    <w:tl2br w:val="nil"/>
                    <w:tr2bl w:val="nil"/>
                  </w:tcBorders>
                  <w:vAlign w:val="center"/>
                </w:tcPr>
                <w:p w14:paraId="1ED908C0">
                  <w:pPr>
                    <w:keepNext w:val="0"/>
                    <w:keepLines w:val="0"/>
                    <w:widowControl/>
                    <w:suppressLineNumbers w:val="0"/>
                    <w:jc w:val="center"/>
                    <w:textAlignment w:val="center"/>
                    <w:rPr>
                      <w:color w:val="auto"/>
                      <w:highlight w:val="none"/>
                    </w:rPr>
                  </w:pPr>
                  <w:r>
                    <w:rPr>
                      <w:rFonts w:hint="eastAsia"/>
                      <w:color w:val="auto"/>
                      <w:sz w:val="21"/>
                      <w:szCs w:val="21"/>
                      <w:highlight w:val="none"/>
                      <w:lang w:val="en-US" w:eastAsia="zh-CN"/>
                    </w:rPr>
                    <w:t>290.2888</w:t>
                  </w:r>
                </w:p>
              </w:tc>
            </w:tr>
            <w:tr w14:paraId="7AFB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7" w:type="dxa"/>
                  <w:tcBorders>
                    <w:tl2br w:val="nil"/>
                    <w:tr2bl w:val="nil"/>
                  </w:tcBorders>
                  <w:vAlign w:val="center"/>
                </w:tcPr>
                <w:p w14:paraId="7F1ACE88">
                  <w:pPr>
                    <w:adjustRightInd w:val="0"/>
                    <w:snapToGrid w:val="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合计</w:t>
                  </w:r>
                </w:p>
              </w:tc>
              <w:tc>
                <w:tcPr>
                  <w:tcW w:w="1520" w:type="dxa"/>
                  <w:tcBorders>
                    <w:tl2br w:val="nil"/>
                    <w:tr2bl w:val="nil"/>
                  </w:tcBorders>
                  <w:vAlign w:val="center"/>
                </w:tcPr>
                <w:p w14:paraId="357AE2AB">
                  <w:pPr>
                    <w:adjustRightInd w:val="0"/>
                    <w:snapToGrid w:val="0"/>
                    <w:jc w:val="center"/>
                    <w:rPr>
                      <w:rFonts w:hint="default" w:ascii="Times New Roman" w:hAnsi="Times New Roman" w:eastAsia="宋体" w:cs="Times New Roman"/>
                      <w:b/>
                      <w:bCs w:val="0"/>
                      <w:color w:val="auto"/>
                      <w:sz w:val="21"/>
                      <w:szCs w:val="21"/>
                      <w:highlight w:val="none"/>
                      <w:lang w:val="en-US"/>
                    </w:rPr>
                  </w:pPr>
                  <w:r>
                    <w:rPr>
                      <w:rFonts w:hint="eastAsia" w:cs="Times New Roman"/>
                      <w:color w:val="auto"/>
                      <w:kern w:val="2"/>
                      <w:sz w:val="21"/>
                      <w:szCs w:val="21"/>
                      <w:highlight w:val="none"/>
                      <w:lang w:val="en-US" w:eastAsia="zh-CN" w:bidi="ar-SA"/>
                    </w:rPr>
                    <w:t>136461.6448</w:t>
                  </w:r>
                </w:p>
              </w:tc>
              <w:tc>
                <w:tcPr>
                  <w:tcW w:w="3214" w:type="dxa"/>
                  <w:gridSpan w:val="3"/>
                  <w:tcBorders>
                    <w:tl2br w:val="nil"/>
                    <w:tr2bl w:val="nil"/>
                  </w:tcBorders>
                  <w:vAlign w:val="center"/>
                </w:tcPr>
                <w:p w14:paraId="37A769A7">
                  <w:pPr>
                    <w:adjustRightInd w:val="0"/>
                    <w:snapToGrid w:val="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合计</w:t>
                  </w:r>
                </w:p>
              </w:tc>
              <w:tc>
                <w:tcPr>
                  <w:tcW w:w="1600" w:type="dxa"/>
                  <w:tcBorders>
                    <w:tl2br w:val="nil"/>
                    <w:tr2bl w:val="nil"/>
                  </w:tcBorders>
                  <w:vAlign w:val="center"/>
                </w:tcPr>
                <w:p w14:paraId="7A222E58">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eastAsia" w:cs="Times New Roman"/>
                      <w:color w:val="auto"/>
                      <w:kern w:val="2"/>
                      <w:sz w:val="21"/>
                      <w:szCs w:val="21"/>
                      <w:highlight w:val="none"/>
                      <w:lang w:val="en-US" w:eastAsia="zh-CN" w:bidi="ar-SA"/>
                    </w:rPr>
                    <w:t>136461.6448</w:t>
                  </w:r>
                </w:p>
              </w:tc>
            </w:tr>
          </w:tbl>
          <w:p w14:paraId="488CF641">
            <w:pPr>
              <w:pStyle w:val="25"/>
              <w:numPr>
                <w:ilvl w:val="0"/>
                <w:numId w:val="0"/>
              </w:numPr>
              <w:spacing w:beforeLines="0" w:after="0" w:afterLines="0" w:line="360" w:lineRule="auto"/>
              <w:ind w:firstLine="482" w:firstLineChars="200"/>
              <w:jc w:val="both"/>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（四）硫平衡</w:t>
            </w:r>
          </w:p>
          <w:p w14:paraId="3C5667C2">
            <w:pPr>
              <w:adjustRightInd w:val="0"/>
              <w:snapToGrid w:val="0"/>
              <w:spacing w:line="360" w:lineRule="auto"/>
              <w:ind w:firstLine="480" w:firstLineChars="200"/>
              <w:rPr>
                <w:color w:val="auto"/>
                <w:sz w:val="24"/>
                <w:highlight w:val="none"/>
              </w:rPr>
            </w:pPr>
            <w:r>
              <w:rPr>
                <w:rFonts w:hint="eastAsia"/>
                <w:color w:val="auto"/>
                <w:sz w:val="24"/>
                <w:highlight w:val="none"/>
              </w:rPr>
              <w:t>项目主体生产褐煤烘干提质属物理过程，烘干时仅原煤内、外水在高温烟气作用下形成水蒸气蒸发逸出，其余成分</w:t>
            </w:r>
            <w:r>
              <w:rPr>
                <w:rFonts w:hint="eastAsia"/>
                <w:color w:val="auto"/>
                <w:sz w:val="24"/>
                <w:highlight w:val="none"/>
                <w:lang w:eastAsia="zh-CN"/>
              </w:rPr>
              <w:t>基本</w:t>
            </w:r>
            <w:r>
              <w:rPr>
                <w:rFonts w:hint="eastAsia"/>
                <w:color w:val="auto"/>
                <w:sz w:val="24"/>
                <w:highlight w:val="none"/>
              </w:rPr>
              <w:t>不发生改变，煤中的硫不产生变化。硫平衡主要针对烘干烟气发生系统——热风炉系统中的</w:t>
            </w:r>
            <w:r>
              <w:rPr>
                <w:rFonts w:hint="eastAsia"/>
                <w:color w:val="auto"/>
                <w:sz w:val="24"/>
                <w:highlight w:val="none"/>
                <w:lang w:val="en-US" w:eastAsia="zh-CN"/>
              </w:rPr>
              <w:t>生物质颗粒</w:t>
            </w:r>
            <w:r>
              <w:rPr>
                <w:rFonts w:hint="eastAsia"/>
                <w:color w:val="auto"/>
                <w:sz w:val="24"/>
                <w:highlight w:val="none"/>
              </w:rPr>
              <w:t>燃烧反应。</w:t>
            </w:r>
          </w:p>
          <w:p w14:paraId="64F5BEF6">
            <w:pPr>
              <w:adjustRightInd w:val="0"/>
              <w:snapToGrid w:val="0"/>
              <w:spacing w:line="360" w:lineRule="auto"/>
              <w:ind w:firstLine="480" w:firstLineChars="200"/>
              <w:rPr>
                <w:rFonts w:hint="default" w:eastAsia="宋体"/>
                <w:color w:val="auto"/>
                <w:sz w:val="24"/>
                <w:highlight w:val="none"/>
                <w:lang w:val="en-US" w:eastAsia="zh-CN"/>
              </w:rPr>
            </w:pPr>
            <w:r>
              <w:rPr>
                <w:rFonts w:hint="eastAsia"/>
                <w:color w:val="auto"/>
                <w:sz w:val="24"/>
                <w:highlight w:val="none"/>
              </w:rPr>
              <w:t>热风炉燃</w:t>
            </w:r>
            <w:r>
              <w:rPr>
                <w:rFonts w:hint="eastAsia"/>
                <w:color w:val="auto"/>
                <w:sz w:val="24"/>
                <w:highlight w:val="none"/>
                <w:lang w:val="en-US" w:eastAsia="zh-CN"/>
              </w:rPr>
              <w:t>烧生物质颗粒</w:t>
            </w:r>
            <w:r>
              <w:rPr>
                <w:rFonts w:hint="eastAsia" w:cs="Times New Roman"/>
                <w:color w:val="auto"/>
                <w:kern w:val="2"/>
                <w:sz w:val="24"/>
                <w:szCs w:val="24"/>
                <w:highlight w:val="none"/>
                <w:lang w:val="en-US" w:eastAsia="zh-CN" w:bidi="ar-SA"/>
              </w:rPr>
              <w:t>36461.6448</w:t>
            </w:r>
            <w:r>
              <w:rPr>
                <w:rFonts w:hint="eastAsia"/>
                <w:color w:val="auto"/>
                <w:sz w:val="24"/>
                <w:highlight w:val="none"/>
              </w:rPr>
              <w:t>t</w:t>
            </w:r>
            <w:r>
              <w:rPr>
                <w:color w:val="auto"/>
                <w:sz w:val="24"/>
                <w:highlight w:val="none"/>
              </w:rPr>
              <w:t>/a，</w:t>
            </w:r>
            <w:r>
              <w:rPr>
                <w:rFonts w:hint="eastAsia"/>
                <w:color w:val="auto"/>
                <w:sz w:val="24"/>
                <w:highlight w:val="none"/>
                <w:lang w:val="en-US" w:eastAsia="zh-CN"/>
              </w:rPr>
              <w:t>空气</w:t>
            </w:r>
            <w:r>
              <w:rPr>
                <w:rFonts w:hint="eastAsia"/>
                <w:b w:val="0"/>
                <w:bCs/>
                <w:color w:val="auto"/>
                <w:sz w:val="24"/>
                <w:highlight w:val="none"/>
                <w:lang w:val="en-US" w:eastAsia="zh-CN"/>
              </w:rPr>
              <w:t>干燥基全</w:t>
            </w:r>
            <w:r>
              <w:rPr>
                <w:rFonts w:hint="eastAsia"/>
                <w:b w:val="0"/>
                <w:bCs/>
                <w:color w:val="auto"/>
                <w:sz w:val="24"/>
                <w:highlight w:val="none"/>
                <w:lang w:eastAsia="zh-CN"/>
              </w:rPr>
              <w:t>硫含量为</w:t>
            </w:r>
            <w:r>
              <w:rPr>
                <w:rFonts w:hint="eastAsia"/>
                <w:b w:val="0"/>
                <w:bCs/>
                <w:color w:val="auto"/>
                <w:sz w:val="24"/>
                <w:highlight w:val="none"/>
                <w:lang w:val="en-US" w:eastAsia="zh-CN"/>
              </w:rPr>
              <w:t>0.09%，</w:t>
            </w:r>
            <w:r>
              <w:rPr>
                <w:rFonts w:hint="eastAsia"/>
                <w:color w:val="auto"/>
                <w:sz w:val="24"/>
                <w:highlight w:val="none"/>
              </w:rPr>
              <w:t>带入硫元素</w:t>
            </w:r>
            <w:r>
              <w:rPr>
                <w:rFonts w:hint="eastAsia"/>
                <w:color w:val="auto"/>
                <w:sz w:val="24"/>
                <w:highlight w:val="none"/>
                <w:lang w:val="en-US" w:eastAsia="zh-CN"/>
              </w:rPr>
              <w:t>32.8155</w:t>
            </w:r>
            <w:r>
              <w:rPr>
                <w:rFonts w:hint="eastAsia"/>
                <w:color w:val="auto"/>
                <w:sz w:val="24"/>
                <w:highlight w:val="none"/>
              </w:rPr>
              <w:t>t</w:t>
            </w:r>
            <w:r>
              <w:rPr>
                <w:color w:val="auto"/>
                <w:sz w:val="24"/>
                <w:highlight w:val="none"/>
              </w:rPr>
              <w:t>/a。</w:t>
            </w:r>
            <w:r>
              <w:rPr>
                <w:rFonts w:hint="eastAsia"/>
                <w:color w:val="auto"/>
                <w:sz w:val="24"/>
                <w:highlight w:val="none"/>
                <w:lang w:val="en-US" w:eastAsia="zh-CN"/>
              </w:rPr>
              <w:t>生物质颗粒</w:t>
            </w:r>
            <w:r>
              <w:rPr>
                <w:rFonts w:hint="eastAsia"/>
                <w:color w:val="auto"/>
                <w:sz w:val="24"/>
                <w:highlight w:val="none"/>
              </w:rPr>
              <w:t>在热风炉内燃烧后，</w:t>
            </w:r>
            <w:r>
              <w:rPr>
                <w:rFonts w:hint="eastAsia"/>
                <w:color w:val="auto"/>
                <w:sz w:val="24"/>
                <w:highlight w:val="none"/>
                <w:lang w:val="en-US" w:eastAsia="zh-CN"/>
              </w:rPr>
              <w:t>生物质颗粒</w:t>
            </w:r>
            <w:r>
              <w:rPr>
                <w:rFonts w:hint="eastAsia"/>
                <w:color w:val="auto"/>
                <w:sz w:val="24"/>
                <w:highlight w:val="none"/>
              </w:rPr>
              <w:t>中的“硫”一部分生成二氧化硫，另一部分未转化留存于</w:t>
            </w:r>
            <w:r>
              <w:rPr>
                <w:rFonts w:hint="eastAsia"/>
                <w:color w:val="auto"/>
                <w:sz w:val="24"/>
                <w:highlight w:val="none"/>
                <w:lang w:val="en-US" w:eastAsia="zh-CN"/>
              </w:rPr>
              <w:t>炉</w:t>
            </w:r>
            <w:r>
              <w:rPr>
                <w:rFonts w:hint="eastAsia"/>
                <w:color w:val="auto"/>
                <w:sz w:val="24"/>
                <w:highlight w:val="none"/>
              </w:rPr>
              <w:t>渣内排出。热风炉内采用炉内喷钙法初步脱硫，喷入的石灰石粉受热分解成氧化钙后，将与烟气中的部分二氧化硫结合生成硫酸钙和亚硫酸钙，脱去部分硫，其余则随烟气排出。</w:t>
            </w:r>
          </w:p>
          <w:p w14:paraId="309D1A9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val="en-US" w:eastAsia="zh-CN"/>
              </w:rPr>
            </w:pPr>
            <w:r>
              <w:rPr>
                <w:rFonts w:hint="eastAsia"/>
                <w:color w:val="auto"/>
                <w:sz w:val="24"/>
                <w:szCs w:val="24"/>
                <w:highlight w:val="none"/>
                <w:lang w:val="en-US" w:eastAsia="zh-CN"/>
              </w:rPr>
              <w:t>工程分析中</w:t>
            </w:r>
            <w:r>
              <w:rPr>
                <w:rFonts w:hint="eastAsia" w:eastAsia="宋体" w:cs="Times New Roman"/>
                <w:color w:val="auto"/>
                <w:sz w:val="24"/>
                <w:szCs w:val="24"/>
                <w:highlight w:val="none"/>
                <w:lang w:val="en-US" w:eastAsia="zh-CN"/>
              </w:rPr>
              <w:t>烘干炉</w:t>
            </w:r>
            <w:r>
              <w:rPr>
                <w:rFonts w:hint="default" w:ascii="Times New Roman" w:hAnsi="Times New Roman" w:eastAsia="宋体" w:cs="Times New Roman"/>
                <w:color w:val="auto"/>
                <w:sz w:val="24"/>
                <w:szCs w:val="24"/>
                <w:highlight w:val="none"/>
              </w:rPr>
              <w:t>燃料燃烧废气计算</w:t>
            </w:r>
            <w:r>
              <w:rPr>
                <w:rFonts w:hint="eastAsia" w:cs="Times New Roman"/>
                <w:color w:val="auto"/>
                <w:sz w:val="24"/>
                <w:szCs w:val="24"/>
                <w:highlight w:val="none"/>
                <w:lang w:val="en-US" w:eastAsia="zh-CN"/>
              </w:rPr>
              <w:t>得出SO</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的产生量为55.7863</w:t>
            </w:r>
            <w:r>
              <w:rPr>
                <w:rFonts w:hint="eastAsia"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w:t>
            </w:r>
          </w:p>
          <w:p w14:paraId="7D6B23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cs="Times New Roman"/>
                <w:color w:val="auto"/>
                <w:sz w:val="24"/>
                <w:szCs w:val="24"/>
                <w:highlight w:val="none"/>
                <w:lang w:val="en-US" w:eastAsia="zh-CN"/>
              </w:rPr>
              <w:t>被氧化成二氧化硫的硫元素</w:t>
            </w:r>
            <w:r>
              <w:rPr>
                <w:rFonts w:hint="eastAsia" w:cs="Times New Roman"/>
                <w:color w:val="auto"/>
                <w:sz w:val="24"/>
                <w:szCs w:val="24"/>
                <w:highlight w:val="none"/>
                <w:vertAlign w:val="baseline"/>
                <w:lang w:val="en-US" w:eastAsia="zh-CN"/>
              </w:rPr>
              <w:t>量为27.89315吨，则</w:t>
            </w:r>
            <w:r>
              <w:rPr>
                <w:rFonts w:hint="eastAsia"/>
                <w:color w:val="auto"/>
                <w:sz w:val="24"/>
                <w:highlight w:val="none"/>
                <w:lang w:val="en-US" w:eastAsia="zh-CN"/>
              </w:rPr>
              <w:t>炉</w:t>
            </w:r>
            <w:r>
              <w:rPr>
                <w:rFonts w:hint="eastAsia"/>
                <w:color w:val="auto"/>
                <w:sz w:val="24"/>
                <w:highlight w:val="none"/>
              </w:rPr>
              <w:t>渣</w:t>
            </w:r>
            <w:r>
              <w:rPr>
                <w:rFonts w:hint="eastAsia"/>
                <w:color w:val="auto"/>
                <w:sz w:val="24"/>
                <w:highlight w:val="none"/>
                <w:lang w:val="en-US" w:eastAsia="zh-CN"/>
              </w:rPr>
              <w:t>中硫含量为32.8155</w:t>
            </w:r>
            <w:r>
              <w:rPr>
                <w:rFonts w:hint="eastAsia"/>
                <w:color w:val="auto"/>
                <w:sz w:val="24"/>
                <w:highlight w:val="none"/>
              </w:rPr>
              <w:t>t</w:t>
            </w:r>
            <w:r>
              <w:rPr>
                <w:color w:val="auto"/>
                <w:sz w:val="24"/>
                <w:highlight w:val="none"/>
              </w:rPr>
              <w:t>/a</w:t>
            </w:r>
            <w:r>
              <w:rPr>
                <w:rFonts w:hint="eastAsia"/>
                <w:color w:val="auto"/>
                <w:sz w:val="24"/>
                <w:highlight w:val="none"/>
                <w:lang w:val="en-US" w:eastAsia="zh-CN"/>
              </w:rPr>
              <w:t>-</w:t>
            </w:r>
            <w:r>
              <w:rPr>
                <w:rFonts w:hint="eastAsia" w:cs="Times New Roman"/>
                <w:color w:val="auto"/>
                <w:sz w:val="24"/>
                <w:szCs w:val="24"/>
                <w:highlight w:val="none"/>
                <w:vertAlign w:val="baseline"/>
                <w:lang w:val="en-US" w:eastAsia="zh-CN"/>
              </w:rPr>
              <w:t>27.8932</w:t>
            </w:r>
            <w:r>
              <w:rPr>
                <w:rFonts w:hint="eastAsia"/>
                <w:color w:val="auto"/>
                <w:sz w:val="24"/>
                <w:highlight w:val="none"/>
                <w:lang w:val="en-US" w:eastAsia="zh-CN"/>
              </w:rPr>
              <w:t>=4.9223吨，项目烘干废气采用“炉内喷钙脱硫（结合尾部烟气的增湿活化脱硫效应）”进行脱硫，脱硫效率为85%，则二氧化硫排放量为</w:t>
            </w:r>
            <w:r>
              <w:rPr>
                <w:rFonts w:hint="eastAsia" w:cs="Times New Roman"/>
                <w:color w:val="auto"/>
                <w:sz w:val="24"/>
                <w:highlight w:val="none"/>
                <w:lang w:val="en-US" w:eastAsia="zh-CN"/>
              </w:rPr>
              <w:t>8.3679</w:t>
            </w:r>
            <w:r>
              <w:rPr>
                <w:rFonts w:hint="eastAsia"/>
                <w:color w:val="auto"/>
                <w:sz w:val="24"/>
                <w:highlight w:val="none"/>
                <w:lang w:val="en-US" w:eastAsia="zh-CN"/>
              </w:rPr>
              <w:t>t/a。</w:t>
            </w:r>
          </w:p>
          <w:p w14:paraId="414455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p>
          <w:p w14:paraId="13EA5F4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p>
          <w:p w14:paraId="150630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p>
          <w:p w14:paraId="044F2D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p>
          <w:p w14:paraId="5E58F61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p>
          <w:p w14:paraId="09190924">
            <w:pPr>
              <w:adjustRightInd w:val="0"/>
              <w:snapToGrid w:val="0"/>
              <w:jc w:val="center"/>
              <w:rPr>
                <w:b/>
                <w:color w:val="auto"/>
                <w:sz w:val="24"/>
                <w:highlight w:val="none"/>
              </w:rPr>
            </w:pPr>
            <w:r>
              <w:rPr>
                <w:rFonts w:hint="eastAsia"/>
                <w:b/>
                <w:color w:val="auto"/>
                <w:szCs w:val="21"/>
                <w:highlight w:val="none"/>
              </w:rPr>
              <w:t>表2-</w:t>
            </w:r>
            <w:r>
              <w:rPr>
                <w:rFonts w:hint="eastAsia"/>
                <w:b/>
                <w:color w:val="auto"/>
                <w:szCs w:val="21"/>
                <w:highlight w:val="none"/>
                <w:lang w:val="en-US" w:eastAsia="zh-CN"/>
              </w:rPr>
              <w:t>13</w:t>
            </w:r>
            <w:r>
              <w:rPr>
                <w:rFonts w:hint="eastAsia"/>
                <w:b/>
                <w:color w:val="auto"/>
                <w:szCs w:val="21"/>
                <w:highlight w:val="none"/>
              </w:rPr>
              <w:t xml:space="preserve">  </w:t>
            </w:r>
            <w:r>
              <w:rPr>
                <w:rFonts w:hint="eastAsia" w:cs="Times New Roman"/>
                <w:b/>
                <w:bCs w:val="0"/>
                <w:color w:val="auto"/>
                <w:szCs w:val="21"/>
                <w:highlight w:val="none"/>
                <w:lang w:eastAsia="zh-CN" w:bidi="ar"/>
              </w:rPr>
              <w:t>项目</w:t>
            </w:r>
            <w:r>
              <w:rPr>
                <w:rFonts w:hint="eastAsia"/>
                <w:b/>
                <w:color w:val="auto"/>
                <w:szCs w:val="21"/>
                <w:highlight w:val="none"/>
              </w:rPr>
              <w:t>生产线</w:t>
            </w:r>
            <w:r>
              <w:rPr>
                <w:rFonts w:hint="eastAsia"/>
                <w:b/>
                <w:color w:val="auto"/>
                <w:szCs w:val="21"/>
                <w:highlight w:val="none"/>
                <w:lang w:val="en-US" w:eastAsia="zh-CN"/>
              </w:rPr>
              <w:t>S</w:t>
            </w:r>
            <w:r>
              <w:rPr>
                <w:rFonts w:hint="eastAsia"/>
                <w:b/>
                <w:color w:val="auto"/>
                <w:szCs w:val="21"/>
                <w:highlight w:val="none"/>
              </w:rPr>
              <w:t>平衡表</w:t>
            </w:r>
          </w:p>
          <w:tbl>
            <w:tblPr>
              <w:tblStyle w:val="27"/>
              <w:tblW w:w="8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2001"/>
              <w:gridCol w:w="2325"/>
              <w:gridCol w:w="2060"/>
            </w:tblGrid>
            <w:tr w14:paraId="259D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9" w:type="dxa"/>
                  <w:gridSpan w:val="2"/>
                  <w:noWrap w:val="0"/>
                  <w:vAlign w:val="top"/>
                </w:tcPr>
                <w:p w14:paraId="09062F40">
                  <w:pPr>
                    <w:jc w:val="center"/>
                    <w:rPr>
                      <w:b/>
                      <w:bCs/>
                      <w:color w:val="auto"/>
                      <w:szCs w:val="21"/>
                      <w:highlight w:val="none"/>
                    </w:rPr>
                  </w:pPr>
                  <w:r>
                    <w:rPr>
                      <w:rFonts w:hint="eastAsia"/>
                      <w:b/>
                      <w:bCs/>
                      <w:color w:val="auto"/>
                      <w:szCs w:val="21"/>
                      <w:highlight w:val="none"/>
                    </w:rPr>
                    <w:t>入方（</w:t>
                  </w:r>
                  <w:r>
                    <w:rPr>
                      <w:b/>
                      <w:bCs/>
                      <w:color w:val="auto"/>
                      <w:szCs w:val="21"/>
                      <w:highlight w:val="none"/>
                    </w:rPr>
                    <w:t>t/a</w:t>
                  </w:r>
                  <w:r>
                    <w:rPr>
                      <w:rFonts w:hint="eastAsia"/>
                      <w:b/>
                      <w:bCs/>
                      <w:color w:val="auto"/>
                      <w:szCs w:val="21"/>
                      <w:highlight w:val="none"/>
                    </w:rPr>
                    <w:t>）</w:t>
                  </w:r>
                </w:p>
              </w:tc>
              <w:tc>
                <w:tcPr>
                  <w:tcW w:w="4385" w:type="dxa"/>
                  <w:gridSpan w:val="2"/>
                  <w:noWrap w:val="0"/>
                  <w:vAlign w:val="top"/>
                </w:tcPr>
                <w:p w14:paraId="01EDEDA8">
                  <w:pPr>
                    <w:jc w:val="center"/>
                    <w:rPr>
                      <w:b/>
                      <w:bCs/>
                      <w:color w:val="auto"/>
                      <w:szCs w:val="21"/>
                      <w:highlight w:val="none"/>
                    </w:rPr>
                  </w:pPr>
                  <w:r>
                    <w:rPr>
                      <w:rFonts w:hint="eastAsia"/>
                      <w:b/>
                      <w:bCs/>
                      <w:color w:val="auto"/>
                      <w:szCs w:val="21"/>
                      <w:highlight w:val="none"/>
                    </w:rPr>
                    <w:t>出方（t/a）</w:t>
                  </w:r>
                </w:p>
              </w:tc>
            </w:tr>
            <w:tr w14:paraId="6021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958" w:type="dxa"/>
                  <w:noWrap w:val="0"/>
                  <w:vAlign w:val="center"/>
                </w:tcPr>
                <w:p w14:paraId="71061AEF">
                  <w:pPr>
                    <w:widowControl/>
                    <w:jc w:val="center"/>
                    <w:textAlignment w:val="center"/>
                    <w:rPr>
                      <w:rFonts w:hint="eastAsia" w:eastAsia="宋体"/>
                      <w:color w:val="auto"/>
                      <w:sz w:val="21"/>
                      <w:szCs w:val="21"/>
                      <w:highlight w:val="none"/>
                      <w:lang w:eastAsia="zh-CN"/>
                    </w:rPr>
                  </w:pPr>
                  <w:r>
                    <w:rPr>
                      <w:rFonts w:hint="eastAsia"/>
                      <w:color w:val="auto"/>
                      <w:sz w:val="21"/>
                      <w:szCs w:val="21"/>
                      <w:highlight w:val="none"/>
                      <w:lang w:val="en-US" w:eastAsia="zh-CN"/>
                    </w:rPr>
                    <w:t>生物质颗粒燃料</w:t>
                  </w:r>
                  <w:r>
                    <w:rPr>
                      <w:rFonts w:hint="eastAsia"/>
                      <w:color w:val="auto"/>
                      <w:sz w:val="21"/>
                      <w:szCs w:val="21"/>
                      <w:highlight w:val="none"/>
                      <w:lang w:eastAsia="zh-CN"/>
                    </w:rPr>
                    <w:t>含硫量</w:t>
                  </w:r>
                </w:p>
              </w:tc>
              <w:tc>
                <w:tcPr>
                  <w:tcW w:w="2001" w:type="dxa"/>
                  <w:noWrap w:val="0"/>
                  <w:vAlign w:val="center"/>
                </w:tcPr>
                <w:p w14:paraId="574A7180">
                  <w:pPr>
                    <w:widowControl/>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32.8155</w:t>
                  </w:r>
                </w:p>
              </w:tc>
              <w:tc>
                <w:tcPr>
                  <w:tcW w:w="2325" w:type="dxa"/>
                  <w:noWrap w:val="0"/>
                  <w:vAlign w:val="center"/>
                </w:tcPr>
                <w:p w14:paraId="69143B0C">
                  <w:pPr>
                    <w:widowControl/>
                    <w:jc w:val="center"/>
                    <w:textAlignment w:val="center"/>
                    <w:rPr>
                      <w:rFonts w:hint="eastAsia" w:eastAsia="宋体"/>
                      <w:color w:val="auto"/>
                      <w:szCs w:val="21"/>
                      <w:highlight w:val="none"/>
                      <w:lang w:eastAsia="zh-CN"/>
                    </w:rPr>
                  </w:pPr>
                  <w:r>
                    <w:rPr>
                      <w:rFonts w:hint="eastAsia"/>
                      <w:color w:val="auto"/>
                      <w:szCs w:val="21"/>
                      <w:highlight w:val="none"/>
                      <w:lang w:val="en-US" w:eastAsia="zh-CN"/>
                    </w:rPr>
                    <w:t>炉渣</w:t>
                  </w:r>
                  <w:r>
                    <w:rPr>
                      <w:rFonts w:hint="eastAsia"/>
                      <w:color w:val="auto"/>
                      <w:szCs w:val="21"/>
                      <w:highlight w:val="none"/>
                      <w:lang w:eastAsia="zh-CN"/>
                    </w:rPr>
                    <w:t>（固硫量）</w:t>
                  </w:r>
                </w:p>
              </w:tc>
              <w:tc>
                <w:tcPr>
                  <w:tcW w:w="2060" w:type="dxa"/>
                  <w:noWrap w:val="0"/>
                  <w:vAlign w:val="center"/>
                </w:tcPr>
                <w:p w14:paraId="3F0B35C0">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4.9223</w:t>
                  </w:r>
                </w:p>
              </w:tc>
            </w:tr>
            <w:tr w14:paraId="301C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noWrap w:val="0"/>
                  <w:vAlign w:val="center"/>
                </w:tcPr>
                <w:p w14:paraId="76794427">
                  <w:pPr>
                    <w:widowControl/>
                    <w:jc w:val="center"/>
                    <w:textAlignment w:val="center"/>
                    <w:rPr>
                      <w:color w:val="auto"/>
                      <w:szCs w:val="21"/>
                      <w:highlight w:val="none"/>
                    </w:rPr>
                  </w:pPr>
                  <w:r>
                    <w:rPr>
                      <w:rFonts w:hint="eastAsia"/>
                      <w:color w:val="auto"/>
                      <w:szCs w:val="21"/>
                      <w:highlight w:val="none"/>
                    </w:rPr>
                    <w:t>/</w:t>
                  </w:r>
                </w:p>
              </w:tc>
              <w:tc>
                <w:tcPr>
                  <w:tcW w:w="2001" w:type="dxa"/>
                  <w:noWrap w:val="0"/>
                  <w:vAlign w:val="center"/>
                </w:tcPr>
                <w:p w14:paraId="0803D7E2">
                  <w:pPr>
                    <w:widowControl/>
                    <w:jc w:val="center"/>
                    <w:textAlignment w:val="center"/>
                    <w:rPr>
                      <w:color w:val="auto"/>
                      <w:szCs w:val="21"/>
                      <w:highlight w:val="none"/>
                    </w:rPr>
                  </w:pPr>
                  <w:r>
                    <w:rPr>
                      <w:rFonts w:hint="eastAsia"/>
                      <w:color w:val="auto"/>
                      <w:kern w:val="0"/>
                      <w:szCs w:val="21"/>
                      <w:highlight w:val="none"/>
                      <w:lang w:bidi="ar"/>
                    </w:rPr>
                    <w:t>/</w:t>
                  </w:r>
                </w:p>
              </w:tc>
              <w:tc>
                <w:tcPr>
                  <w:tcW w:w="2325" w:type="dxa"/>
                  <w:noWrap w:val="0"/>
                  <w:vAlign w:val="center"/>
                </w:tcPr>
                <w:p w14:paraId="484FEAA1">
                  <w:pPr>
                    <w:widowControl/>
                    <w:jc w:val="center"/>
                    <w:textAlignment w:val="center"/>
                    <w:rPr>
                      <w:rFonts w:hint="default" w:eastAsia="宋体"/>
                      <w:color w:val="auto"/>
                      <w:szCs w:val="21"/>
                      <w:highlight w:val="none"/>
                      <w:lang w:val="en-US" w:eastAsia="zh-CN"/>
                    </w:rPr>
                  </w:pPr>
                  <w:r>
                    <w:rPr>
                      <w:rFonts w:hint="eastAsia"/>
                      <w:color w:val="auto"/>
                      <w:sz w:val="21"/>
                      <w:szCs w:val="21"/>
                      <w:highlight w:val="none"/>
                      <w:lang w:val="en-US" w:eastAsia="zh-CN"/>
                    </w:rPr>
                    <w:t>炉内喷钙脱硫（结合尾部烟气的增湿活化脱硫效应）</w:t>
                  </w:r>
                  <w:r>
                    <w:rPr>
                      <w:rFonts w:hint="default" w:ascii="Times New Roman" w:hAnsi="Times New Roman" w:cs="Times New Roman"/>
                      <w:color w:val="auto"/>
                      <w:sz w:val="21"/>
                      <w:szCs w:val="21"/>
                      <w:highlight w:val="none"/>
                      <w:lang w:eastAsia="zh-CN"/>
                    </w:rPr>
                    <w:t>对</w:t>
                  </w:r>
                  <w:r>
                    <w:rPr>
                      <w:rFonts w:hint="default" w:ascii="Times New Roman" w:hAnsi="Times New Roman" w:cs="Times New Roman"/>
                      <w:color w:val="auto"/>
                      <w:sz w:val="21"/>
                      <w:szCs w:val="21"/>
                      <w:highlight w:val="none"/>
                      <w:lang w:val="en-US" w:eastAsia="zh-CN"/>
                    </w:rPr>
                    <w:t>S的去除量</w:t>
                  </w:r>
                </w:p>
              </w:tc>
              <w:tc>
                <w:tcPr>
                  <w:tcW w:w="2060" w:type="dxa"/>
                  <w:noWrap w:val="0"/>
                  <w:vAlign w:val="center"/>
                </w:tcPr>
                <w:p w14:paraId="269F6FB3">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23.7092</w:t>
                  </w:r>
                </w:p>
              </w:tc>
            </w:tr>
            <w:tr w14:paraId="2BAA6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noWrap w:val="0"/>
                  <w:vAlign w:val="center"/>
                </w:tcPr>
                <w:p w14:paraId="7C2510C0">
                  <w:pPr>
                    <w:widowControl/>
                    <w:jc w:val="center"/>
                    <w:textAlignment w:val="center"/>
                    <w:rPr>
                      <w:rFonts w:hint="eastAsia"/>
                      <w:color w:val="auto"/>
                      <w:szCs w:val="21"/>
                      <w:highlight w:val="none"/>
                    </w:rPr>
                  </w:pPr>
                  <w:r>
                    <w:rPr>
                      <w:rFonts w:hint="eastAsia"/>
                      <w:color w:val="auto"/>
                      <w:szCs w:val="21"/>
                      <w:highlight w:val="none"/>
                    </w:rPr>
                    <w:t>/</w:t>
                  </w:r>
                </w:p>
              </w:tc>
              <w:tc>
                <w:tcPr>
                  <w:tcW w:w="2001" w:type="dxa"/>
                  <w:noWrap w:val="0"/>
                  <w:vAlign w:val="center"/>
                </w:tcPr>
                <w:p w14:paraId="0EE00413">
                  <w:pPr>
                    <w:widowControl/>
                    <w:jc w:val="center"/>
                    <w:textAlignment w:val="center"/>
                    <w:rPr>
                      <w:rFonts w:hint="eastAsia"/>
                      <w:color w:val="auto"/>
                      <w:szCs w:val="21"/>
                      <w:highlight w:val="none"/>
                    </w:rPr>
                  </w:pPr>
                  <w:r>
                    <w:rPr>
                      <w:rFonts w:hint="eastAsia"/>
                      <w:color w:val="auto"/>
                      <w:kern w:val="0"/>
                      <w:szCs w:val="21"/>
                      <w:highlight w:val="none"/>
                      <w:lang w:bidi="ar"/>
                    </w:rPr>
                    <w:t>/</w:t>
                  </w:r>
                </w:p>
              </w:tc>
              <w:tc>
                <w:tcPr>
                  <w:tcW w:w="2325" w:type="dxa"/>
                  <w:noWrap w:val="0"/>
                  <w:vAlign w:val="center"/>
                </w:tcPr>
                <w:p w14:paraId="1CF1456E">
                  <w:pPr>
                    <w:widowControl/>
                    <w:jc w:val="center"/>
                    <w:textAlignment w:val="center"/>
                    <w:rPr>
                      <w:rFonts w:hint="eastAsia" w:eastAsia="宋体"/>
                      <w:color w:val="auto"/>
                      <w:szCs w:val="21"/>
                      <w:highlight w:val="none"/>
                      <w:lang w:eastAsia="zh-CN"/>
                    </w:rPr>
                  </w:pPr>
                  <w:r>
                    <w:rPr>
                      <w:rFonts w:hint="eastAsia"/>
                      <w:color w:val="auto"/>
                      <w:szCs w:val="21"/>
                      <w:highlight w:val="none"/>
                      <w:lang w:eastAsia="zh-CN"/>
                    </w:rPr>
                    <w:t>硫排放量</w:t>
                  </w:r>
                </w:p>
              </w:tc>
              <w:tc>
                <w:tcPr>
                  <w:tcW w:w="2060" w:type="dxa"/>
                  <w:noWrap w:val="0"/>
                  <w:vAlign w:val="center"/>
                </w:tcPr>
                <w:p w14:paraId="6651C1F3">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4.1840</w:t>
                  </w:r>
                </w:p>
              </w:tc>
            </w:tr>
            <w:tr w14:paraId="145B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noWrap w:val="0"/>
                  <w:vAlign w:val="center"/>
                </w:tcPr>
                <w:p w14:paraId="1C1131D0">
                  <w:pPr>
                    <w:widowControl/>
                    <w:jc w:val="center"/>
                    <w:textAlignment w:val="center"/>
                    <w:rPr>
                      <w:color w:val="auto"/>
                      <w:szCs w:val="21"/>
                      <w:highlight w:val="none"/>
                    </w:rPr>
                  </w:pPr>
                  <w:r>
                    <w:rPr>
                      <w:rFonts w:hint="eastAsia"/>
                      <w:color w:val="auto"/>
                      <w:kern w:val="0"/>
                      <w:szCs w:val="21"/>
                      <w:highlight w:val="none"/>
                      <w:lang w:bidi="ar"/>
                    </w:rPr>
                    <w:t>总计</w:t>
                  </w:r>
                </w:p>
              </w:tc>
              <w:tc>
                <w:tcPr>
                  <w:tcW w:w="2001" w:type="dxa"/>
                  <w:noWrap w:val="0"/>
                  <w:vAlign w:val="center"/>
                </w:tcPr>
                <w:p w14:paraId="72C65F15">
                  <w:pPr>
                    <w:widowControl/>
                    <w:jc w:val="center"/>
                    <w:textAlignment w:val="center"/>
                    <w:rPr>
                      <w:rFonts w:hint="default" w:eastAsia="宋体"/>
                      <w:color w:val="auto"/>
                      <w:szCs w:val="21"/>
                      <w:highlight w:val="none"/>
                      <w:lang w:val="en-US" w:eastAsia="zh-CN"/>
                    </w:rPr>
                  </w:pPr>
                  <w:r>
                    <w:rPr>
                      <w:rFonts w:hint="eastAsia"/>
                      <w:color w:val="auto"/>
                      <w:sz w:val="21"/>
                      <w:szCs w:val="21"/>
                      <w:highlight w:val="none"/>
                      <w:lang w:val="en-US" w:eastAsia="zh-CN"/>
                    </w:rPr>
                    <w:t>32.8155</w:t>
                  </w:r>
                </w:p>
              </w:tc>
              <w:tc>
                <w:tcPr>
                  <w:tcW w:w="2325" w:type="dxa"/>
                  <w:noWrap w:val="0"/>
                  <w:vAlign w:val="center"/>
                </w:tcPr>
                <w:p w14:paraId="0A31307D">
                  <w:pPr>
                    <w:widowControl/>
                    <w:jc w:val="center"/>
                    <w:textAlignment w:val="center"/>
                    <w:rPr>
                      <w:color w:val="auto"/>
                      <w:szCs w:val="21"/>
                      <w:highlight w:val="none"/>
                    </w:rPr>
                  </w:pPr>
                  <w:r>
                    <w:rPr>
                      <w:rFonts w:hint="eastAsia"/>
                      <w:color w:val="auto"/>
                      <w:szCs w:val="21"/>
                      <w:highlight w:val="none"/>
                    </w:rPr>
                    <w:t>总计</w:t>
                  </w:r>
                </w:p>
              </w:tc>
              <w:tc>
                <w:tcPr>
                  <w:tcW w:w="2060" w:type="dxa"/>
                  <w:noWrap w:val="0"/>
                  <w:vAlign w:val="center"/>
                </w:tcPr>
                <w:p w14:paraId="095895CD">
                  <w:pPr>
                    <w:widowControl/>
                    <w:jc w:val="center"/>
                    <w:textAlignment w:val="center"/>
                    <w:rPr>
                      <w:rFonts w:hint="default" w:eastAsia="宋体"/>
                      <w:color w:val="auto"/>
                      <w:szCs w:val="21"/>
                      <w:highlight w:val="none"/>
                      <w:lang w:val="en-US" w:eastAsia="zh-CN"/>
                    </w:rPr>
                  </w:pPr>
                  <w:r>
                    <w:rPr>
                      <w:rFonts w:hint="eastAsia"/>
                      <w:color w:val="auto"/>
                      <w:sz w:val="21"/>
                      <w:szCs w:val="21"/>
                      <w:highlight w:val="none"/>
                      <w:lang w:val="en-US" w:eastAsia="zh-CN"/>
                    </w:rPr>
                    <w:t>32.8155</w:t>
                  </w:r>
                </w:p>
              </w:tc>
            </w:tr>
          </w:tbl>
          <w:p w14:paraId="3FCB81A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highlight w:val="none"/>
                <w:lang w:val="en-US" w:eastAsia="zh-CN"/>
              </w:rPr>
            </w:pPr>
          </w:p>
        </w:tc>
      </w:tr>
      <w:tr w14:paraId="162A32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12" w:hRule="atLeast"/>
          <w:jc w:val="center"/>
        </w:trPr>
        <w:tc>
          <w:tcPr>
            <w:tcW w:w="470" w:type="dxa"/>
            <w:vAlign w:val="center"/>
          </w:tcPr>
          <w:p w14:paraId="11EB5B48">
            <w:pPr>
              <w:pStyle w:val="24"/>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575" w:type="dxa"/>
            <w:vAlign w:val="top"/>
          </w:tcPr>
          <w:p w14:paraId="43640A38">
            <w:pPr>
              <w:tabs>
                <w:tab w:val="left" w:pos="6482"/>
              </w:tabs>
              <w:adjustRightInd w:val="0"/>
              <w:snapToGrid w:val="0"/>
              <w:spacing w:line="360" w:lineRule="auto"/>
              <w:ind w:firstLine="480" w:firstLineChars="200"/>
              <w:rPr>
                <w:color w:val="auto"/>
                <w:sz w:val="24"/>
                <w:highlight w:val="none"/>
              </w:rPr>
            </w:pPr>
            <w:r>
              <w:rPr>
                <w:rFonts w:hint="eastAsia"/>
                <w:color w:val="auto"/>
                <w:sz w:val="24"/>
                <w:highlight w:val="none"/>
              </w:rPr>
              <w:t>本项目为新建项目</w:t>
            </w:r>
            <w:r>
              <w:rPr>
                <w:color w:val="auto"/>
                <w:sz w:val="24"/>
                <w:highlight w:val="none"/>
              </w:rPr>
              <w:t>。根据现场踏勘，</w:t>
            </w:r>
            <w:r>
              <w:rPr>
                <w:rFonts w:hint="eastAsia"/>
                <w:color w:val="auto"/>
                <w:sz w:val="24"/>
                <w:highlight w:val="none"/>
                <w:lang w:eastAsia="zh-CN"/>
              </w:rPr>
              <w:t>项目现场</w:t>
            </w:r>
            <w:r>
              <w:rPr>
                <w:color w:val="auto"/>
                <w:sz w:val="24"/>
                <w:highlight w:val="none"/>
              </w:rPr>
              <w:t>目前</w:t>
            </w:r>
            <w:r>
              <w:rPr>
                <w:rFonts w:hint="eastAsia"/>
                <w:color w:val="auto"/>
                <w:sz w:val="24"/>
                <w:highlight w:val="none"/>
                <w:lang w:eastAsia="zh-CN"/>
              </w:rPr>
              <w:t>基本为一片</w:t>
            </w:r>
            <w:r>
              <w:rPr>
                <w:color w:val="auto"/>
                <w:sz w:val="24"/>
                <w:highlight w:val="none"/>
              </w:rPr>
              <w:t>空地，</w:t>
            </w:r>
            <w:r>
              <w:rPr>
                <w:rFonts w:hint="eastAsia"/>
                <w:color w:val="auto"/>
                <w:sz w:val="24"/>
                <w:highlight w:val="none"/>
                <w:lang w:eastAsia="zh-CN"/>
              </w:rPr>
              <w:t>仅南侧有一空厂房，该厂房前身为砖厂的仓库，建设完成后仅短时间使用过，空厂房至今已有近</w:t>
            </w:r>
            <w:r>
              <w:rPr>
                <w:rFonts w:hint="eastAsia"/>
                <w:color w:val="auto"/>
                <w:sz w:val="24"/>
                <w:highlight w:val="none"/>
                <w:lang w:val="en-US" w:eastAsia="zh-CN"/>
              </w:rPr>
              <w:t>20年，</w:t>
            </w:r>
            <w:r>
              <w:rPr>
                <w:color w:val="auto"/>
                <w:sz w:val="24"/>
                <w:highlight w:val="none"/>
              </w:rPr>
              <w:t>场地内无遗留的建筑物及垃圾，</w:t>
            </w:r>
            <w:r>
              <w:rPr>
                <w:rFonts w:hint="eastAsia"/>
                <w:color w:val="auto"/>
                <w:sz w:val="24"/>
                <w:highlight w:val="none"/>
                <w:lang w:eastAsia="zh-CN"/>
              </w:rPr>
              <w:t>本项目建设前期“三通一平”时将对该厂房进行拆除，</w:t>
            </w:r>
            <w:r>
              <w:rPr>
                <w:color w:val="auto"/>
                <w:sz w:val="24"/>
                <w:highlight w:val="none"/>
              </w:rPr>
              <w:t>故项目用地范围内不存在原有污染情况</w:t>
            </w:r>
            <w:r>
              <w:rPr>
                <w:rFonts w:hint="eastAsia"/>
                <w:color w:val="auto"/>
                <w:sz w:val="24"/>
                <w:highlight w:val="none"/>
                <w:lang w:eastAsia="zh-CN"/>
              </w:rPr>
              <w:t>及</w:t>
            </w:r>
            <w:r>
              <w:rPr>
                <w:color w:val="auto"/>
                <w:sz w:val="24"/>
                <w:highlight w:val="none"/>
              </w:rPr>
              <w:t>问题。</w:t>
            </w:r>
          </w:p>
          <w:p w14:paraId="2A74181C">
            <w:pPr>
              <w:rPr>
                <w:rFonts w:hint="default" w:ascii="Times New Roman" w:hAnsi="Times New Roman" w:eastAsia="宋体" w:cs="Times New Roman"/>
                <w:color w:val="auto"/>
                <w:sz w:val="24"/>
                <w:szCs w:val="24"/>
                <w:highlight w:val="none"/>
                <w:lang w:val="en-US" w:eastAsia="zh-CN"/>
              </w:rPr>
            </w:pPr>
          </w:p>
          <w:p w14:paraId="2BDDF8C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s="Times New Roman"/>
                <w:bCs/>
                <w:color w:val="auto"/>
                <w:szCs w:val="21"/>
                <w:highlight w:val="none"/>
                <w:lang w:val="en-US" w:eastAsia="zh-CN"/>
              </w:rPr>
            </w:pPr>
          </w:p>
          <w:p w14:paraId="5918C6F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s="Times New Roman"/>
                <w:bCs/>
                <w:color w:val="auto"/>
                <w:szCs w:val="21"/>
                <w:highlight w:val="none"/>
                <w:lang w:val="en-US" w:eastAsia="zh-CN"/>
              </w:rPr>
            </w:pPr>
          </w:p>
          <w:p w14:paraId="619D69A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s="Times New Roman"/>
                <w:bCs/>
                <w:color w:val="auto"/>
                <w:szCs w:val="21"/>
                <w:highlight w:val="none"/>
                <w:lang w:val="en-US" w:eastAsia="zh-CN"/>
              </w:rPr>
            </w:pPr>
          </w:p>
          <w:p w14:paraId="732053F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s="Times New Roman"/>
                <w:bCs/>
                <w:color w:val="auto"/>
                <w:szCs w:val="21"/>
                <w:highlight w:val="none"/>
                <w:lang w:val="en-US" w:eastAsia="zh-CN"/>
              </w:rPr>
            </w:pPr>
          </w:p>
          <w:p w14:paraId="2F5E136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s="Times New Roman"/>
                <w:bCs/>
                <w:color w:val="auto"/>
                <w:szCs w:val="21"/>
                <w:highlight w:val="none"/>
                <w:lang w:val="en-US" w:eastAsia="zh-CN"/>
              </w:rPr>
            </w:pPr>
          </w:p>
          <w:p w14:paraId="5CD53BD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s="Times New Roman"/>
                <w:bCs/>
                <w:color w:val="auto"/>
                <w:szCs w:val="21"/>
                <w:highlight w:val="none"/>
                <w:lang w:val="en-US" w:eastAsia="zh-CN"/>
              </w:rPr>
            </w:pPr>
          </w:p>
          <w:p w14:paraId="2B0B598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s="Times New Roman"/>
                <w:bCs/>
                <w:color w:val="auto"/>
                <w:szCs w:val="21"/>
                <w:highlight w:val="none"/>
                <w:lang w:val="en-US" w:eastAsia="zh-CN"/>
              </w:rPr>
            </w:pPr>
          </w:p>
          <w:p w14:paraId="24F1553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532B993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0538CF9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2034B12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2451090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0C74FF7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7B12114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1771D9D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58EC82C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28D9398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3776192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38C38C6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1BC298F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62C05D1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5AA1C0C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783A78B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6335B61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376A851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47F6894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43B0F2B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3E91568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Cs/>
                <w:color w:val="auto"/>
                <w:szCs w:val="21"/>
                <w:highlight w:val="none"/>
                <w:lang w:val="en-US" w:eastAsia="zh-CN"/>
              </w:rPr>
            </w:pPr>
          </w:p>
          <w:p w14:paraId="1C41321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s="Times New Roman"/>
                <w:bCs/>
                <w:color w:val="auto"/>
                <w:szCs w:val="21"/>
                <w:highlight w:val="none"/>
                <w:lang w:val="en-US" w:eastAsia="zh-CN"/>
              </w:rPr>
            </w:pPr>
          </w:p>
          <w:p w14:paraId="5C1CA7F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zCs w:val="21"/>
                <w:highlight w:val="none"/>
                <w:lang w:val="en-US" w:eastAsia="zh-CN"/>
              </w:rPr>
            </w:pPr>
          </w:p>
        </w:tc>
      </w:tr>
    </w:tbl>
    <w:p w14:paraId="151C5F05">
      <w:pPr>
        <w:pStyle w:val="24"/>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283C07E">
      <w:pPr>
        <w:pStyle w:val="24"/>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highlight w:val="none"/>
        </w:rPr>
      </w:pPr>
    </w:p>
    <w:p w14:paraId="42D3508A">
      <w:pPr>
        <w:pStyle w:val="24"/>
        <w:keepNext w:val="0"/>
        <w:keepLines w:val="0"/>
        <w:pageBreakBefore w:val="0"/>
        <w:widowControl/>
        <w:tabs>
          <w:tab w:val="center" w:pos="4481"/>
          <w:tab w:val="right" w:pos="8845"/>
        </w:tabs>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eastAsia="宋体"/>
          <w:color w:val="auto"/>
          <w:highlight w:val="none"/>
          <w:lang w:eastAsia="zh-CN"/>
        </w:rPr>
      </w:pPr>
      <w:bookmarkStart w:id="15" w:name="_Toc7404"/>
      <w:bookmarkStart w:id="16" w:name="_Toc30051"/>
      <w:r>
        <w:rPr>
          <w:rFonts w:hint="default" w:ascii="Times New Roman" w:hAnsi="Times New Roman" w:eastAsia="宋体" w:cs="Times New Roman"/>
          <w:b/>
          <w:bCs/>
          <w:snapToGrid w:val="0"/>
          <w:color w:val="auto"/>
          <w:sz w:val="30"/>
          <w:szCs w:val="30"/>
          <w:highlight w:val="none"/>
        </w:rPr>
        <w:t>三、区域环境质量现状、环境保护目标及评价标准</w:t>
      </w:r>
      <w:bookmarkEnd w:id="15"/>
      <w:bookmarkEnd w:id="16"/>
    </w:p>
    <w:p w14:paraId="6C2D9312">
      <w:pPr>
        <w:rPr>
          <w:rFonts w:hint="eastAsia"/>
          <w:color w:val="auto"/>
          <w:highlight w:val="none"/>
          <w:lang w:eastAsia="zh-CN"/>
        </w:rPr>
      </w:pPr>
    </w:p>
    <w:tbl>
      <w:tblPr>
        <w:tblStyle w:val="27"/>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609"/>
      </w:tblGrid>
      <w:tr w14:paraId="1716B9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2" w:type="dxa"/>
            <w:vAlign w:val="center"/>
          </w:tcPr>
          <w:p w14:paraId="4DA1C94F">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w:t>
            </w:r>
          </w:p>
          <w:p w14:paraId="5AD482EB">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14:paraId="7E04F409">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质量</w:t>
            </w:r>
          </w:p>
          <w:p w14:paraId="4A27A475">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现状</w:t>
            </w:r>
          </w:p>
        </w:tc>
        <w:tc>
          <w:tcPr>
            <w:tcW w:w="8609" w:type="dxa"/>
            <w:vAlign w:val="center"/>
          </w:tcPr>
          <w:p w14:paraId="05F6E5DE">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环境空气质量现状</w:t>
            </w:r>
          </w:p>
          <w:p w14:paraId="1B796E3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zh-CN" w:bidi="ar"/>
              </w:rPr>
            </w:pPr>
            <w:r>
              <w:rPr>
                <w:rFonts w:hint="default" w:ascii="Times New Roman" w:hAnsi="Times New Roman" w:eastAsia="宋体" w:cs="Times New Roman"/>
                <w:color w:val="auto"/>
                <w:kern w:val="0"/>
                <w:sz w:val="24"/>
                <w:highlight w:val="none"/>
                <w:lang w:bidi="ar"/>
              </w:rPr>
              <w:t>本项目位于</w:t>
            </w:r>
            <w:r>
              <w:rPr>
                <w:rFonts w:hint="default" w:ascii="Times New Roman" w:hAnsi="Times New Roman" w:eastAsia="宋体" w:cs="Times New Roman"/>
                <w:color w:val="auto"/>
                <w:sz w:val="24"/>
                <w:szCs w:val="24"/>
                <w:highlight w:val="none"/>
                <w:u w:val="none"/>
                <w:lang w:val="en-US" w:eastAsia="zh-CN"/>
              </w:rPr>
              <w:t>云南寻甸产业园区金所片区金所组团内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szCs w:val="24"/>
                <w:highlight w:val="none"/>
                <w:lang w:val="zh-CN" w:bidi="ar"/>
              </w:rPr>
              <w:t>该区域环境空气质量功能区划为二类区，执行《环境空气质量标准》</w:t>
            </w:r>
            <w:r>
              <w:rPr>
                <w:rFonts w:hint="default" w:ascii="Times New Roman" w:hAnsi="Times New Roman" w:eastAsia="宋体" w:cs="Times New Roman"/>
                <w:color w:val="auto"/>
                <w:kern w:val="0"/>
                <w:sz w:val="24"/>
                <w:szCs w:val="24"/>
                <w:highlight w:val="none"/>
                <w:lang w:bidi="ar"/>
              </w:rPr>
              <w:t>（GB3095-2012）</w:t>
            </w:r>
            <w:r>
              <w:rPr>
                <w:rFonts w:hint="default" w:ascii="Times New Roman" w:hAnsi="Times New Roman" w:eastAsia="宋体" w:cs="Times New Roman"/>
                <w:color w:val="auto"/>
                <w:sz w:val="24"/>
                <w:szCs w:val="24"/>
                <w:highlight w:val="none"/>
                <w:lang w:val="zh-CN"/>
              </w:rPr>
              <w:t>二级标准</w:t>
            </w:r>
            <w:r>
              <w:rPr>
                <w:rFonts w:hint="default" w:ascii="Times New Roman" w:hAnsi="Times New Roman" w:eastAsia="宋体" w:cs="Times New Roman"/>
                <w:color w:val="auto"/>
                <w:kern w:val="0"/>
                <w:sz w:val="24"/>
                <w:szCs w:val="24"/>
                <w:highlight w:val="none"/>
                <w:lang w:val="zh-CN" w:bidi="ar"/>
              </w:rPr>
              <w:t>。</w:t>
            </w:r>
          </w:p>
          <w:p w14:paraId="0DB1D03F">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highlight w:val="none"/>
                <w:lang w:val="en-US" w:eastAsia="zh-CN" w:bidi="ar"/>
              </w:rPr>
            </w:pP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0"/>
                <w:sz w:val="24"/>
                <w:highlight w:val="none"/>
                <w:lang w:val="en-US" w:eastAsia="zh-CN" w:bidi="ar"/>
              </w:rPr>
              <w:t>1</w:t>
            </w: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2"/>
                <w:sz w:val="24"/>
                <w:szCs w:val="24"/>
                <w:highlight w:val="none"/>
                <w:lang w:val="en-US" w:eastAsia="zh-CN" w:bidi="ar-SA"/>
              </w:rPr>
              <w:t>区域基本污染物环境质量现状</w:t>
            </w:r>
          </w:p>
          <w:p w14:paraId="2449585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u w:val="none"/>
                <w:lang w:val="zh-CN" w:eastAsia="zh-CN"/>
              </w:rPr>
              <w:t>根据《</w:t>
            </w:r>
            <w:r>
              <w:rPr>
                <w:rFonts w:hint="default" w:ascii="Times New Roman" w:hAnsi="Times New Roman" w:eastAsia="宋体" w:cs="Times New Roman"/>
                <w:color w:val="auto"/>
                <w:sz w:val="24"/>
                <w:szCs w:val="24"/>
                <w:highlight w:val="none"/>
                <w:u w:val="none"/>
                <w:lang w:val="en-US" w:eastAsia="zh-CN"/>
              </w:rPr>
              <w:t>202</w:t>
            </w:r>
            <w:r>
              <w:rPr>
                <w:rFonts w:hint="eastAsia"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年度昆明市生态环境状况公报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可知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昆明市</w:t>
            </w:r>
            <w:r>
              <w:rPr>
                <w:rFonts w:hint="default" w:ascii="Times New Roman" w:hAnsi="Times New Roman" w:eastAsia="宋体" w:cs="Times New Roman"/>
                <w:color w:val="auto"/>
                <w:sz w:val="24"/>
                <w:szCs w:val="24"/>
                <w:highlight w:val="none"/>
                <w:u w:val="none"/>
                <w:lang w:val="zh-CN" w:eastAsia="zh-CN"/>
              </w:rPr>
              <w:t>各县（市）区环境空气质量总体保持良好。与202</w:t>
            </w:r>
            <w:r>
              <w:rPr>
                <w:rFonts w:hint="eastAsia"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zh-CN" w:eastAsia="zh-CN"/>
              </w:rPr>
              <w:t>年相比，安宁市、禄劝县</w:t>
            </w:r>
            <w:r>
              <w:rPr>
                <w:rFonts w:hint="eastAsia" w:cs="Times New Roman"/>
                <w:color w:val="auto"/>
                <w:sz w:val="24"/>
                <w:szCs w:val="24"/>
                <w:highlight w:val="none"/>
                <w:u w:val="none"/>
                <w:lang w:val="zh-CN" w:eastAsia="zh-CN"/>
              </w:rPr>
              <w:t>、石林县、嵩明县、</w:t>
            </w:r>
            <w:r>
              <w:rPr>
                <w:rFonts w:hint="default" w:ascii="Times New Roman" w:hAnsi="Times New Roman" w:eastAsia="宋体" w:cs="Times New Roman"/>
                <w:color w:val="auto"/>
                <w:sz w:val="24"/>
                <w:szCs w:val="24"/>
                <w:highlight w:val="none"/>
                <w:u w:val="none"/>
                <w:lang w:val="zh-CN" w:eastAsia="zh-CN"/>
              </w:rPr>
              <w:t>富民县、宜良县、寻甸县环境空气综合污染指数有所下降，东川区环境空气综合污染指数有所上升。</w:t>
            </w:r>
            <w:r>
              <w:rPr>
                <w:rFonts w:hint="default" w:ascii="Times New Roman" w:hAnsi="Times New Roman" w:eastAsia="宋体" w:cs="Times New Roman"/>
                <w:color w:val="auto"/>
                <w:sz w:val="24"/>
                <w:szCs w:val="24"/>
                <w:highlight w:val="none"/>
                <w:shd w:val="clear" w:color="auto" w:fill="FFFFFF"/>
              </w:rPr>
              <w:t>项目所在区域为环境空气质量达标区。</w:t>
            </w:r>
          </w:p>
          <w:p w14:paraId="53F6F442">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（2）特征因子环境质量现状</w:t>
            </w:r>
          </w:p>
          <w:p w14:paraId="60FB0E78">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color w:val="auto"/>
                <w:sz w:val="24"/>
                <w:szCs w:val="24"/>
                <w:highlight w:val="none"/>
                <w:lang w:val="en-US" w:eastAsia="zh-CN"/>
              </w:rPr>
              <w:t>本项目涉及的特征因子为TSP，TSP执行</w:t>
            </w:r>
            <w:r>
              <w:rPr>
                <w:rFonts w:hint="default" w:ascii="Times New Roman" w:hAnsi="Times New Roman" w:eastAsia="宋体" w:cs="Times New Roman"/>
                <w:color w:val="auto"/>
                <w:kern w:val="0"/>
                <w:sz w:val="24"/>
                <w:highlight w:val="none"/>
                <w:lang w:val="zh-CN" w:bidi="ar"/>
              </w:rPr>
              <w:t>《环境空气质量标准》（GB3095-2012）二级标准</w:t>
            </w:r>
            <w:r>
              <w:rPr>
                <w:rFonts w:hint="default" w:ascii="Times New Roman" w:hAnsi="Times New Roman" w:eastAsia="宋体" w:cs="Times New Roman"/>
                <w:color w:val="auto"/>
                <w:sz w:val="24"/>
                <w:highlight w:val="none"/>
                <w:lang w:val="en-US" w:eastAsia="zh-CN" w:bidi="ar"/>
              </w:rPr>
              <w:t>。</w:t>
            </w:r>
          </w:p>
          <w:p w14:paraId="5A6BF5D4">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TSP</w:t>
            </w:r>
            <w:r>
              <w:rPr>
                <w:rFonts w:hint="default" w:ascii="Times New Roman" w:hAnsi="Times New Roman" w:eastAsia="宋体" w:cs="Times New Roman"/>
                <w:color w:val="auto"/>
                <w:kern w:val="0"/>
                <w:sz w:val="24"/>
                <w:szCs w:val="24"/>
                <w:highlight w:val="none"/>
                <w:lang w:val="zh-CN" w:eastAsia="zh-CN"/>
              </w:rPr>
              <w:t>环境空气质量现状评价</w:t>
            </w:r>
            <w:r>
              <w:rPr>
                <w:rFonts w:hint="default" w:ascii="Times New Roman" w:hAnsi="Times New Roman" w:eastAsia="宋体" w:cs="Times New Roman"/>
                <w:color w:val="auto"/>
                <w:kern w:val="0"/>
                <w:sz w:val="24"/>
                <w:szCs w:val="24"/>
                <w:highlight w:val="none"/>
                <w:lang w:val="zh-CN"/>
              </w:rPr>
              <w:t>引用</w:t>
            </w:r>
            <w:r>
              <w:rPr>
                <w:rFonts w:hint="default" w:ascii="Times New Roman" w:hAnsi="Times New Roman" w:eastAsia="宋体" w:cs="Times New Roman"/>
                <w:color w:val="auto"/>
                <w:sz w:val="24"/>
                <w:highlight w:val="none"/>
                <w:lang w:eastAsia="zh-CN"/>
              </w:rPr>
              <w:t>云南佳测环境检测科技有限公司</w:t>
            </w:r>
            <w:r>
              <w:rPr>
                <w:rFonts w:hint="default" w:ascii="Times New Roman" w:hAnsi="Times New Roman" w:eastAsia="宋体" w:cs="Times New Roman"/>
                <w:color w:val="auto"/>
                <w:sz w:val="24"/>
                <w:highlight w:val="none"/>
              </w:rPr>
              <w:t>于</w:t>
            </w:r>
            <w:r>
              <w:rPr>
                <w:rFonts w:hint="default" w:ascii="Times New Roman" w:hAnsi="Times New Roman" w:eastAsia="宋体" w:cs="Times New Roman"/>
                <w:color w:val="auto"/>
                <w:sz w:val="24"/>
                <w:highlight w:val="none"/>
                <w:lang w:val="en-US" w:eastAsia="zh-CN"/>
              </w:rPr>
              <w:t>2021</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26</w:t>
            </w:r>
            <w:r>
              <w:rPr>
                <w:rFonts w:hint="default" w:ascii="Times New Roman" w:hAnsi="Times New Roman" w:eastAsia="宋体" w:cs="Times New Roman"/>
                <w:color w:val="auto"/>
                <w:sz w:val="24"/>
                <w:highlight w:val="none"/>
              </w:rPr>
              <w:t>日-202</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日对</w:t>
            </w:r>
            <w:r>
              <w:rPr>
                <w:rFonts w:hint="default" w:ascii="Times New Roman" w:hAnsi="Times New Roman" w:eastAsia="宋体" w:cs="Times New Roman"/>
                <w:color w:val="auto"/>
                <w:kern w:val="2"/>
                <w:sz w:val="24"/>
                <w:szCs w:val="24"/>
                <w:highlight w:val="none"/>
                <w:lang w:val="zh-CN"/>
              </w:rPr>
              <w:t>《</w:t>
            </w:r>
            <w:r>
              <w:rPr>
                <w:rFonts w:hint="default" w:ascii="Times New Roman" w:hAnsi="Times New Roman" w:eastAsia="宋体" w:cs="Times New Roman"/>
                <w:color w:val="auto"/>
                <w:sz w:val="24"/>
                <w:szCs w:val="24"/>
                <w:highlight w:val="none"/>
                <w:lang w:eastAsia="zh-CN"/>
              </w:rPr>
              <w:t>云南伟路管道有限公司塑料管道生产线建设项目</w:t>
            </w:r>
            <w:r>
              <w:rPr>
                <w:rFonts w:hint="default" w:ascii="Times New Roman" w:hAnsi="Times New Roman" w:eastAsia="宋体" w:cs="Times New Roman"/>
                <w:color w:val="auto"/>
                <w:kern w:val="2"/>
                <w:sz w:val="24"/>
                <w:szCs w:val="24"/>
                <w:highlight w:val="none"/>
                <w:lang w:val="zh-CN" w:eastAsia="zh-CN"/>
              </w:rPr>
              <w:t>》</w:t>
            </w:r>
            <w:r>
              <w:rPr>
                <w:rFonts w:hint="default" w:ascii="Times New Roman" w:hAnsi="Times New Roman" w:eastAsia="宋体" w:cs="Times New Roman"/>
                <w:color w:val="auto"/>
                <w:kern w:val="2"/>
                <w:sz w:val="24"/>
                <w:szCs w:val="24"/>
                <w:highlight w:val="none"/>
                <w:lang w:val="en-US" w:eastAsia="zh-CN"/>
              </w:rPr>
              <w:t>的</w:t>
            </w:r>
            <w:r>
              <w:rPr>
                <w:rFonts w:hint="default" w:ascii="Times New Roman" w:hAnsi="Times New Roman" w:eastAsia="宋体" w:cs="Times New Roman"/>
                <w:color w:val="auto"/>
                <w:kern w:val="0"/>
                <w:sz w:val="24"/>
                <w:szCs w:val="24"/>
                <w:highlight w:val="none"/>
                <w:lang w:val="zh-CN" w:eastAsia="zh-CN"/>
              </w:rPr>
              <w:t>空气质量现状监测数据，</w:t>
            </w:r>
            <w:r>
              <w:rPr>
                <w:rFonts w:hint="default" w:ascii="Times New Roman" w:hAnsi="Times New Roman" w:eastAsia="宋体" w:cs="Times New Roman"/>
                <w:color w:val="auto"/>
                <w:sz w:val="24"/>
                <w:szCs w:val="24"/>
                <w:highlight w:val="none"/>
              </w:rPr>
              <w:t>云南伟路管道有限公司塑料管道生产线建设项目</w:t>
            </w:r>
            <w:r>
              <w:rPr>
                <w:rFonts w:hint="default" w:ascii="Times New Roman" w:hAnsi="Times New Roman" w:eastAsia="宋体" w:cs="Times New Roman"/>
                <w:color w:val="auto"/>
                <w:sz w:val="24"/>
                <w:szCs w:val="24"/>
                <w:highlight w:val="none"/>
                <w:lang w:val="en-US" w:eastAsia="zh-CN"/>
              </w:rPr>
              <w:t>位于项目区</w:t>
            </w:r>
            <w:r>
              <w:rPr>
                <w:rFonts w:hint="eastAsia" w:cs="Times New Roman"/>
                <w:color w:val="auto"/>
                <w:sz w:val="24"/>
                <w:szCs w:val="24"/>
                <w:highlight w:val="none"/>
                <w:lang w:val="en-US" w:eastAsia="zh-CN"/>
              </w:rPr>
              <w:t>东</w:t>
            </w:r>
            <w:r>
              <w:rPr>
                <w:rFonts w:hint="default" w:ascii="Times New Roman" w:hAnsi="Times New Roman" w:eastAsia="宋体" w:cs="Times New Roman"/>
                <w:color w:val="auto"/>
                <w:sz w:val="24"/>
                <w:szCs w:val="24"/>
                <w:highlight w:val="none"/>
                <w:lang w:val="en-US" w:eastAsia="zh-CN"/>
              </w:rPr>
              <w:t>北侧</w:t>
            </w:r>
            <w:r>
              <w:rPr>
                <w:rFonts w:hint="eastAsia" w:cs="Times New Roman"/>
                <w:color w:val="auto"/>
                <w:sz w:val="24"/>
                <w:szCs w:val="24"/>
                <w:highlight w:val="none"/>
                <w:lang w:val="en-US" w:eastAsia="zh-CN"/>
              </w:rPr>
              <w:t>3604</w:t>
            </w:r>
            <w:r>
              <w:rPr>
                <w:rFonts w:hint="default" w:ascii="Times New Roman" w:hAnsi="Times New Roman" w:eastAsia="宋体" w:cs="Times New Roman"/>
                <w:color w:val="auto"/>
                <w:sz w:val="24"/>
                <w:szCs w:val="24"/>
                <w:highlight w:val="none"/>
                <w:lang w:val="en-US" w:eastAsia="zh-CN"/>
              </w:rPr>
              <w:t>m，引用监测点G1为引用项目厂址内，引用监测点G2为东北侧</w:t>
            </w:r>
            <w:r>
              <w:rPr>
                <w:rFonts w:hint="default" w:ascii="Times New Roman" w:hAnsi="Times New Roman" w:eastAsia="宋体" w:cs="Times New Roman"/>
                <w:bCs/>
                <w:color w:val="auto"/>
                <w:sz w:val="24"/>
                <w:highlight w:val="none"/>
              </w:rPr>
              <w:t>下风向</w:t>
            </w:r>
            <w:r>
              <w:rPr>
                <w:rFonts w:hint="default" w:ascii="Times New Roman" w:hAnsi="Times New Roman" w:eastAsia="宋体" w:cs="Times New Roman"/>
                <w:bCs/>
                <w:color w:val="auto"/>
                <w:sz w:val="24"/>
                <w:highlight w:val="none"/>
                <w:lang w:eastAsia="zh-CN"/>
              </w:rPr>
              <w:t>雀吃沟</w:t>
            </w:r>
            <w:r>
              <w:rPr>
                <w:rFonts w:hint="default" w:ascii="Times New Roman" w:hAnsi="Times New Roman" w:eastAsia="宋体" w:cs="Times New Roman"/>
                <w:bCs/>
                <w:color w:val="auto"/>
                <w:sz w:val="24"/>
                <w:highlight w:val="none"/>
                <w:lang w:val="en-US" w:eastAsia="zh-CN"/>
              </w:rPr>
              <w:t>村</w:t>
            </w:r>
            <w:r>
              <w:rPr>
                <w:rFonts w:hint="default" w:ascii="Times New Roman" w:hAnsi="Times New Roman" w:eastAsia="宋体" w:cs="Times New Roman"/>
                <w:color w:val="auto"/>
                <w:sz w:val="24"/>
                <w:szCs w:val="24"/>
                <w:highlight w:val="none"/>
                <w:lang w:val="en-US" w:eastAsia="zh-CN"/>
              </w:rPr>
              <w:t>，与本项目相距约</w:t>
            </w:r>
            <w:r>
              <w:rPr>
                <w:rFonts w:hint="eastAsia" w:cs="Times New Roman"/>
                <w:color w:val="auto"/>
                <w:sz w:val="24"/>
                <w:szCs w:val="24"/>
                <w:highlight w:val="none"/>
                <w:lang w:val="en-US" w:eastAsia="zh-CN"/>
              </w:rPr>
              <w:t>4804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lang w:val="en-US" w:eastAsia="zh-CN"/>
              </w:rPr>
              <w:t>本项目引用的现状监测点</w:t>
            </w:r>
            <w:r>
              <w:rPr>
                <w:rFonts w:hint="default" w:ascii="Times New Roman" w:hAnsi="Times New Roman" w:eastAsia="宋体" w:cs="Times New Roman"/>
                <w:b w:val="0"/>
                <w:color w:val="auto"/>
                <w:sz w:val="24"/>
                <w:szCs w:val="24"/>
                <w:highlight w:val="none"/>
                <w:lang w:val="zh-CN"/>
              </w:rPr>
              <w:t>具备</w:t>
            </w:r>
            <w:r>
              <w:rPr>
                <w:rFonts w:hint="eastAsia" w:cs="Times New Roman"/>
                <w:b w:val="0"/>
                <w:color w:val="auto"/>
                <w:sz w:val="24"/>
                <w:szCs w:val="24"/>
                <w:highlight w:val="none"/>
                <w:lang w:val="zh-CN"/>
              </w:rPr>
              <w:t>引用</w:t>
            </w:r>
            <w:r>
              <w:rPr>
                <w:rFonts w:hint="default" w:ascii="Times New Roman" w:hAnsi="Times New Roman" w:eastAsia="宋体" w:cs="Times New Roman"/>
                <w:b w:val="0"/>
                <w:color w:val="auto"/>
                <w:sz w:val="24"/>
                <w:szCs w:val="24"/>
                <w:highlight w:val="none"/>
                <w:lang w:val="zh-CN"/>
              </w:rPr>
              <w:t>条件，数据在技术导则要求的“近三年”时限内，</w:t>
            </w:r>
            <w:r>
              <w:rPr>
                <w:rFonts w:hint="eastAsia" w:cs="Times New Roman"/>
                <w:b w:val="0"/>
                <w:color w:val="auto"/>
                <w:sz w:val="24"/>
                <w:szCs w:val="24"/>
                <w:highlight w:val="none"/>
                <w:lang w:val="zh-CN"/>
              </w:rPr>
              <w:t>范围属于</w:t>
            </w:r>
            <w:r>
              <w:rPr>
                <w:rFonts w:hint="eastAsia" w:cs="Times New Roman"/>
                <w:b w:val="0"/>
                <w:color w:val="auto"/>
                <w:sz w:val="24"/>
                <w:szCs w:val="24"/>
                <w:highlight w:val="none"/>
                <w:lang w:val="en-US" w:eastAsia="zh-CN"/>
              </w:rPr>
              <w:t>5km范围内，</w:t>
            </w:r>
            <w:r>
              <w:rPr>
                <w:rFonts w:hint="default" w:ascii="Times New Roman" w:hAnsi="Times New Roman" w:eastAsia="宋体" w:cs="Times New Roman"/>
                <w:b w:val="0"/>
                <w:color w:val="auto"/>
                <w:sz w:val="24"/>
                <w:szCs w:val="24"/>
                <w:highlight w:val="none"/>
                <w:lang w:val="zh-CN"/>
              </w:rPr>
              <w:t>属于有效数据，</w:t>
            </w:r>
            <w:r>
              <w:rPr>
                <w:rFonts w:hint="default" w:ascii="Times New Roman" w:hAnsi="Times New Roman" w:eastAsia="宋体" w:cs="Times New Roman"/>
                <w:b w:val="0"/>
                <w:bCs w:val="0"/>
                <w:color w:val="auto"/>
                <w:sz w:val="24"/>
                <w:szCs w:val="24"/>
                <w:highlight w:val="none"/>
                <w:lang w:val="zh-CN"/>
              </w:rPr>
              <w:t>故本项目空气质量现状评价引用</w:t>
            </w:r>
            <w:r>
              <w:rPr>
                <w:rFonts w:hint="default" w:ascii="Times New Roman" w:hAnsi="Times New Roman" w:eastAsia="宋体" w:cs="Times New Roman"/>
                <w:b w:val="0"/>
                <w:bCs w:val="0"/>
                <w:color w:val="auto"/>
                <w:sz w:val="24"/>
                <w:szCs w:val="24"/>
                <w:highlight w:val="none"/>
                <w:lang w:val="en-US" w:eastAsia="zh-CN"/>
              </w:rPr>
              <w:t>的数据具有时效性和代表性。</w:t>
            </w:r>
          </w:p>
          <w:p w14:paraId="03C91290">
            <w:pPr>
              <w:pStyle w:val="84"/>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val="en-US" w:eastAsia="zh-CN"/>
              </w:rPr>
              <w:t>引用项目</w:t>
            </w:r>
            <w:r>
              <w:rPr>
                <w:rFonts w:hint="default" w:ascii="Times New Roman" w:hAnsi="Times New Roman" w:eastAsia="宋体" w:cs="Times New Roman"/>
                <w:color w:val="auto"/>
                <w:szCs w:val="24"/>
                <w:highlight w:val="none"/>
              </w:rPr>
              <w:t>监测点位布设见表</w:t>
            </w:r>
            <w:r>
              <w:rPr>
                <w:rFonts w:hint="default" w:ascii="Times New Roman" w:hAnsi="Times New Roman" w:eastAsia="宋体" w:cs="Times New Roman"/>
                <w:color w:val="auto"/>
                <w:szCs w:val="24"/>
                <w:highlight w:val="none"/>
                <w:lang w:val="en-US" w:eastAsia="zh-CN"/>
              </w:rPr>
              <w:t>3-1</w:t>
            </w:r>
            <w:r>
              <w:rPr>
                <w:rFonts w:hint="default" w:ascii="Times New Roman" w:hAnsi="Times New Roman" w:eastAsia="宋体" w:cs="Times New Roman"/>
                <w:color w:val="auto"/>
                <w:szCs w:val="24"/>
                <w:highlight w:val="none"/>
                <w:lang w:eastAsia="zh-CN"/>
              </w:rPr>
              <w:t>。</w:t>
            </w:r>
          </w:p>
          <w:p w14:paraId="51C3D1C4">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3-1</w:t>
            </w:r>
            <w:r>
              <w:rPr>
                <w:rFonts w:hint="default" w:ascii="Times New Roman" w:hAnsi="Times New Roman" w:eastAsia="宋体" w:cs="Times New Roman"/>
                <w:b/>
                <w:color w:val="auto"/>
                <w:sz w:val="21"/>
                <w:szCs w:val="21"/>
                <w:highlight w:val="none"/>
              </w:rPr>
              <w:t xml:space="preserve">   监测点位基本信息</w:t>
            </w:r>
          </w:p>
          <w:tbl>
            <w:tblPr>
              <w:tblStyle w:val="27"/>
              <w:tblW w:w="8385"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59"/>
              <w:gridCol w:w="1431"/>
              <w:gridCol w:w="1326"/>
              <w:gridCol w:w="897"/>
              <w:gridCol w:w="1905"/>
              <w:gridCol w:w="782"/>
              <w:gridCol w:w="885"/>
            </w:tblGrid>
            <w:tr w14:paraId="04FAFA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159" w:type="dxa"/>
                  <w:vMerge w:val="restart"/>
                  <w:tcBorders>
                    <w:tl2br w:val="nil"/>
                    <w:tr2bl w:val="nil"/>
                  </w:tcBorders>
                  <w:noWrap w:val="0"/>
                  <w:vAlign w:val="center"/>
                </w:tcPr>
                <w:p w14:paraId="5FA51E8D">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监测点名称</w:t>
                  </w:r>
                </w:p>
              </w:tc>
              <w:tc>
                <w:tcPr>
                  <w:tcW w:w="2757" w:type="dxa"/>
                  <w:gridSpan w:val="2"/>
                  <w:tcBorders>
                    <w:tl2br w:val="nil"/>
                    <w:tr2bl w:val="nil"/>
                  </w:tcBorders>
                  <w:noWrap w:val="0"/>
                  <w:vAlign w:val="center"/>
                </w:tcPr>
                <w:p w14:paraId="1DC6D26D">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监测点位坐标/m</w:t>
                  </w:r>
                </w:p>
              </w:tc>
              <w:tc>
                <w:tcPr>
                  <w:tcW w:w="897" w:type="dxa"/>
                  <w:vMerge w:val="restart"/>
                  <w:tcBorders>
                    <w:tl2br w:val="nil"/>
                    <w:tr2bl w:val="nil"/>
                  </w:tcBorders>
                  <w:noWrap w:val="0"/>
                  <w:vAlign w:val="center"/>
                </w:tcPr>
                <w:p w14:paraId="1B0AC552">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监测因子</w:t>
                  </w:r>
                </w:p>
              </w:tc>
              <w:tc>
                <w:tcPr>
                  <w:tcW w:w="1905" w:type="dxa"/>
                  <w:vMerge w:val="restart"/>
                  <w:tcBorders>
                    <w:tl2br w:val="nil"/>
                    <w:tr2bl w:val="nil"/>
                  </w:tcBorders>
                  <w:noWrap w:val="0"/>
                  <w:vAlign w:val="center"/>
                </w:tcPr>
                <w:p w14:paraId="1DBEDB4B">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监测时段</w:t>
                  </w:r>
                </w:p>
              </w:tc>
              <w:tc>
                <w:tcPr>
                  <w:tcW w:w="782" w:type="dxa"/>
                  <w:vMerge w:val="restart"/>
                  <w:tcBorders>
                    <w:tl2br w:val="nil"/>
                    <w:tr2bl w:val="nil"/>
                  </w:tcBorders>
                  <w:noWrap w:val="0"/>
                  <w:vAlign w:val="center"/>
                </w:tcPr>
                <w:p w14:paraId="44910047">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885" w:type="dxa"/>
                  <w:vMerge w:val="restart"/>
                  <w:tcBorders>
                    <w:tl2br w:val="nil"/>
                    <w:tr2bl w:val="nil"/>
                  </w:tcBorders>
                  <w:noWrap w:val="0"/>
                  <w:vAlign w:val="center"/>
                </w:tcPr>
                <w:p w14:paraId="1749FBBE">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相对厂界距离/m</w:t>
                  </w:r>
                </w:p>
              </w:tc>
            </w:tr>
            <w:tr w14:paraId="507CA7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159" w:type="dxa"/>
                  <w:vMerge w:val="continue"/>
                  <w:tcBorders>
                    <w:tl2br w:val="nil"/>
                    <w:tr2bl w:val="nil"/>
                  </w:tcBorders>
                  <w:shd w:val="clear" w:color="auto" w:fill="auto"/>
                  <w:noWrap w:val="0"/>
                  <w:vAlign w:val="center"/>
                </w:tcPr>
                <w:p w14:paraId="657F72DA">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rPr>
                  </w:pPr>
                </w:p>
              </w:tc>
              <w:tc>
                <w:tcPr>
                  <w:tcW w:w="1431" w:type="dxa"/>
                  <w:tcBorders>
                    <w:tl2br w:val="nil"/>
                    <w:tr2bl w:val="nil"/>
                  </w:tcBorders>
                  <w:shd w:val="clear" w:color="auto" w:fill="auto"/>
                  <w:noWrap w:val="0"/>
                  <w:vAlign w:val="center"/>
                </w:tcPr>
                <w:p w14:paraId="0BBAE460">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E</w:t>
                  </w:r>
                </w:p>
              </w:tc>
              <w:tc>
                <w:tcPr>
                  <w:tcW w:w="1326" w:type="dxa"/>
                  <w:tcBorders>
                    <w:tl2br w:val="nil"/>
                    <w:tr2bl w:val="nil"/>
                  </w:tcBorders>
                  <w:shd w:val="clear" w:color="auto" w:fill="auto"/>
                  <w:noWrap w:val="0"/>
                  <w:vAlign w:val="center"/>
                </w:tcPr>
                <w:p w14:paraId="25DA6D15">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N</w:t>
                  </w:r>
                </w:p>
              </w:tc>
              <w:tc>
                <w:tcPr>
                  <w:tcW w:w="897" w:type="dxa"/>
                  <w:vMerge w:val="continue"/>
                  <w:tcBorders>
                    <w:tl2br w:val="nil"/>
                    <w:tr2bl w:val="nil"/>
                  </w:tcBorders>
                  <w:shd w:val="clear" w:color="auto" w:fill="auto"/>
                  <w:noWrap w:val="0"/>
                  <w:vAlign w:val="center"/>
                </w:tcPr>
                <w:p w14:paraId="4BB9EFFE">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rPr>
                  </w:pPr>
                </w:p>
              </w:tc>
              <w:tc>
                <w:tcPr>
                  <w:tcW w:w="1905" w:type="dxa"/>
                  <w:vMerge w:val="continue"/>
                  <w:tcBorders>
                    <w:tl2br w:val="nil"/>
                    <w:tr2bl w:val="nil"/>
                  </w:tcBorders>
                  <w:shd w:val="clear" w:color="auto" w:fill="auto"/>
                  <w:noWrap w:val="0"/>
                  <w:vAlign w:val="center"/>
                </w:tcPr>
                <w:p w14:paraId="49D3CADA">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rPr>
                  </w:pPr>
                </w:p>
              </w:tc>
              <w:tc>
                <w:tcPr>
                  <w:tcW w:w="782" w:type="dxa"/>
                  <w:vMerge w:val="continue"/>
                  <w:tcBorders>
                    <w:tl2br w:val="nil"/>
                    <w:tr2bl w:val="nil"/>
                  </w:tcBorders>
                  <w:shd w:val="clear" w:color="000000" w:fill="FFFFFF"/>
                  <w:noWrap w:val="0"/>
                  <w:vAlign w:val="center"/>
                </w:tcPr>
                <w:p w14:paraId="6D845B3B">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rPr>
                  </w:pPr>
                </w:p>
              </w:tc>
              <w:tc>
                <w:tcPr>
                  <w:tcW w:w="885" w:type="dxa"/>
                  <w:vMerge w:val="continue"/>
                  <w:tcBorders>
                    <w:tl2br w:val="nil"/>
                    <w:tr2bl w:val="nil"/>
                  </w:tcBorders>
                  <w:noWrap w:val="0"/>
                  <w:vAlign w:val="center"/>
                </w:tcPr>
                <w:p w14:paraId="07886A38">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rPr>
                  </w:pPr>
                </w:p>
              </w:tc>
            </w:tr>
            <w:tr w14:paraId="5DA61F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159" w:type="dxa"/>
                  <w:tcBorders>
                    <w:tl2br w:val="nil"/>
                    <w:tr2bl w:val="nil"/>
                  </w:tcBorders>
                  <w:noWrap w:val="0"/>
                  <w:vAlign w:val="center"/>
                </w:tcPr>
                <w:p w14:paraId="1C3FB353">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引用</w:t>
                  </w:r>
                  <w:r>
                    <w:rPr>
                      <w:rFonts w:hint="default" w:ascii="Times New Roman" w:hAnsi="Times New Roman" w:eastAsia="宋体" w:cs="Times New Roman"/>
                      <w:bCs/>
                      <w:color w:val="auto"/>
                      <w:sz w:val="21"/>
                      <w:szCs w:val="21"/>
                      <w:highlight w:val="none"/>
                    </w:rPr>
                    <w:t>项目厂址内（G1）</w:t>
                  </w:r>
                </w:p>
              </w:tc>
              <w:tc>
                <w:tcPr>
                  <w:tcW w:w="1431" w:type="dxa"/>
                  <w:tcBorders>
                    <w:tl2br w:val="nil"/>
                    <w:tr2bl w:val="nil"/>
                  </w:tcBorders>
                  <w:noWrap w:val="0"/>
                  <w:vAlign w:val="center"/>
                </w:tcPr>
                <w:p w14:paraId="3347305C">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103°12′36.20″</w:t>
                  </w:r>
                </w:p>
              </w:tc>
              <w:tc>
                <w:tcPr>
                  <w:tcW w:w="1326" w:type="dxa"/>
                  <w:tcBorders>
                    <w:tl2br w:val="nil"/>
                    <w:tr2bl w:val="nil"/>
                  </w:tcBorders>
                  <w:noWrap w:val="0"/>
                  <w:vAlign w:val="center"/>
                </w:tcPr>
                <w:p w14:paraId="6F46CB43">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25°35′5.53″</w:t>
                  </w:r>
                </w:p>
              </w:tc>
              <w:tc>
                <w:tcPr>
                  <w:tcW w:w="897" w:type="dxa"/>
                  <w:tcBorders>
                    <w:tl2br w:val="nil"/>
                    <w:tr2bl w:val="nil"/>
                  </w:tcBorders>
                  <w:noWrap w:val="0"/>
                  <w:vAlign w:val="center"/>
                </w:tcPr>
                <w:p w14:paraId="446D883E">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TSP</w:t>
                  </w:r>
                </w:p>
              </w:tc>
              <w:tc>
                <w:tcPr>
                  <w:tcW w:w="1905" w:type="dxa"/>
                  <w:tcBorders>
                    <w:tl2br w:val="nil"/>
                    <w:tr2bl w:val="nil"/>
                  </w:tcBorders>
                  <w:noWrap w:val="0"/>
                  <w:vAlign w:val="center"/>
                </w:tcPr>
                <w:p w14:paraId="42AE2B2B">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2021.7.26~2021.8.1</w:t>
                  </w:r>
                </w:p>
              </w:tc>
              <w:tc>
                <w:tcPr>
                  <w:tcW w:w="782" w:type="dxa"/>
                  <w:tcBorders>
                    <w:tl2br w:val="nil"/>
                    <w:tr2bl w:val="nil"/>
                  </w:tcBorders>
                  <w:noWrap w:val="0"/>
                  <w:vAlign w:val="center"/>
                </w:tcPr>
                <w:p w14:paraId="697E651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highlight w:val="none"/>
                      <w:lang w:eastAsia="zh-CN"/>
                    </w:rPr>
                    <w:t>东</w:t>
                  </w:r>
                  <w:r>
                    <w:rPr>
                      <w:color w:val="auto"/>
                      <w:szCs w:val="21"/>
                      <w:highlight w:val="none"/>
                    </w:rPr>
                    <w:t>北侧</w:t>
                  </w:r>
                </w:p>
              </w:tc>
              <w:tc>
                <w:tcPr>
                  <w:tcW w:w="885" w:type="dxa"/>
                  <w:tcBorders>
                    <w:tl2br w:val="nil"/>
                    <w:tr2bl w:val="nil"/>
                  </w:tcBorders>
                  <w:noWrap w:val="0"/>
                  <w:vAlign w:val="center"/>
                </w:tcPr>
                <w:p w14:paraId="136A9CAB">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highlight w:val="none"/>
                      <w:lang w:val="en-US" w:eastAsia="zh-CN"/>
                    </w:rPr>
                    <w:t>3640</w:t>
                  </w:r>
                </w:p>
              </w:tc>
            </w:tr>
            <w:tr w14:paraId="02901A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159" w:type="dxa"/>
                  <w:tcBorders>
                    <w:tl2br w:val="nil"/>
                    <w:tr2bl w:val="nil"/>
                  </w:tcBorders>
                  <w:noWrap w:val="0"/>
                  <w:vAlign w:val="center"/>
                </w:tcPr>
                <w:p w14:paraId="539249BC">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雀吃沟村（下风向G2）</w:t>
                  </w:r>
                </w:p>
              </w:tc>
              <w:tc>
                <w:tcPr>
                  <w:tcW w:w="1431" w:type="dxa"/>
                  <w:tcBorders>
                    <w:tl2br w:val="nil"/>
                    <w:tr2bl w:val="nil"/>
                  </w:tcBorders>
                  <w:noWrap w:val="0"/>
                  <w:vAlign w:val="center"/>
                </w:tcPr>
                <w:p w14:paraId="5B56A81B">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103°13′36.30″</w:t>
                  </w:r>
                </w:p>
              </w:tc>
              <w:tc>
                <w:tcPr>
                  <w:tcW w:w="1326" w:type="dxa"/>
                  <w:tcBorders>
                    <w:tl2br w:val="nil"/>
                    <w:tr2bl w:val="nil"/>
                  </w:tcBorders>
                  <w:noWrap w:val="0"/>
                  <w:vAlign w:val="center"/>
                </w:tcPr>
                <w:p w14:paraId="3E41E987">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25°35′52.04″</w:t>
                  </w:r>
                </w:p>
              </w:tc>
              <w:tc>
                <w:tcPr>
                  <w:tcW w:w="897" w:type="dxa"/>
                  <w:tcBorders>
                    <w:tl2br w:val="nil"/>
                    <w:tr2bl w:val="nil"/>
                  </w:tcBorders>
                  <w:noWrap w:val="0"/>
                  <w:vAlign w:val="center"/>
                </w:tcPr>
                <w:p w14:paraId="4CBF66BC">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TSP</w:t>
                  </w:r>
                </w:p>
              </w:tc>
              <w:tc>
                <w:tcPr>
                  <w:tcW w:w="1905" w:type="dxa"/>
                  <w:tcBorders>
                    <w:tl2br w:val="nil"/>
                    <w:tr2bl w:val="nil"/>
                  </w:tcBorders>
                  <w:noWrap w:val="0"/>
                  <w:vAlign w:val="center"/>
                </w:tcPr>
                <w:p w14:paraId="12E60F3C">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2021.7.26~2021.8.1</w:t>
                  </w:r>
                </w:p>
              </w:tc>
              <w:tc>
                <w:tcPr>
                  <w:tcW w:w="782" w:type="dxa"/>
                  <w:tcBorders>
                    <w:tl2br w:val="nil"/>
                    <w:tr2bl w:val="nil"/>
                  </w:tcBorders>
                  <w:noWrap w:val="0"/>
                  <w:vAlign w:val="center"/>
                </w:tcPr>
                <w:p w14:paraId="52852B7D">
                  <w:pPr>
                    <w:adjustRightInd w:val="0"/>
                    <w:snapToGrid w:val="0"/>
                    <w:jc w:val="center"/>
                    <w:rPr>
                      <w:rFonts w:hint="default" w:ascii="Times New Roman" w:hAnsi="Times New Roman" w:eastAsia="宋体" w:cs="Times New Roman"/>
                      <w:color w:val="auto"/>
                      <w:sz w:val="21"/>
                      <w:szCs w:val="21"/>
                      <w:highlight w:val="none"/>
                    </w:rPr>
                  </w:pPr>
                  <w:r>
                    <w:rPr>
                      <w:color w:val="auto"/>
                      <w:szCs w:val="21"/>
                      <w:highlight w:val="none"/>
                    </w:rPr>
                    <w:t>东北侧</w:t>
                  </w:r>
                </w:p>
              </w:tc>
              <w:tc>
                <w:tcPr>
                  <w:tcW w:w="885" w:type="dxa"/>
                  <w:tcBorders>
                    <w:tl2br w:val="nil"/>
                    <w:tr2bl w:val="nil"/>
                  </w:tcBorders>
                  <w:noWrap w:val="0"/>
                  <w:vAlign w:val="center"/>
                </w:tcPr>
                <w:p w14:paraId="64872B0B">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highlight w:val="none"/>
                      <w:lang w:val="en-US" w:eastAsia="zh-CN"/>
                    </w:rPr>
                    <w:t>4804</w:t>
                  </w:r>
                </w:p>
              </w:tc>
            </w:tr>
          </w:tbl>
          <w:p w14:paraId="4FE40226">
            <w:pPr>
              <w:pStyle w:val="84"/>
              <w:keepNext w:val="0"/>
              <w:keepLines w:val="0"/>
              <w:pageBreakBefore w:val="0"/>
              <w:kinsoku/>
              <w:wordWrap/>
              <w:overflowPunct/>
              <w:topLinePunct w:val="0"/>
              <w:bidi w:val="0"/>
              <w:adjustRightInd w:val="0"/>
              <w:snapToGrid w:val="0"/>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color w:val="auto"/>
                <w:szCs w:val="18"/>
                <w:highlight w:val="none"/>
              </w:rPr>
              <w:t>大气环境质量现状</w:t>
            </w:r>
            <w:r>
              <w:rPr>
                <w:rFonts w:hint="default" w:ascii="Times New Roman" w:hAnsi="Times New Roman" w:eastAsia="宋体" w:cs="Times New Roman"/>
                <w:color w:val="auto"/>
                <w:szCs w:val="18"/>
                <w:highlight w:val="none"/>
                <w:lang w:val="en-US" w:eastAsia="zh-CN"/>
              </w:rPr>
              <w:t>引用</w:t>
            </w:r>
            <w:r>
              <w:rPr>
                <w:rFonts w:hint="default" w:ascii="Times New Roman" w:hAnsi="Times New Roman" w:eastAsia="宋体" w:cs="Times New Roman"/>
                <w:color w:val="auto"/>
                <w:szCs w:val="18"/>
                <w:highlight w:val="none"/>
              </w:rPr>
              <w:t>监测结果见表</w:t>
            </w:r>
            <w:r>
              <w:rPr>
                <w:rFonts w:hint="default" w:ascii="Times New Roman" w:hAnsi="Times New Roman" w:eastAsia="宋体" w:cs="Times New Roman"/>
                <w:color w:val="auto"/>
                <w:szCs w:val="18"/>
                <w:highlight w:val="none"/>
                <w:lang w:val="en-US" w:eastAsia="zh-CN"/>
              </w:rPr>
              <w:t>3-2</w:t>
            </w:r>
            <w:r>
              <w:rPr>
                <w:rFonts w:hint="default" w:ascii="Times New Roman" w:hAnsi="Times New Roman" w:eastAsia="宋体" w:cs="Times New Roman"/>
                <w:color w:val="auto"/>
                <w:szCs w:val="18"/>
                <w:highlight w:val="none"/>
              </w:rPr>
              <w:t>。</w:t>
            </w:r>
          </w:p>
          <w:p w14:paraId="6510D8EA">
            <w:pPr>
              <w:pStyle w:val="10"/>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color w:val="auto"/>
                <w:sz w:val="21"/>
                <w:szCs w:val="21"/>
                <w:highlight w:val="none"/>
                <w:vertAlign w:val="superscript"/>
              </w:rPr>
            </w:pPr>
            <w:r>
              <w:rPr>
                <w:rFonts w:hint="default" w:ascii="Times New Roman" w:hAnsi="Times New Roman" w:eastAsia="宋体" w:cs="Times New Roman"/>
                <w:b/>
                <w:bCs/>
                <w:color w:val="auto"/>
                <w:sz w:val="21"/>
                <w:szCs w:val="21"/>
                <w:highlight w:val="none"/>
                <w:lang w:val="zh-CN"/>
              </w:rPr>
              <w:t>表</w:t>
            </w:r>
            <w:r>
              <w:rPr>
                <w:rFonts w:hint="default" w:ascii="Times New Roman" w:hAnsi="Times New Roman" w:eastAsia="宋体" w:cs="Times New Roman"/>
                <w:b/>
                <w:bCs/>
                <w:color w:val="auto"/>
                <w:sz w:val="21"/>
                <w:szCs w:val="21"/>
                <w:highlight w:val="none"/>
                <w:lang w:val="en-US" w:eastAsia="zh-CN"/>
              </w:rPr>
              <w:t>3-2</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引用项目</w:t>
            </w:r>
            <w:r>
              <w:rPr>
                <w:rFonts w:hint="eastAsia" w:cs="Times New Roman"/>
                <w:b/>
                <w:bCs/>
                <w:color w:val="auto"/>
                <w:sz w:val="21"/>
                <w:szCs w:val="21"/>
                <w:highlight w:val="none"/>
                <w:lang w:val="en-US" w:eastAsia="zh-CN"/>
              </w:rPr>
              <w:t>环境空气监测</w:t>
            </w:r>
            <w:r>
              <w:rPr>
                <w:rFonts w:hint="default" w:ascii="Times New Roman" w:hAnsi="Times New Roman" w:eastAsia="宋体" w:cs="Times New Roman"/>
                <w:b/>
                <w:bCs/>
                <w:color w:val="auto"/>
                <w:szCs w:val="21"/>
                <w:highlight w:val="none"/>
              </w:rPr>
              <w:t>结果</w:t>
            </w:r>
            <w:r>
              <w:rPr>
                <w:rFonts w:hint="default" w:ascii="Times New Roman" w:hAnsi="Times New Roman" w:eastAsia="宋体" w:cs="Times New Roman"/>
                <w:b/>
                <w:bCs/>
                <w:color w:val="auto"/>
                <w:sz w:val="21"/>
                <w:szCs w:val="21"/>
                <w:highlight w:val="none"/>
              </w:rPr>
              <w:t xml:space="preserve">   单位：</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p>
          <w:tbl>
            <w:tblPr>
              <w:tblStyle w:val="27"/>
              <w:tblW w:w="8378"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583"/>
              <w:gridCol w:w="1604"/>
              <w:gridCol w:w="1877"/>
              <w:gridCol w:w="2118"/>
            </w:tblGrid>
            <w:tr w14:paraId="22FB782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6" w:type="dxa"/>
                  <w:vMerge w:val="restart"/>
                  <w:tcBorders>
                    <w:tl2br w:val="nil"/>
                    <w:tr2bl w:val="nil"/>
                  </w:tcBorders>
                  <w:noWrap w:val="0"/>
                  <w:vAlign w:val="center"/>
                </w:tcPr>
                <w:p w14:paraId="2443715E">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采样日期</w:t>
                  </w:r>
                </w:p>
              </w:tc>
              <w:tc>
                <w:tcPr>
                  <w:tcW w:w="3187" w:type="dxa"/>
                  <w:gridSpan w:val="2"/>
                  <w:tcBorders>
                    <w:tl2br w:val="nil"/>
                    <w:tr2bl w:val="nil"/>
                  </w:tcBorders>
                  <w:noWrap w:val="0"/>
                  <w:vAlign w:val="center"/>
                </w:tcPr>
                <w:p w14:paraId="52FB1A1B">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检测点位：</w:t>
                  </w:r>
                  <w:r>
                    <w:rPr>
                      <w:rFonts w:hint="default" w:ascii="Times New Roman" w:hAnsi="Times New Roman" w:eastAsia="宋体" w:cs="Times New Roman"/>
                      <w:b/>
                      <w:bCs/>
                      <w:color w:val="auto"/>
                      <w:szCs w:val="21"/>
                      <w:highlight w:val="none"/>
                    </w:rPr>
                    <w:t>HQ1项目区内</w:t>
                  </w:r>
                </w:p>
              </w:tc>
              <w:tc>
                <w:tcPr>
                  <w:tcW w:w="3995" w:type="dxa"/>
                  <w:gridSpan w:val="2"/>
                  <w:tcBorders>
                    <w:tl2br w:val="nil"/>
                    <w:tr2bl w:val="nil"/>
                  </w:tcBorders>
                  <w:noWrap w:val="0"/>
                  <w:vAlign w:val="center"/>
                </w:tcPr>
                <w:p w14:paraId="200A66CE">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检测点位：</w:t>
                  </w:r>
                  <w:r>
                    <w:rPr>
                      <w:rFonts w:hint="default" w:ascii="Times New Roman" w:hAnsi="Times New Roman" w:eastAsia="宋体" w:cs="Times New Roman"/>
                      <w:b/>
                      <w:bCs/>
                      <w:color w:val="auto"/>
                      <w:szCs w:val="21"/>
                      <w:highlight w:val="none"/>
                    </w:rPr>
                    <w:t>HQ2项目区下风向（雀吃沟</w:t>
                  </w:r>
                  <w:r>
                    <w:rPr>
                      <w:rFonts w:hint="default" w:ascii="Times New Roman" w:hAnsi="Times New Roman" w:eastAsia="宋体" w:cs="Times New Roman"/>
                      <w:b/>
                      <w:bCs/>
                      <w:color w:val="auto"/>
                      <w:szCs w:val="21"/>
                      <w:highlight w:val="none"/>
                      <w:lang w:val="en-US" w:eastAsia="zh-CN"/>
                    </w:rPr>
                    <w:t>村</w:t>
                  </w:r>
                  <w:r>
                    <w:rPr>
                      <w:rFonts w:hint="default" w:ascii="Times New Roman" w:hAnsi="Times New Roman" w:eastAsia="宋体" w:cs="Times New Roman"/>
                      <w:b/>
                      <w:bCs/>
                      <w:color w:val="auto"/>
                      <w:szCs w:val="21"/>
                      <w:highlight w:val="none"/>
                    </w:rPr>
                    <w:t>）</w:t>
                  </w:r>
                </w:p>
              </w:tc>
            </w:tr>
            <w:tr w14:paraId="01E8D8A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6" w:type="dxa"/>
                  <w:vMerge w:val="continue"/>
                  <w:tcBorders>
                    <w:tl2br w:val="nil"/>
                    <w:tr2bl w:val="nil"/>
                  </w:tcBorders>
                  <w:noWrap w:val="0"/>
                  <w:vAlign w:val="center"/>
                </w:tcPr>
                <w:p w14:paraId="34082883">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b/>
                      <w:bCs/>
                      <w:color w:val="auto"/>
                      <w:szCs w:val="21"/>
                      <w:highlight w:val="none"/>
                    </w:rPr>
                  </w:pPr>
                </w:p>
              </w:tc>
              <w:tc>
                <w:tcPr>
                  <w:tcW w:w="1583" w:type="dxa"/>
                  <w:tcBorders>
                    <w:tl2br w:val="nil"/>
                    <w:tr2bl w:val="nil"/>
                  </w:tcBorders>
                  <w:noWrap w:val="0"/>
                  <w:vAlign w:val="center"/>
                </w:tcPr>
                <w:p w14:paraId="79943E68">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样品编号</w:t>
                  </w:r>
                </w:p>
              </w:tc>
              <w:tc>
                <w:tcPr>
                  <w:tcW w:w="1604" w:type="dxa"/>
                  <w:tcBorders>
                    <w:tl2br w:val="nil"/>
                    <w:tr2bl w:val="nil"/>
                  </w:tcBorders>
                  <w:noWrap w:val="0"/>
                  <w:vAlign w:val="center"/>
                </w:tcPr>
                <w:p w14:paraId="7C0B731A">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TSP（日均值）</w:t>
                  </w:r>
                </w:p>
              </w:tc>
              <w:tc>
                <w:tcPr>
                  <w:tcW w:w="1877" w:type="dxa"/>
                  <w:tcBorders>
                    <w:tl2br w:val="nil"/>
                    <w:tr2bl w:val="nil"/>
                  </w:tcBorders>
                  <w:noWrap w:val="0"/>
                  <w:vAlign w:val="center"/>
                </w:tcPr>
                <w:p w14:paraId="080693C2">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样品编号</w:t>
                  </w:r>
                </w:p>
              </w:tc>
              <w:tc>
                <w:tcPr>
                  <w:tcW w:w="2118" w:type="dxa"/>
                  <w:tcBorders>
                    <w:tl2br w:val="nil"/>
                    <w:tr2bl w:val="nil"/>
                  </w:tcBorders>
                  <w:noWrap w:val="0"/>
                  <w:vAlign w:val="center"/>
                </w:tcPr>
                <w:p w14:paraId="00F988F6">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TSP（日均值）</w:t>
                  </w:r>
                </w:p>
              </w:tc>
            </w:tr>
            <w:tr w14:paraId="4677F15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6" w:type="dxa"/>
                  <w:tcBorders>
                    <w:tl2br w:val="nil"/>
                    <w:tr2bl w:val="nil"/>
                  </w:tcBorders>
                  <w:noWrap w:val="0"/>
                  <w:vAlign w:val="center"/>
                </w:tcPr>
                <w:p w14:paraId="375EC174">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2021-07-26</w:t>
                  </w:r>
                </w:p>
              </w:tc>
              <w:tc>
                <w:tcPr>
                  <w:tcW w:w="1583" w:type="dxa"/>
                  <w:tcBorders>
                    <w:tl2br w:val="nil"/>
                    <w:tr2bl w:val="nil"/>
                  </w:tcBorders>
                  <w:noWrap w:val="0"/>
                  <w:vAlign w:val="center"/>
                </w:tcPr>
                <w:p w14:paraId="402A6B72">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HQ1-1-1</w:t>
                  </w:r>
                </w:p>
              </w:tc>
              <w:tc>
                <w:tcPr>
                  <w:tcW w:w="1604" w:type="dxa"/>
                  <w:tcBorders>
                    <w:tl2br w:val="nil"/>
                    <w:tr2bl w:val="nil"/>
                  </w:tcBorders>
                  <w:noWrap w:val="0"/>
                  <w:vAlign w:val="center"/>
                </w:tcPr>
                <w:p w14:paraId="2328A5C8">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0.101</w:t>
                  </w:r>
                </w:p>
              </w:tc>
              <w:tc>
                <w:tcPr>
                  <w:tcW w:w="1877" w:type="dxa"/>
                  <w:tcBorders>
                    <w:tl2br w:val="nil"/>
                    <w:tr2bl w:val="nil"/>
                  </w:tcBorders>
                  <w:noWrap w:val="0"/>
                  <w:vAlign w:val="center"/>
                </w:tcPr>
                <w:p w14:paraId="4B3AE1F4">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HQ2-1-1</w:t>
                  </w:r>
                </w:p>
              </w:tc>
              <w:tc>
                <w:tcPr>
                  <w:tcW w:w="2118" w:type="dxa"/>
                  <w:tcBorders>
                    <w:tl2br w:val="nil"/>
                    <w:tr2bl w:val="nil"/>
                  </w:tcBorders>
                  <w:noWrap w:val="0"/>
                  <w:vAlign w:val="center"/>
                </w:tcPr>
                <w:p w14:paraId="5B66C2F3">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0.111</w:t>
                  </w:r>
                </w:p>
              </w:tc>
            </w:tr>
            <w:tr w14:paraId="3E3E8AE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6" w:type="dxa"/>
                  <w:tcBorders>
                    <w:tl2br w:val="nil"/>
                    <w:tr2bl w:val="nil"/>
                  </w:tcBorders>
                  <w:noWrap w:val="0"/>
                  <w:vAlign w:val="center"/>
                </w:tcPr>
                <w:p w14:paraId="3DBD6B79">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2021-07-27</w:t>
                  </w:r>
                </w:p>
              </w:tc>
              <w:tc>
                <w:tcPr>
                  <w:tcW w:w="1583" w:type="dxa"/>
                  <w:tcBorders>
                    <w:tl2br w:val="nil"/>
                    <w:tr2bl w:val="nil"/>
                  </w:tcBorders>
                  <w:noWrap w:val="0"/>
                  <w:vAlign w:val="center"/>
                </w:tcPr>
                <w:p w14:paraId="616F5725">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HQ1-2-1</w:t>
                  </w:r>
                </w:p>
              </w:tc>
              <w:tc>
                <w:tcPr>
                  <w:tcW w:w="1604" w:type="dxa"/>
                  <w:tcBorders>
                    <w:tl2br w:val="nil"/>
                    <w:tr2bl w:val="nil"/>
                  </w:tcBorders>
                  <w:noWrap w:val="0"/>
                  <w:vAlign w:val="center"/>
                </w:tcPr>
                <w:p w14:paraId="2C866D9C">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0.114</w:t>
                  </w:r>
                </w:p>
              </w:tc>
              <w:tc>
                <w:tcPr>
                  <w:tcW w:w="1877" w:type="dxa"/>
                  <w:tcBorders>
                    <w:tl2br w:val="nil"/>
                    <w:tr2bl w:val="nil"/>
                  </w:tcBorders>
                  <w:noWrap w:val="0"/>
                  <w:vAlign w:val="center"/>
                </w:tcPr>
                <w:p w14:paraId="08211669">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HQ2-2-1</w:t>
                  </w:r>
                </w:p>
              </w:tc>
              <w:tc>
                <w:tcPr>
                  <w:tcW w:w="2118" w:type="dxa"/>
                  <w:tcBorders>
                    <w:tl2br w:val="nil"/>
                    <w:tr2bl w:val="nil"/>
                  </w:tcBorders>
                  <w:noWrap w:val="0"/>
                  <w:vAlign w:val="center"/>
                </w:tcPr>
                <w:p w14:paraId="1F14FC2E">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0.103</w:t>
                  </w:r>
                </w:p>
              </w:tc>
            </w:tr>
            <w:tr w14:paraId="0BA7C0C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6" w:type="dxa"/>
                  <w:tcBorders>
                    <w:tl2br w:val="nil"/>
                    <w:tr2bl w:val="nil"/>
                  </w:tcBorders>
                  <w:noWrap w:val="0"/>
                  <w:vAlign w:val="center"/>
                </w:tcPr>
                <w:p w14:paraId="6D6D80F2">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2021-07-28</w:t>
                  </w:r>
                </w:p>
              </w:tc>
              <w:tc>
                <w:tcPr>
                  <w:tcW w:w="1583" w:type="dxa"/>
                  <w:tcBorders>
                    <w:tl2br w:val="nil"/>
                    <w:tr2bl w:val="nil"/>
                  </w:tcBorders>
                  <w:noWrap w:val="0"/>
                  <w:vAlign w:val="center"/>
                </w:tcPr>
                <w:p w14:paraId="3FEB128C">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HQ1-3-1</w:t>
                  </w:r>
                </w:p>
              </w:tc>
              <w:tc>
                <w:tcPr>
                  <w:tcW w:w="1604" w:type="dxa"/>
                  <w:tcBorders>
                    <w:tl2br w:val="nil"/>
                    <w:tr2bl w:val="nil"/>
                  </w:tcBorders>
                  <w:noWrap w:val="0"/>
                  <w:vAlign w:val="center"/>
                </w:tcPr>
                <w:p w14:paraId="0159568A">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0.124</w:t>
                  </w:r>
                </w:p>
              </w:tc>
              <w:tc>
                <w:tcPr>
                  <w:tcW w:w="1877" w:type="dxa"/>
                  <w:tcBorders>
                    <w:tl2br w:val="nil"/>
                    <w:tr2bl w:val="nil"/>
                  </w:tcBorders>
                  <w:noWrap w:val="0"/>
                  <w:vAlign w:val="center"/>
                </w:tcPr>
                <w:p w14:paraId="0A2A6B54">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HQ2-3-1</w:t>
                  </w:r>
                </w:p>
              </w:tc>
              <w:tc>
                <w:tcPr>
                  <w:tcW w:w="2118" w:type="dxa"/>
                  <w:tcBorders>
                    <w:tl2br w:val="nil"/>
                    <w:tr2bl w:val="nil"/>
                  </w:tcBorders>
                  <w:noWrap w:val="0"/>
                  <w:vAlign w:val="center"/>
                </w:tcPr>
                <w:p w14:paraId="703FADCE">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0.115</w:t>
                  </w:r>
                </w:p>
              </w:tc>
            </w:tr>
            <w:tr w14:paraId="767FE3E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6" w:type="dxa"/>
                  <w:tcBorders>
                    <w:tl2br w:val="nil"/>
                    <w:tr2bl w:val="nil"/>
                  </w:tcBorders>
                  <w:noWrap w:val="0"/>
                  <w:vAlign w:val="center"/>
                </w:tcPr>
                <w:p w14:paraId="6FCB7CBE">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2021-07-29</w:t>
                  </w:r>
                </w:p>
              </w:tc>
              <w:tc>
                <w:tcPr>
                  <w:tcW w:w="1583" w:type="dxa"/>
                  <w:tcBorders>
                    <w:tl2br w:val="nil"/>
                    <w:tr2bl w:val="nil"/>
                  </w:tcBorders>
                  <w:noWrap w:val="0"/>
                  <w:vAlign w:val="center"/>
                </w:tcPr>
                <w:p w14:paraId="6DA1E7BF">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HQ1-4-1</w:t>
                  </w:r>
                </w:p>
              </w:tc>
              <w:tc>
                <w:tcPr>
                  <w:tcW w:w="1604" w:type="dxa"/>
                  <w:tcBorders>
                    <w:tl2br w:val="nil"/>
                    <w:tr2bl w:val="nil"/>
                  </w:tcBorders>
                  <w:noWrap w:val="0"/>
                  <w:vAlign w:val="center"/>
                </w:tcPr>
                <w:p w14:paraId="3BC64535">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0.108</w:t>
                  </w:r>
                </w:p>
              </w:tc>
              <w:tc>
                <w:tcPr>
                  <w:tcW w:w="1877" w:type="dxa"/>
                  <w:tcBorders>
                    <w:tl2br w:val="nil"/>
                    <w:tr2bl w:val="nil"/>
                  </w:tcBorders>
                  <w:noWrap w:val="0"/>
                  <w:vAlign w:val="center"/>
                </w:tcPr>
                <w:p w14:paraId="7C399A80">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HQ2-4-1</w:t>
                  </w:r>
                </w:p>
              </w:tc>
              <w:tc>
                <w:tcPr>
                  <w:tcW w:w="2118" w:type="dxa"/>
                  <w:tcBorders>
                    <w:tl2br w:val="nil"/>
                    <w:tr2bl w:val="nil"/>
                  </w:tcBorders>
                  <w:noWrap w:val="0"/>
                  <w:vAlign w:val="center"/>
                </w:tcPr>
                <w:p w14:paraId="711328CA">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0.117</w:t>
                  </w:r>
                </w:p>
              </w:tc>
            </w:tr>
            <w:tr w14:paraId="14975AE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6" w:type="dxa"/>
                  <w:tcBorders>
                    <w:tl2br w:val="nil"/>
                    <w:tr2bl w:val="nil"/>
                  </w:tcBorders>
                  <w:noWrap w:val="0"/>
                  <w:vAlign w:val="center"/>
                </w:tcPr>
                <w:p w14:paraId="3F7F6F0E">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2021-07-30</w:t>
                  </w:r>
                </w:p>
              </w:tc>
              <w:tc>
                <w:tcPr>
                  <w:tcW w:w="1583" w:type="dxa"/>
                  <w:tcBorders>
                    <w:tl2br w:val="nil"/>
                    <w:tr2bl w:val="nil"/>
                  </w:tcBorders>
                  <w:noWrap w:val="0"/>
                  <w:vAlign w:val="center"/>
                </w:tcPr>
                <w:p w14:paraId="0989A662">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HQ1-5-1</w:t>
                  </w:r>
                </w:p>
              </w:tc>
              <w:tc>
                <w:tcPr>
                  <w:tcW w:w="1604" w:type="dxa"/>
                  <w:tcBorders>
                    <w:tl2br w:val="nil"/>
                    <w:tr2bl w:val="nil"/>
                  </w:tcBorders>
                  <w:noWrap w:val="0"/>
                  <w:vAlign w:val="center"/>
                </w:tcPr>
                <w:p w14:paraId="72D665B9">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0.123</w:t>
                  </w:r>
                </w:p>
              </w:tc>
              <w:tc>
                <w:tcPr>
                  <w:tcW w:w="1877" w:type="dxa"/>
                  <w:tcBorders>
                    <w:tl2br w:val="nil"/>
                    <w:tr2bl w:val="nil"/>
                  </w:tcBorders>
                  <w:noWrap w:val="0"/>
                  <w:vAlign w:val="center"/>
                </w:tcPr>
                <w:p w14:paraId="55AC52DD">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HQ2-5-1</w:t>
                  </w:r>
                </w:p>
              </w:tc>
              <w:tc>
                <w:tcPr>
                  <w:tcW w:w="2118" w:type="dxa"/>
                  <w:tcBorders>
                    <w:tl2br w:val="nil"/>
                    <w:tr2bl w:val="nil"/>
                  </w:tcBorders>
                  <w:noWrap w:val="0"/>
                  <w:vAlign w:val="center"/>
                </w:tcPr>
                <w:p w14:paraId="4027A5E7">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0.124</w:t>
                  </w:r>
                </w:p>
              </w:tc>
            </w:tr>
            <w:tr w14:paraId="7FE48DB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6" w:type="dxa"/>
                  <w:tcBorders>
                    <w:tl2br w:val="nil"/>
                    <w:tr2bl w:val="nil"/>
                  </w:tcBorders>
                  <w:noWrap w:val="0"/>
                  <w:vAlign w:val="center"/>
                </w:tcPr>
                <w:p w14:paraId="1709C410">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2021-07-31</w:t>
                  </w:r>
                </w:p>
              </w:tc>
              <w:tc>
                <w:tcPr>
                  <w:tcW w:w="1583" w:type="dxa"/>
                  <w:tcBorders>
                    <w:tl2br w:val="nil"/>
                    <w:tr2bl w:val="nil"/>
                  </w:tcBorders>
                  <w:noWrap w:val="0"/>
                  <w:vAlign w:val="center"/>
                </w:tcPr>
                <w:p w14:paraId="1E8D674C">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HQ1-6-1</w:t>
                  </w:r>
                </w:p>
              </w:tc>
              <w:tc>
                <w:tcPr>
                  <w:tcW w:w="1604" w:type="dxa"/>
                  <w:tcBorders>
                    <w:tl2br w:val="nil"/>
                    <w:tr2bl w:val="nil"/>
                  </w:tcBorders>
                  <w:noWrap w:val="0"/>
                  <w:vAlign w:val="center"/>
                </w:tcPr>
                <w:p w14:paraId="18FBF1B4">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0.113</w:t>
                  </w:r>
                </w:p>
              </w:tc>
              <w:tc>
                <w:tcPr>
                  <w:tcW w:w="1877" w:type="dxa"/>
                  <w:tcBorders>
                    <w:tl2br w:val="nil"/>
                    <w:tr2bl w:val="nil"/>
                  </w:tcBorders>
                  <w:noWrap w:val="0"/>
                  <w:vAlign w:val="center"/>
                </w:tcPr>
                <w:p w14:paraId="2E96DBD5">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HQ2-6-1</w:t>
                  </w:r>
                </w:p>
              </w:tc>
              <w:tc>
                <w:tcPr>
                  <w:tcW w:w="2118" w:type="dxa"/>
                  <w:tcBorders>
                    <w:tl2br w:val="nil"/>
                    <w:tr2bl w:val="nil"/>
                  </w:tcBorders>
                  <w:noWrap w:val="0"/>
                  <w:vAlign w:val="center"/>
                </w:tcPr>
                <w:p w14:paraId="2E480544">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0.136</w:t>
                  </w:r>
                </w:p>
              </w:tc>
            </w:tr>
            <w:tr w14:paraId="7509B9F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6" w:type="dxa"/>
                  <w:tcBorders>
                    <w:tl2br w:val="nil"/>
                    <w:tr2bl w:val="nil"/>
                  </w:tcBorders>
                  <w:noWrap w:val="0"/>
                  <w:vAlign w:val="center"/>
                </w:tcPr>
                <w:p w14:paraId="7B4E60E7">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2021-08-01</w:t>
                  </w:r>
                </w:p>
              </w:tc>
              <w:tc>
                <w:tcPr>
                  <w:tcW w:w="1583" w:type="dxa"/>
                  <w:tcBorders>
                    <w:tl2br w:val="nil"/>
                    <w:tr2bl w:val="nil"/>
                  </w:tcBorders>
                  <w:noWrap w:val="0"/>
                  <w:vAlign w:val="center"/>
                </w:tcPr>
                <w:p w14:paraId="27B3E026">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HQ1-7-1</w:t>
                  </w:r>
                </w:p>
              </w:tc>
              <w:tc>
                <w:tcPr>
                  <w:tcW w:w="1604" w:type="dxa"/>
                  <w:tcBorders>
                    <w:tl2br w:val="nil"/>
                    <w:tr2bl w:val="nil"/>
                  </w:tcBorders>
                  <w:noWrap w:val="0"/>
                  <w:vAlign w:val="center"/>
                </w:tcPr>
                <w:p w14:paraId="0A3A5235">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0.126</w:t>
                  </w:r>
                </w:p>
              </w:tc>
              <w:tc>
                <w:tcPr>
                  <w:tcW w:w="1877" w:type="dxa"/>
                  <w:tcBorders>
                    <w:tl2br w:val="nil"/>
                    <w:tr2bl w:val="nil"/>
                  </w:tcBorders>
                  <w:noWrap w:val="0"/>
                  <w:vAlign w:val="center"/>
                </w:tcPr>
                <w:p w14:paraId="2496DD72">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HQ2-7-1</w:t>
                  </w:r>
                </w:p>
              </w:tc>
              <w:tc>
                <w:tcPr>
                  <w:tcW w:w="2118" w:type="dxa"/>
                  <w:tcBorders>
                    <w:tl2br w:val="nil"/>
                    <w:tr2bl w:val="nil"/>
                  </w:tcBorders>
                  <w:noWrap w:val="0"/>
                  <w:vAlign w:val="center"/>
                </w:tcPr>
                <w:p w14:paraId="3FFE038A">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0.124</w:t>
                  </w:r>
                </w:p>
              </w:tc>
            </w:tr>
            <w:tr w14:paraId="2FE44ED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79" w:type="dxa"/>
                  <w:gridSpan w:val="2"/>
                  <w:tcBorders>
                    <w:tl2br w:val="nil"/>
                    <w:tr2bl w:val="nil"/>
                  </w:tcBorders>
                  <w:noWrap w:val="0"/>
                  <w:vAlign w:val="center"/>
                </w:tcPr>
                <w:p w14:paraId="63EF7579">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标准值</w:t>
                  </w:r>
                </w:p>
              </w:tc>
              <w:tc>
                <w:tcPr>
                  <w:tcW w:w="1604" w:type="dxa"/>
                  <w:tcBorders>
                    <w:tl2br w:val="nil"/>
                    <w:tr2bl w:val="nil"/>
                  </w:tcBorders>
                  <w:noWrap w:val="0"/>
                  <w:vAlign w:val="center"/>
                </w:tcPr>
                <w:p w14:paraId="29407A18">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0.3</w:t>
                  </w:r>
                </w:p>
              </w:tc>
              <w:tc>
                <w:tcPr>
                  <w:tcW w:w="1877" w:type="dxa"/>
                  <w:tcBorders>
                    <w:tl2br w:val="nil"/>
                    <w:tr2bl w:val="nil"/>
                  </w:tcBorders>
                  <w:noWrap w:val="0"/>
                  <w:vAlign w:val="center"/>
                </w:tcPr>
                <w:p w14:paraId="478441A1">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标准值</w:t>
                  </w:r>
                </w:p>
              </w:tc>
              <w:tc>
                <w:tcPr>
                  <w:tcW w:w="2118" w:type="dxa"/>
                  <w:tcBorders>
                    <w:tl2br w:val="nil"/>
                    <w:tr2bl w:val="nil"/>
                  </w:tcBorders>
                  <w:noWrap w:val="0"/>
                  <w:vAlign w:val="center"/>
                </w:tcPr>
                <w:p w14:paraId="108B0EC2">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0.3</w:t>
                  </w:r>
                </w:p>
              </w:tc>
            </w:tr>
            <w:tr w14:paraId="5785F2F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79" w:type="dxa"/>
                  <w:gridSpan w:val="2"/>
                  <w:tcBorders>
                    <w:tl2br w:val="nil"/>
                    <w:tr2bl w:val="nil"/>
                  </w:tcBorders>
                  <w:noWrap w:val="0"/>
                  <w:vAlign w:val="center"/>
                </w:tcPr>
                <w:p w14:paraId="68AEFF42">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达标情况</w:t>
                  </w:r>
                </w:p>
              </w:tc>
              <w:tc>
                <w:tcPr>
                  <w:tcW w:w="1604" w:type="dxa"/>
                  <w:tcBorders>
                    <w:tl2br w:val="nil"/>
                    <w:tr2bl w:val="nil"/>
                  </w:tcBorders>
                  <w:noWrap w:val="0"/>
                  <w:vAlign w:val="center"/>
                </w:tcPr>
                <w:p w14:paraId="44778140">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1877" w:type="dxa"/>
                  <w:tcBorders>
                    <w:tl2br w:val="nil"/>
                    <w:tr2bl w:val="nil"/>
                  </w:tcBorders>
                  <w:noWrap w:val="0"/>
                  <w:vAlign w:val="center"/>
                </w:tcPr>
                <w:p w14:paraId="248545DC">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达标情况</w:t>
                  </w:r>
                </w:p>
              </w:tc>
              <w:tc>
                <w:tcPr>
                  <w:tcW w:w="2118" w:type="dxa"/>
                  <w:tcBorders>
                    <w:tl2br w:val="nil"/>
                    <w:tr2bl w:val="nil"/>
                  </w:tcBorders>
                  <w:noWrap w:val="0"/>
                  <w:vAlign w:val="center"/>
                </w:tcPr>
                <w:p w14:paraId="3372A0D1">
                  <w:pPr>
                    <w:keepNext w:val="0"/>
                    <w:keepLines w:val="0"/>
                    <w:pageBreakBefore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bl>
          <w:p w14:paraId="640135D5">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highlight w:val="none"/>
                <w:lang w:val="en-US" w:eastAsia="zh-CN"/>
              </w:rPr>
              <w:t>根据引用</w:t>
            </w:r>
            <w:r>
              <w:rPr>
                <w:rFonts w:hint="default" w:ascii="Times New Roman" w:hAnsi="Times New Roman" w:eastAsia="宋体" w:cs="Times New Roman"/>
                <w:color w:val="auto"/>
                <w:kern w:val="0"/>
                <w:sz w:val="24"/>
                <w:highlight w:val="none"/>
              </w:rPr>
              <w:t>监测</w:t>
            </w:r>
            <w:r>
              <w:rPr>
                <w:rFonts w:hint="default" w:ascii="Times New Roman" w:hAnsi="Times New Roman" w:eastAsia="宋体" w:cs="Times New Roman"/>
                <w:color w:val="auto"/>
                <w:kern w:val="0"/>
                <w:sz w:val="24"/>
                <w:highlight w:val="none"/>
                <w:lang w:val="en-US" w:eastAsia="zh-CN"/>
              </w:rPr>
              <w:t>结果可知</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引用项目区内及下风向保护目标雀吃沟村</w:t>
            </w:r>
            <w:r>
              <w:rPr>
                <w:rFonts w:hint="default" w:ascii="Times New Roman" w:hAnsi="Times New Roman" w:eastAsia="宋体" w:cs="Times New Roman"/>
                <w:color w:val="auto"/>
                <w:kern w:val="0"/>
                <w:sz w:val="24"/>
                <w:highlight w:val="none"/>
              </w:rPr>
              <w:t>两个监测点TSP日均值浓度能够达到《环境空气质量标准》（GB3095-2012）二级评价标准要求。项目区环境空气质量满足功能区要求。</w:t>
            </w:r>
          </w:p>
          <w:p w14:paraId="2B59D92D">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2、地表水环境质量现状</w:t>
            </w:r>
          </w:p>
          <w:p w14:paraId="641E5844">
            <w:pPr>
              <w:keepNext w:val="0"/>
              <w:keepLines w:val="0"/>
              <w:pageBreakBefore w:val="0"/>
              <w:kinsoku/>
              <w:wordWrap/>
              <w:overflowPunct/>
              <w:topLinePunct w:val="0"/>
              <w:bidi w:val="0"/>
              <w:adjustRightInd w:val="0"/>
              <w:snapToGrid w:val="0"/>
              <w:spacing w:line="348" w:lineRule="auto"/>
              <w:ind w:firstLine="480" w:firstLineChars="200"/>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rPr>
              <w:t>根据项目区域水系图可知，</w:t>
            </w:r>
            <w:r>
              <w:rPr>
                <w:rFonts w:hint="default" w:ascii="Times New Roman" w:hAnsi="Times New Roman" w:eastAsia="宋体" w:cs="Times New Roman"/>
                <w:color w:val="auto"/>
                <w:kern w:val="0"/>
                <w:sz w:val="24"/>
                <w:highlight w:val="none"/>
                <w:lang w:val="zh-CN"/>
              </w:rPr>
              <w:t>本项目距离最近的地表水体为</w:t>
            </w:r>
            <w:r>
              <w:rPr>
                <w:rFonts w:hint="default" w:ascii="Times New Roman" w:hAnsi="Times New Roman" w:eastAsia="宋体" w:cs="Times New Roman"/>
                <w:color w:val="auto"/>
                <w:kern w:val="0"/>
                <w:sz w:val="24"/>
                <w:highlight w:val="none"/>
              </w:rPr>
              <w:t>南侧</w:t>
            </w:r>
            <w:r>
              <w:rPr>
                <w:rFonts w:hint="eastAsia" w:cs="Times New Roman"/>
                <w:color w:val="auto"/>
                <w:kern w:val="0"/>
                <w:sz w:val="24"/>
                <w:highlight w:val="none"/>
                <w:lang w:val="en-US" w:eastAsia="zh-CN"/>
              </w:rPr>
              <w:t>883</w:t>
            </w:r>
            <w:r>
              <w:rPr>
                <w:rFonts w:hint="default" w:ascii="Times New Roman" w:hAnsi="Times New Roman" w:eastAsia="宋体" w:cs="Times New Roman"/>
                <w:color w:val="auto"/>
                <w:kern w:val="0"/>
                <w:sz w:val="24"/>
                <w:highlight w:val="none"/>
              </w:rPr>
              <w:t>m处的</w:t>
            </w:r>
            <w:r>
              <w:rPr>
                <w:rFonts w:hint="eastAsia" w:cs="Times New Roman"/>
                <w:color w:val="auto"/>
                <w:kern w:val="0"/>
                <w:sz w:val="24"/>
                <w:highlight w:val="none"/>
                <w:lang w:eastAsia="zh-CN"/>
              </w:rPr>
              <w:t>老渡河</w:t>
            </w:r>
            <w:r>
              <w:rPr>
                <w:rFonts w:hint="default" w:ascii="Times New Roman" w:hAnsi="Times New Roman" w:eastAsia="宋体" w:cs="Times New Roman"/>
                <w:color w:val="auto"/>
                <w:kern w:val="0"/>
                <w:sz w:val="24"/>
                <w:highlight w:val="none"/>
                <w:lang w:val="zh-CN"/>
              </w:rPr>
              <w:t>，</w:t>
            </w:r>
            <w:r>
              <w:rPr>
                <w:rFonts w:hint="eastAsia"/>
                <w:color w:val="auto"/>
                <w:sz w:val="24"/>
                <w:highlight w:val="none"/>
              </w:rPr>
              <w:t>老渡河最终汇入潘所海</w:t>
            </w:r>
            <w:r>
              <w:rPr>
                <w:rFonts w:hint="default" w:ascii="Times New Roman" w:hAnsi="Times New Roman" w:eastAsia="宋体" w:cs="Times New Roman"/>
                <w:color w:val="auto"/>
                <w:sz w:val="24"/>
                <w:highlight w:val="none"/>
                <w:shd w:val="clear" w:color="auto" w:fill="auto"/>
                <w:lang w:val="en-US" w:eastAsia="zh-CN"/>
              </w:rPr>
              <w:t>；项目</w:t>
            </w:r>
            <w:r>
              <w:rPr>
                <w:rFonts w:hint="default" w:ascii="Times New Roman" w:hAnsi="Times New Roman" w:eastAsia="宋体" w:cs="Times New Roman"/>
                <w:color w:val="auto"/>
                <w:sz w:val="24"/>
                <w:highlight w:val="none"/>
                <w:shd w:val="clear" w:color="auto" w:fill="auto"/>
              </w:rPr>
              <w:t>南侧</w:t>
            </w:r>
            <w:r>
              <w:rPr>
                <w:rFonts w:hint="eastAsia" w:cs="Times New Roman"/>
                <w:color w:val="auto"/>
                <w:sz w:val="24"/>
                <w:highlight w:val="none"/>
                <w:shd w:val="clear" w:color="auto" w:fill="auto"/>
                <w:lang w:val="en-US" w:eastAsia="zh-CN"/>
              </w:rPr>
              <w:t>1326</w:t>
            </w:r>
            <w:r>
              <w:rPr>
                <w:rFonts w:hint="default" w:ascii="Times New Roman" w:hAnsi="Times New Roman" w:eastAsia="宋体" w:cs="Times New Roman"/>
                <w:color w:val="auto"/>
                <w:sz w:val="24"/>
                <w:highlight w:val="none"/>
                <w:shd w:val="clear" w:color="auto" w:fill="auto"/>
              </w:rPr>
              <w:t>m处</w:t>
            </w:r>
            <w:r>
              <w:rPr>
                <w:rFonts w:hint="default" w:ascii="Times New Roman" w:hAnsi="Times New Roman" w:eastAsia="宋体" w:cs="Times New Roman"/>
                <w:color w:val="auto"/>
                <w:sz w:val="24"/>
                <w:highlight w:val="none"/>
                <w:shd w:val="clear" w:color="auto" w:fill="auto"/>
                <w:lang w:eastAsia="zh-CN"/>
              </w:rPr>
              <w:t>为</w:t>
            </w:r>
            <w:r>
              <w:rPr>
                <w:rFonts w:hint="default" w:ascii="Times New Roman" w:hAnsi="Times New Roman" w:eastAsia="宋体" w:cs="Times New Roman"/>
                <w:color w:val="auto"/>
                <w:sz w:val="24"/>
                <w:highlight w:val="none"/>
                <w:shd w:val="clear" w:color="auto" w:fill="auto"/>
              </w:rPr>
              <w:t>潘所海，潘所海地表水通过溶洞流入三月三水库</w:t>
            </w:r>
            <w:r>
              <w:rPr>
                <w:rFonts w:hint="default" w:ascii="Times New Roman" w:hAnsi="Times New Roman" w:eastAsia="宋体" w:cs="Times New Roman"/>
                <w:color w:val="auto"/>
                <w:sz w:val="24"/>
                <w:highlight w:val="none"/>
                <w:shd w:val="clear" w:color="auto" w:fill="auto"/>
                <w:lang w:eastAsia="zh-CN"/>
              </w:rPr>
              <w:t>；三月三水库由前进河出水</w:t>
            </w:r>
            <w:r>
              <w:rPr>
                <w:rFonts w:hint="default" w:ascii="Times New Roman" w:hAnsi="Times New Roman" w:eastAsia="宋体" w:cs="Times New Roman"/>
                <w:color w:val="auto"/>
                <w:sz w:val="24"/>
                <w:highlight w:val="none"/>
              </w:rPr>
              <w:t>，最终汇入牛栏江，属牛栏江支流。根据《云南省水功能区划（2014年修订）》，牛栏江（源头—德泽水库坝址段），水功能区划牛栏江-滇池补水水源保护区，2030年水质目标为Ⅲ类，执行</w:t>
            </w:r>
            <w:r>
              <w:rPr>
                <w:rFonts w:hint="default" w:ascii="Times New Roman" w:hAnsi="Times New Roman" w:eastAsia="宋体" w:cs="Times New Roman"/>
                <w:bCs/>
                <w:color w:val="auto"/>
                <w:sz w:val="24"/>
                <w:highlight w:val="none"/>
              </w:rPr>
              <w:t>《地表水环境质量标准》（GB3838-2002）Ⅲ类标准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zh-CN"/>
              </w:rPr>
              <w:t>由于《云南省水功能区划（2014年修订）》中未列出</w:t>
            </w:r>
            <w:r>
              <w:rPr>
                <w:rFonts w:hint="eastAsia"/>
                <w:color w:val="auto"/>
                <w:sz w:val="24"/>
                <w:highlight w:val="none"/>
              </w:rPr>
              <w:t>老渡河</w:t>
            </w:r>
            <w:r>
              <w:rPr>
                <w:rFonts w:hint="default" w:ascii="Times New Roman" w:hAnsi="Times New Roman" w:eastAsia="宋体" w:cs="Times New Roman"/>
                <w:color w:val="auto"/>
                <w:sz w:val="24"/>
                <w:highlight w:val="none"/>
                <w:lang w:val="zh-CN"/>
              </w:rPr>
              <w:t>的水环境功能区划，按照支流服从干流的原则，</w:t>
            </w:r>
            <w:r>
              <w:rPr>
                <w:rFonts w:hint="eastAsia"/>
                <w:color w:val="auto"/>
                <w:sz w:val="24"/>
                <w:highlight w:val="none"/>
              </w:rPr>
              <w:t>老渡河</w:t>
            </w:r>
            <w:r>
              <w:rPr>
                <w:rFonts w:hint="default" w:ascii="Times New Roman" w:hAnsi="Times New Roman" w:eastAsia="宋体" w:cs="Times New Roman"/>
                <w:color w:val="auto"/>
                <w:sz w:val="24"/>
                <w:highlight w:val="none"/>
                <w:lang w:val="zh-CN"/>
              </w:rPr>
              <w:t>参照</w:t>
            </w:r>
            <w:r>
              <w:rPr>
                <w:rFonts w:hint="default" w:ascii="Times New Roman" w:hAnsi="Times New Roman" w:eastAsia="宋体" w:cs="Times New Roman"/>
                <w:color w:val="auto"/>
                <w:sz w:val="24"/>
                <w:highlight w:val="none"/>
                <w:lang w:val="en-US" w:eastAsia="zh-CN"/>
              </w:rPr>
              <w:t>牛栏江</w:t>
            </w:r>
            <w:r>
              <w:rPr>
                <w:rFonts w:hint="default" w:ascii="Times New Roman" w:hAnsi="Times New Roman" w:eastAsia="宋体" w:cs="Times New Roman"/>
                <w:color w:val="auto"/>
                <w:sz w:val="24"/>
                <w:highlight w:val="none"/>
                <w:lang w:val="zh-CN"/>
              </w:rPr>
              <w:t>执行《地表水环境质量标准》</w:t>
            </w:r>
            <w:r>
              <w:rPr>
                <w:rFonts w:hint="default" w:ascii="Times New Roman" w:hAnsi="Times New Roman" w:eastAsia="宋体" w:cs="Times New Roman"/>
                <w:color w:val="auto"/>
                <w:kern w:val="0"/>
                <w:sz w:val="24"/>
                <w:highlight w:val="none"/>
                <w:lang w:val="zh-CN"/>
              </w:rPr>
              <w:t>（GB3838-2002）中Ⅲ类水质标准。</w:t>
            </w:r>
          </w:p>
          <w:p w14:paraId="5A1F840B">
            <w:pPr>
              <w:pStyle w:val="2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675"/>
              <w:jc w:val="both"/>
              <w:textAlignment w:val="auto"/>
              <w:rPr>
                <w:rFonts w:hint="default" w:ascii="Times New Roman" w:hAnsi="Times New Roman" w:eastAsia="宋体" w:cs="Times New Roman"/>
                <w:bCs/>
                <w:i w:val="0"/>
                <w:iCs w:val="0"/>
                <w:caps w:val="0"/>
                <w:color w:val="auto"/>
                <w:spacing w:val="0"/>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zh-CN" w:eastAsia="zh-CN" w:bidi="ar-SA"/>
              </w:rPr>
              <w:t>根据《</w:t>
            </w:r>
            <w:r>
              <w:rPr>
                <w:rFonts w:hint="default" w:ascii="Times New Roman" w:hAnsi="Times New Roman" w:eastAsia="宋体" w:cs="Times New Roman"/>
                <w:color w:val="auto"/>
                <w:kern w:val="2"/>
                <w:sz w:val="24"/>
                <w:szCs w:val="24"/>
                <w:highlight w:val="none"/>
                <w:lang w:val="en-US" w:eastAsia="zh-CN" w:bidi="ar-SA"/>
              </w:rPr>
              <w:t>2023</w:t>
            </w:r>
            <w:r>
              <w:rPr>
                <w:rFonts w:hint="default" w:ascii="Times New Roman" w:hAnsi="Times New Roman" w:eastAsia="宋体" w:cs="Times New Roman"/>
                <w:color w:val="auto"/>
                <w:kern w:val="2"/>
                <w:sz w:val="24"/>
                <w:szCs w:val="24"/>
                <w:highlight w:val="none"/>
                <w:lang w:val="zh-CN" w:eastAsia="zh-CN" w:bidi="ar-SA"/>
              </w:rPr>
              <w:t>年</w:t>
            </w:r>
            <w:r>
              <w:rPr>
                <w:rFonts w:hint="default" w:ascii="Times New Roman" w:hAnsi="Times New Roman" w:eastAsia="宋体" w:cs="Times New Roman"/>
                <w:color w:val="auto"/>
                <w:kern w:val="2"/>
                <w:sz w:val="24"/>
                <w:szCs w:val="24"/>
                <w:highlight w:val="none"/>
                <w:lang w:val="en-US" w:eastAsia="zh-CN" w:bidi="ar-SA"/>
              </w:rPr>
              <w:t>0</w:t>
            </w:r>
            <w:r>
              <w:rPr>
                <w:rFonts w:hint="eastAsia" w:ascii="Times New Roman" w:hAnsi="Times New Roman" w:cs="Times New Roman"/>
                <w:color w:val="auto"/>
                <w:kern w:val="2"/>
                <w:sz w:val="24"/>
                <w:szCs w:val="24"/>
                <w:highlight w:val="none"/>
                <w:lang w:val="en-US" w:eastAsia="zh-CN" w:bidi="ar-SA"/>
              </w:rPr>
              <w:t>7</w:t>
            </w:r>
            <w:r>
              <w:rPr>
                <w:rFonts w:hint="default" w:ascii="Times New Roman" w:hAnsi="Times New Roman" w:eastAsia="宋体" w:cs="Times New Roman"/>
                <w:color w:val="auto"/>
                <w:kern w:val="2"/>
                <w:sz w:val="24"/>
                <w:szCs w:val="24"/>
                <w:highlight w:val="none"/>
                <w:lang w:val="zh-CN" w:eastAsia="zh-CN" w:bidi="ar-SA"/>
              </w:rPr>
              <w:t>月寻甸县</w:t>
            </w:r>
            <w:r>
              <w:rPr>
                <w:rFonts w:hint="default" w:ascii="Times New Roman" w:hAnsi="Times New Roman" w:eastAsia="宋体" w:cs="Times New Roman"/>
                <w:color w:val="auto"/>
                <w:kern w:val="2"/>
                <w:sz w:val="24"/>
                <w:szCs w:val="24"/>
                <w:highlight w:val="none"/>
                <w:lang w:val="en-US" w:eastAsia="zh-CN" w:bidi="ar-SA"/>
              </w:rPr>
              <w:t>水环境质量</w:t>
            </w:r>
            <w:r>
              <w:rPr>
                <w:rFonts w:hint="default" w:ascii="Times New Roman" w:hAnsi="Times New Roman" w:eastAsia="宋体" w:cs="Times New Roman"/>
                <w:color w:val="auto"/>
                <w:kern w:val="2"/>
                <w:sz w:val="24"/>
                <w:szCs w:val="24"/>
                <w:highlight w:val="none"/>
                <w:lang w:val="zh-CN" w:eastAsia="zh-CN" w:bidi="ar-SA"/>
              </w:rPr>
              <w:t>监测月报（</w:t>
            </w:r>
            <w:r>
              <w:rPr>
                <w:rFonts w:hint="default" w:ascii="Times New Roman" w:hAnsi="Times New Roman" w:eastAsia="宋体" w:cs="Times New Roman"/>
                <w:color w:val="auto"/>
                <w:kern w:val="2"/>
                <w:sz w:val="24"/>
                <w:szCs w:val="24"/>
                <w:highlight w:val="none"/>
                <w:lang w:val="en-US" w:eastAsia="zh-CN" w:bidi="ar-SA"/>
              </w:rPr>
              <w:t>二零二三年第</w:t>
            </w:r>
            <w:r>
              <w:rPr>
                <w:rFonts w:hint="eastAsia" w:ascii="Times New Roman" w:hAnsi="Times New Roman" w:cs="Times New Roman"/>
                <w:color w:val="auto"/>
                <w:kern w:val="2"/>
                <w:sz w:val="24"/>
                <w:szCs w:val="24"/>
                <w:highlight w:val="none"/>
                <w:lang w:val="en-US" w:eastAsia="zh-CN" w:bidi="ar-SA"/>
              </w:rPr>
              <w:t>七</w:t>
            </w:r>
            <w:r>
              <w:rPr>
                <w:rFonts w:hint="default" w:ascii="Times New Roman" w:hAnsi="Times New Roman" w:eastAsia="宋体" w:cs="Times New Roman"/>
                <w:color w:val="auto"/>
                <w:kern w:val="2"/>
                <w:sz w:val="24"/>
                <w:szCs w:val="24"/>
                <w:highlight w:val="none"/>
                <w:lang w:val="en-US" w:eastAsia="zh-CN" w:bidi="ar-SA"/>
              </w:rPr>
              <w:t>期</w:t>
            </w:r>
            <w:r>
              <w:rPr>
                <w:rFonts w:hint="default" w:ascii="Times New Roman" w:hAnsi="Times New Roman" w:eastAsia="宋体"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en-US" w:eastAsia="zh-CN" w:bidi="ar-SA"/>
              </w:rPr>
              <w:t>可知，</w:t>
            </w:r>
            <w:r>
              <w:rPr>
                <w:rFonts w:hint="default" w:ascii="Times New Roman" w:hAnsi="Times New Roman" w:eastAsia="宋体" w:cs="Times New Roman"/>
                <w:color w:val="auto"/>
                <w:kern w:val="2"/>
                <w:sz w:val="24"/>
                <w:szCs w:val="24"/>
                <w:highlight w:val="none"/>
                <w:lang w:val="zh-CN" w:eastAsia="zh-CN" w:bidi="ar-SA"/>
              </w:rPr>
              <w:t>2023年0</w:t>
            </w:r>
            <w:r>
              <w:rPr>
                <w:rFonts w:hint="eastAsia" w:ascii="Times New Roman" w:hAnsi="Times New Roman" w:cs="Times New Roman"/>
                <w:color w:val="auto"/>
                <w:kern w:val="2"/>
                <w:sz w:val="24"/>
                <w:szCs w:val="24"/>
                <w:highlight w:val="none"/>
                <w:lang w:val="en-US" w:eastAsia="zh-CN" w:bidi="ar-SA"/>
              </w:rPr>
              <w:t>7</w:t>
            </w:r>
            <w:r>
              <w:rPr>
                <w:rFonts w:hint="default" w:ascii="Times New Roman" w:hAnsi="Times New Roman" w:eastAsia="宋体" w:cs="Times New Roman"/>
                <w:color w:val="auto"/>
                <w:kern w:val="2"/>
                <w:sz w:val="24"/>
                <w:szCs w:val="24"/>
                <w:highlight w:val="none"/>
                <w:lang w:val="zh-CN" w:eastAsia="zh-CN" w:bidi="ar-SA"/>
              </w:rPr>
              <w:t>月昆明市生态环境局寻甸分局生态环境监测站共对其境内14条河流及7个湖库的共24个监测点（含</w:t>
            </w:r>
            <w:r>
              <w:rPr>
                <w:rFonts w:hint="default" w:ascii="Times New Roman" w:hAnsi="Times New Roman" w:eastAsia="宋体" w:cs="Times New Roman"/>
                <w:color w:val="auto"/>
                <w:kern w:val="2"/>
                <w:sz w:val="24"/>
                <w:szCs w:val="24"/>
                <w:highlight w:val="none"/>
                <w:lang w:val="en-US" w:eastAsia="zh-CN" w:bidi="ar-SA"/>
              </w:rPr>
              <w:t>省厅驻昆明市生态环境监测站监测的寻甸县境内监测点）进行水质监测1期，其中：</w:t>
            </w:r>
            <w:r>
              <w:rPr>
                <w:rFonts w:hint="default" w:ascii="Times New Roman" w:hAnsi="Times New Roman" w:eastAsia="宋体" w:cs="Times New Roman"/>
                <w:color w:val="auto"/>
                <w:kern w:val="2"/>
                <w:sz w:val="24"/>
                <w:szCs w:val="24"/>
                <w:highlight w:val="none"/>
                <w:lang w:val="zh-CN" w:eastAsia="zh-CN" w:bidi="ar-SA"/>
              </w:rPr>
              <w:t>湖库</w:t>
            </w:r>
            <w:r>
              <w:rPr>
                <w:rFonts w:hint="eastAsia" w:ascii="Times New Roman" w:hAnsi="Times New Roman" w:eastAsia="宋体" w:cs="Times New Roman"/>
                <w:color w:val="auto"/>
                <w:kern w:val="2"/>
                <w:sz w:val="24"/>
                <w:szCs w:val="24"/>
                <w:highlight w:val="none"/>
                <w:lang w:val="zh-CN" w:eastAsia="zh-CN" w:bidi="ar-SA"/>
              </w:rPr>
              <w:t>7个，共设7个监测点位，依据监测数据，7个监测断面中新田河干涸无水，达到Ⅲ类以上水质标准的有</w:t>
            </w:r>
            <w:r>
              <w:rPr>
                <w:rFonts w:hint="eastAsia" w:ascii="Times New Roman" w:hAnsi="Times New Roman"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zh-CN" w:eastAsia="zh-CN" w:bidi="ar-SA"/>
              </w:rPr>
              <w:t>个，水质达标率为</w:t>
            </w:r>
            <w:r>
              <w:rPr>
                <w:rFonts w:hint="eastAsia" w:ascii="Times New Roman" w:hAnsi="Times New Roman" w:cs="Times New Roman"/>
                <w:color w:val="auto"/>
                <w:kern w:val="2"/>
                <w:sz w:val="24"/>
                <w:szCs w:val="24"/>
                <w:highlight w:val="none"/>
                <w:lang w:val="en-US" w:eastAsia="zh-CN" w:bidi="ar-SA"/>
              </w:rPr>
              <w:t>71.43</w:t>
            </w:r>
            <w:r>
              <w:rPr>
                <w:rFonts w:hint="eastAsia"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0"/>
                <w:sz w:val="24"/>
                <w:szCs w:val="24"/>
                <w:highlight w:val="none"/>
                <w:lang w:val="zh-CN" w:eastAsia="zh-CN" w:bidi="ar-SA"/>
              </w:rPr>
              <w:t>，</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监测结果如下表所示。</w:t>
            </w:r>
          </w:p>
          <w:p w14:paraId="4D866C29">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p w14:paraId="10736BDC">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p w14:paraId="38F3B702">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p w14:paraId="7BC34F56">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p w14:paraId="738EBBA4">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表3-3   </w:t>
            </w:r>
            <w:r>
              <w:rPr>
                <w:rStyle w:val="30"/>
                <w:rFonts w:hint="default" w:ascii="Times New Roman" w:hAnsi="Times New Roman" w:eastAsia="宋体" w:cs="Times New Roman"/>
                <w:b/>
                <w:bCs/>
                <w:i w:val="0"/>
                <w:iCs w:val="0"/>
                <w:caps w:val="0"/>
                <w:color w:val="auto"/>
                <w:spacing w:val="0"/>
                <w:sz w:val="21"/>
                <w:szCs w:val="21"/>
                <w:highlight w:val="none"/>
                <w:shd w:val="clear" w:fill="FFFFFF"/>
              </w:rPr>
              <w:t>2023年0</w:t>
            </w:r>
            <w:r>
              <w:rPr>
                <w:rStyle w:val="30"/>
                <w:rFonts w:hint="eastAsia" w:cs="Times New Roman"/>
                <w:b/>
                <w:bCs/>
                <w:i w:val="0"/>
                <w:iCs w:val="0"/>
                <w:caps w:val="0"/>
                <w:color w:val="auto"/>
                <w:spacing w:val="0"/>
                <w:sz w:val="21"/>
                <w:szCs w:val="21"/>
                <w:highlight w:val="none"/>
                <w:shd w:val="clear" w:fill="FFFFFF"/>
                <w:lang w:val="en-US" w:eastAsia="zh-CN"/>
              </w:rPr>
              <w:t>7</w:t>
            </w:r>
            <w:r>
              <w:rPr>
                <w:rStyle w:val="30"/>
                <w:rFonts w:hint="default" w:ascii="Times New Roman" w:hAnsi="Times New Roman" w:eastAsia="宋体" w:cs="Times New Roman"/>
                <w:b/>
                <w:bCs/>
                <w:i w:val="0"/>
                <w:iCs w:val="0"/>
                <w:caps w:val="0"/>
                <w:color w:val="auto"/>
                <w:spacing w:val="0"/>
                <w:sz w:val="21"/>
                <w:szCs w:val="21"/>
                <w:highlight w:val="none"/>
                <w:shd w:val="clear" w:fill="FFFFFF"/>
              </w:rPr>
              <w:t>月寻甸境内湖库质状况统计表</w:t>
            </w:r>
          </w:p>
          <w:tbl>
            <w:tblPr>
              <w:tblStyle w:val="28"/>
              <w:tblW w:w="8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856"/>
              <w:gridCol w:w="638"/>
              <w:gridCol w:w="753"/>
              <w:gridCol w:w="1392"/>
              <w:gridCol w:w="3750"/>
            </w:tblGrid>
            <w:tr w14:paraId="70A8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14:paraId="0088A6B5">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监测名称</w:t>
                  </w:r>
                </w:p>
              </w:tc>
              <w:tc>
                <w:tcPr>
                  <w:tcW w:w="856" w:type="dxa"/>
                  <w:vAlign w:val="center"/>
                </w:tcPr>
                <w:p w14:paraId="4929E634">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年</w:t>
                  </w:r>
                </w:p>
              </w:tc>
              <w:tc>
                <w:tcPr>
                  <w:tcW w:w="638" w:type="dxa"/>
                  <w:vAlign w:val="center"/>
                </w:tcPr>
                <w:p w14:paraId="2CF0D801">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月</w:t>
                  </w:r>
                </w:p>
              </w:tc>
              <w:tc>
                <w:tcPr>
                  <w:tcW w:w="753" w:type="dxa"/>
                  <w:vAlign w:val="center"/>
                </w:tcPr>
                <w:p w14:paraId="684BE1E7">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日</w:t>
                  </w:r>
                </w:p>
              </w:tc>
              <w:tc>
                <w:tcPr>
                  <w:tcW w:w="1392" w:type="dxa"/>
                  <w:vAlign w:val="center"/>
                </w:tcPr>
                <w:p w14:paraId="4E64DAD6">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wpi</w:t>
                  </w: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水质类别</w:t>
                  </w:r>
                </w:p>
              </w:tc>
              <w:tc>
                <w:tcPr>
                  <w:tcW w:w="3750" w:type="dxa"/>
                  <w:vAlign w:val="center"/>
                </w:tcPr>
                <w:p w14:paraId="70775E74">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zh-CN" w:eastAsia="zh-CN"/>
                    </w:rPr>
                  </w:pPr>
                  <w:r>
                    <w:rPr>
                      <w:rStyle w:val="30"/>
                      <w:rFonts w:hint="default" w:ascii="Times New Roman" w:hAnsi="Times New Roman" w:eastAsia="宋体" w:cs="Times New Roman"/>
                      <w:b/>
                      <w:bCs/>
                      <w:i w:val="0"/>
                      <w:iCs w:val="0"/>
                      <w:caps w:val="0"/>
                      <w:color w:val="auto"/>
                      <w:spacing w:val="0"/>
                      <w:sz w:val="21"/>
                      <w:szCs w:val="21"/>
                      <w:highlight w:val="none"/>
                      <w:shd w:val="clear" w:fill="FFFFFF"/>
                    </w:rPr>
                    <w:t>(wpi)水质类别超标项目与超标倍数</w:t>
                  </w:r>
                </w:p>
              </w:tc>
            </w:tr>
            <w:tr w14:paraId="6E85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14:paraId="36D522E3">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潘所海</w:t>
                  </w:r>
                </w:p>
              </w:tc>
              <w:tc>
                <w:tcPr>
                  <w:tcW w:w="856" w:type="dxa"/>
                  <w:vAlign w:val="center"/>
                </w:tcPr>
                <w:p w14:paraId="6DCC9B89">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638" w:type="dxa"/>
                  <w:vAlign w:val="center"/>
                </w:tcPr>
                <w:p w14:paraId="728EA40B">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w:t>
                  </w:r>
                  <w:r>
                    <w:rPr>
                      <w:rFonts w:hint="eastAsia" w:cs="Times New Roman"/>
                      <w:bCs w:val="0"/>
                      <w:color w:val="auto"/>
                      <w:sz w:val="21"/>
                      <w:szCs w:val="21"/>
                      <w:highlight w:val="none"/>
                      <w:vertAlign w:val="baseline"/>
                      <w:lang w:val="en-US" w:eastAsia="zh-CN"/>
                    </w:rPr>
                    <w:t>5</w:t>
                  </w:r>
                </w:p>
              </w:tc>
              <w:tc>
                <w:tcPr>
                  <w:tcW w:w="753" w:type="dxa"/>
                  <w:vAlign w:val="center"/>
                </w:tcPr>
                <w:p w14:paraId="4BD7F07E">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w:t>
                  </w:r>
                  <w:r>
                    <w:rPr>
                      <w:rFonts w:hint="eastAsia" w:cs="Times New Roman"/>
                      <w:bCs w:val="0"/>
                      <w:color w:val="auto"/>
                      <w:sz w:val="21"/>
                      <w:szCs w:val="21"/>
                      <w:highlight w:val="none"/>
                      <w:vertAlign w:val="baseline"/>
                      <w:lang w:val="en-US" w:eastAsia="zh-CN"/>
                    </w:rPr>
                    <w:t>5</w:t>
                  </w:r>
                </w:p>
              </w:tc>
              <w:tc>
                <w:tcPr>
                  <w:tcW w:w="1392" w:type="dxa"/>
                  <w:vAlign w:val="center"/>
                </w:tcPr>
                <w:p w14:paraId="796949AD">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eastAsia" w:cs="Times New Roman"/>
                      <w:i w:val="0"/>
                      <w:iCs w:val="0"/>
                      <w:caps w:val="0"/>
                      <w:color w:val="auto"/>
                      <w:spacing w:val="0"/>
                      <w:sz w:val="21"/>
                      <w:szCs w:val="21"/>
                      <w:highlight w:val="none"/>
                      <w:shd w:val="clear" w:fill="FFFFFF"/>
                      <w:lang w:eastAsia="zh-CN"/>
                    </w:rPr>
                    <w:t>劣</w:t>
                  </w:r>
                  <w:r>
                    <w:rPr>
                      <w:rFonts w:hint="default" w:ascii="Times New Roman" w:hAnsi="Times New Roman" w:eastAsia="宋体" w:cs="Times New Roman"/>
                      <w:i w:val="0"/>
                      <w:iCs w:val="0"/>
                      <w:caps w:val="0"/>
                      <w:color w:val="auto"/>
                      <w:spacing w:val="0"/>
                      <w:sz w:val="21"/>
                      <w:szCs w:val="21"/>
                      <w:highlight w:val="none"/>
                      <w:shd w:val="clear" w:fill="FFFFFF"/>
                    </w:rPr>
                    <w:t>Ⅴ类</w:t>
                  </w:r>
                </w:p>
              </w:tc>
              <w:tc>
                <w:tcPr>
                  <w:tcW w:w="3750" w:type="dxa"/>
                  <w:vAlign w:val="center"/>
                </w:tcPr>
                <w:p w14:paraId="7225E917">
                  <w:pPr>
                    <w:pStyle w:val="2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both"/>
                    <w:textAlignment w:val="bottom"/>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kern w:val="2"/>
                      <w:sz w:val="21"/>
                      <w:szCs w:val="21"/>
                      <w:highlight w:val="none"/>
                      <w:shd w:val="clear" w:fill="FFFFFF"/>
                      <w:lang w:val="en-US" w:eastAsia="zh-CN" w:bidi="ar-SA"/>
                    </w:rPr>
                    <w:t>总磷（</w:t>
                  </w:r>
                  <w:r>
                    <w:rPr>
                      <w:rFonts w:hint="eastAsia" w:ascii="Times New Roman" w:hAnsi="Times New Roman" w:cs="Times New Roman"/>
                      <w:i w:val="0"/>
                      <w:iCs w:val="0"/>
                      <w:caps w:val="0"/>
                      <w:color w:val="auto"/>
                      <w:spacing w:val="0"/>
                      <w:kern w:val="2"/>
                      <w:sz w:val="21"/>
                      <w:szCs w:val="21"/>
                      <w:highlight w:val="none"/>
                      <w:shd w:val="clear" w:fill="FFFFFF"/>
                      <w:lang w:val="en-US" w:eastAsia="zh-CN" w:bidi="ar-SA"/>
                    </w:rPr>
                    <w:t>4.</w:t>
                  </w:r>
                  <w:r>
                    <w:rPr>
                      <w:rFonts w:hint="default" w:ascii="Times New Roman" w:hAnsi="Times New Roman" w:eastAsia="宋体" w:cs="Times New Roman"/>
                      <w:i w:val="0"/>
                      <w:iCs w:val="0"/>
                      <w:caps w:val="0"/>
                      <w:color w:val="auto"/>
                      <w:spacing w:val="0"/>
                      <w:kern w:val="2"/>
                      <w:sz w:val="21"/>
                      <w:szCs w:val="21"/>
                      <w:highlight w:val="none"/>
                      <w:shd w:val="clear" w:fill="FFFFFF"/>
                      <w:lang w:val="en-US" w:eastAsia="zh-CN" w:bidi="ar-SA"/>
                    </w:rPr>
                    <w:t>0）（</w:t>
                  </w:r>
                  <w:r>
                    <w:rPr>
                      <w:rFonts w:hint="eastAsia" w:ascii="Times New Roman" w:hAnsi="Times New Roman" w:cs="Times New Roman"/>
                      <w:i w:val="0"/>
                      <w:iCs w:val="0"/>
                      <w:caps w:val="0"/>
                      <w:color w:val="auto"/>
                      <w:spacing w:val="0"/>
                      <w:kern w:val="2"/>
                      <w:sz w:val="21"/>
                      <w:szCs w:val="21"/>
                      <w:highlight w:val="none"/>
                      <w:shd w:val="clear" w:fill="FFFFFF"/>
                      <w:lang w:val="en-US" w:eastAsia="zh-CN" w:bidi="ar-SA"/>
                    </w:rPr>
                    <w:t>劣</w:t>
                  </w:r>
                  <w:r>
                    <w:rPr>
                      <w:rFonts w:hint="default" w:ascii="Times New Roman" w:hAnsi="Times New Roman" w:eastAsia="宋体" w:cs="Times New Roman"/>
                      <w:i w:val="0"/>
                      <w:iCs w:val="0"/>
                      <w:caps w:val="0"/>
                      <w:color w:val="auto"/>
                      <w:spacing w:val="0"/>
                      <w:kern w:val="2"/>
                      <w:sz w:val="21"/>
                      <w:szCs w:val="21"/>
                      <w:highlight w:val="none"/>
                      <w:shd w:val="clear" w:fill="FFFFFF"/>
                      <w:lang w:val="en-US" w:eastAsia="zh-CN" w:bidi="ar-SA"/>
                    </w:rPr>
                    <w:t>Ⅴ类），化学需氧量（</w:t>
                  </w:r>
                  <w:r>
                    <w:rPr>
                      <w:rFonts w:hint="eastAsia" w:ascii="Times New Roman" w:hAnsi="Times New Roman" w:cs="Times New Roman"/>
                      <w:i w:val="0"/>
                      <w:iCs w:val="0"/>
                      <w:caps w:val="0"/>
                      <w:color w:val="auto"/>
                      <w:spacing w:val="0"/>
                      <w:kern w:val="2"/>
                      <w:sz w:val="21"/>
                      <w:szCs w:val="21"/>
                      <w:highlight w:val="none"/>
                      <w:shd w:val="clear" w:fill="FFFFFF"/>
                      <w:lang w:val="en-US" w:eastAsia="zh-CN" w:bidi="ar-SA"/>
                    </w:rPr>
                    <w:t>2.2</w:t>
                  </w:r>
                  <w:r>
                    <w:rPr>
                      <w:rFonts w:hint="default" w:ascii="Times New Roman" w:hAnsi="Times New Roman" w:eastAsia="宋体" w:cs="Times New Roman"/>
                      <w:i w:val="0"/>
                      <w:iCs w:val="0"/>
                      <w:caps w:val="0"/>
                      <w:color w:val="auto"/>
                      <w:spacing w:val="0"/>
                      <w:kern w:val="2"/>
                      <w:sz w:val="21"/>
                      <w:szCs w:val="21"/>
                      <w:highlight w:val="none"/>
                      <w:shd w:val="clear" w:fill="FFFFFF"/>
                      <w:lang w:val="en-US" w:eastAsia="zh-CN" w:bidi="ar-SA"/>
                    </w:rPr>
                    <w:t>）（</w:t>
                  </w:r>
                  <w:r>
                    <w:rPr>
                      <w:rFonts w:hint="eastAsia" w:ascii="Times New Roman" w:hAnsi="Times New Roman" w:cs="Times New Roman"/>
                      <w:i w:val="0"/>
                      <w:iCs w:val="0"/>
                      <w:caps w:val="0"/>
                      <w:color w:val="auto"/>
                      <w:spacing w:val="0"/>
                      <w:kern w:val="2"/>
                      <w:sz w:val="21"/>
                      <w:szCs w:val="21"/>
                      <w:highlight w:val="none"/>
                      <w:shd w:val="clear" w:fill="FFFFFF"/>
                      <w:lang w:val="en-US" w:eastAsia="zh-CN" w:bidi="ar-SA"/>
                    </w:rPr>
                    <w:t>劣</w:t>
                  </w:r>
                  <w:r>
                    <w:rPr>
                      <w:rFonts w:hint="default" w:ascii="Times New Roman" w:hAnsi="Times New Roman" w:eastAsia="宋体" w:cs="Times New Roman"/>
                      <w:i w:val="0"/>
                      <w:iCs w:val="0"/>
                      <w:caps w:val="0"/>
                      <w:color w:val="auto"/>
                      <w:spacing w:val="0"/>
                      <w:kern w:val="2"/>
                      <w:sz w:val="21"/>
                      <w:szCs w:val="21"/>
                      <w:highlight w:val="none"/>
                      <w:shd w:val="clear" w:fill="FFFFFF"/>
                      <w:lang w:val="en-US" w:eastAsia="zh-CN" w:bidi="ar-SA"/>
                    </w:rPr>
                    <w:t>Ⅴ类），五日生化需氧量（0.</w:t>
                  </w:r>
                  <w:r>
                    <w:rPr>
                      <w:rFonts w:hint="eastAsia" w:ascii="Times New Roman" w:hAnsi="Times New Roman" w:cs="Times New Roman"/>
                      <w:i w:val="0"/>
                      <w:iCs w:val="0"/>
                      <w:caps w:val="0"/>
                      <w:color w:val="auto"/>
                      <w:spacing w:val="0"/>
                      <w:kern w:val="2"/>
                      <w:sz w:val="21"/>
                      <w:szCs w:val="21"/>
                      <w:highlight w:val="none"/>
                      <w:shd w:val="clear" w:fill="FFFFFF"/>
                      <w:lang w:val="en-US" w:eastAsia="zh-CN" w:bidi="ar-SA"/>
                    </w:rPr>
                    <w:t>4</w:t>
                  </w:r>
                  <w:r>
                    <w:rPr>
                      <w:rFonts w:hint="default" w:ascii="Times New Roman" w:hAnsi="Times New Roman" w:eastAsia="宋体" w:cs="Times New Roman"/>
                      <w:i w:val="0"/>
                      <w:iCs w:val="0"/>
                      <w:caps w:val="0"/>
                      <w:color w:val="auto"/>
                      <w:spacing w:val="0"/>
                      <w:kern w:val="2"/>
                      <w:sz w:val="21"/>
                      <w:szCs w:val="21"/>
                      <w:highlight w:val="none"/>
                      <w:shd w:val="clear" w:fill="FFFFFF"/>
                      <w:lang w:val="en-US" w:eastAsia="zh-CN" w:bidi="ar-SA"/>
                    </w:rPr>
                    <w:t>）（Ⅳ类），高锰酸盐指数（0.</w:t>
                  </w:r>
                  <w:r>
                    <w:rPr>
                      <w:rFonts w:hint="eastAsia" w:ascii="Times New Roman" w:hAnsi="Times New Roman" w:cs="Times New Roman"/>
                      <w:i w:val="0"/>
                      <w:iCs w:val="0"/>
                      <w:caps w:val="0"/>
                      <w:color w:val="auto"/>
                      <w:spacing w:val="0"/>
                      <w:kern w:val="2"/>
                      <w:sz w:val="21"/>
                      <w:szCs w:val="21"/>
                      <w:highlight w:val="none"/>
                      <w:shd w:val="clear" w:fill="FFFFFF"/>
                      <w:lang w:val="en-US" w:eastAsia="zh-CN" w:bidi="ar-SA"/>
                    </w:rPr>
                    <w:t>2</w:t>
                  </w:r>
                  <w:r>
                    <w:rPr>
                      <w:rFonts w:hint="default" w:ascii="Times New Roman" w:hAnsi="Times New Roman" w:eastAsia="宋体" w:cs="Times New Roman"/>
                      <w:i w:val="0"/>
                      <w:iCs w:val="0"/>
                      <w:caps w:val="0"/>
                      <w:color w:val="auto"/>
                      <w:spacing w:val="0"/>
                      <w:kern w:val="2"/>
                      <w:sz w:val="21"/>
                      <w:szCs w:val="21"/>
                      <w:highlight w:val="none"/>
                      <w:shd w:val="clear" w:fill="FFFFFF"/>
                      <w:lang w:val="en-US" w:eastAsia="zh-CN" w:bidi="ar-SA"/>
                    </w:rPr>
                    <w:t>）（Ⅳ类）。</w:t>
                  </w:r>
                </w:p>
              </w:tc>
            </w:tr>
            <w:tr w14:paraId="5DEF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14:paraId="68EC1735">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三月三水库</w:t>
                  </w:r>
                </w:p>
              </w:tc>
              <w:tc>
                <w:tcPr>
                  <w:tcW w:w="856" w:type="dxa"/>
                  <w:vAlign w:val="center"/>
                </w:tcPr>
                <w:p w14:paraId="453C564D">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638" w:type="dxa"/>
                  <w:vAlign w:val="center"/>
                </w:tcPr>
                <w:p w14:paraId="585A398D">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w:t>
                  </w:r>
                  <w:r>
                    <w:rPr>
                      <w:rFonts w:hint="eastAsia" w:cs="Times New Roman"/>
                      <w:bCs w:val="0"/>
                      <w:color w:val="auto"/>
                      <w:sz w:val="21"/>
                      <w:szCs w:val="21"/>
                      <w:highlight w:val="none"/>
                      <w:vertAlign w:val="baseline"/>
                      <w:lang w:val="en-US" w:eastAsia="zh-CN"/>
                    </w:rPr>
                    <w:t>5</w:t>
                  </w:r>
                </w:p>
              </w:tc>
              <w:tc>
                <w:tcPr>
                  <w:tcW w:w="753" w:type="dxa"/>
                  <w:vAlign w:val="center"/>
                </w:tcPr>
                <w:p w14:paraId="5BCE87C2">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w:t>
                  </w:r>
                  <w:r>
                    <w:rPr>
                      <w:rFonts w:hint="eastAsia" w:cs="Times New Roman"/>
                      <w:bCs w:val="0"/>
                      <w:color w:val="auto"/>
                      <w:sz w:val="21"/>
                      <w:szCs w:val="21"/>
                      <w:highlight w:val="none"/>
                      <w:vertAlign w:val="baseline"/>
                      <w:lang w:val="en-US" w:eastAsia="zh-CN"/>
                    </w:rPr>
                    <w:t>5</w:t>
                  </w:r>
                </w:p>
              </w:tc>
              <w:tc>
                <w:tcPr>
                  <w:tcW w:w="1392" w:type="dxa"/>
                  <w:vAlign w:val="center"/>
                </w:tcPr>
                <w:p w14:paraId="468030B9">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eastAsia" w:cs="Times New Roman"/>
                      <w:i w:val="0"/>
                      <w:iCs w:val="0"/>
                      <w:caps w:val="0"/>
                      <w:color w:val="auto"/>
                      <w:spacing w:val="0"/>
                      <w:sz w:val="21"/>
                      <w:szCs w:val="21"/>
                      <w:highlight w:val="none"/>
                      <w:shd w:val="clear" w:fill="FFFFFF"/>
                      <w:lang w:eastAsia="zh-CN"/>
                    </w:rPr>
                    <w:t>劣</w:t>
                  </w:r>
                  <w:r>
                    <w:rPr>
                      <w:rFonts w:hint="default" w:ascii="Times New Roman" w:hAnsi="Times New Roman" w:eastAsia="宋体" w:cs="Times New Roman"/>
                      <w:i w:val="0"/>
                      <w:iCs w:val="0"/>
                      <w:caps w:val="0"/>
                      <w:color w:val="auto"/>
                      <w:spacing w:val="0"/>
                      <w:sz w:val="21"/>
                      <w:szCs w:val="21"/>
                      <w:highlight w:val="none"/>
                      <w:shd w:val="clear" w:fill="FFFFFF"/>
                    </w:rPr>
                    <w:t>Ⅴ类</w:t>
                  </w:r>
                </w:p>
              </w:tc>
              <w:tc>
                <w:tcPr>
                  <w:tcW w:w="3750" w:type="dxa"/>
                  <w:vAlign w:val="center"/>
                </w:tcPr>
                <w:p w14:paraId="20EEC872">
                  <w:pPr>
                    <w:pStyle w:val="2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both"/>
                    <w:textAlignment w:val="bottom"/>
                    <w:rPr>
                      <w:rFonts w:hint="default" w:ascii="Times New Roman" w:hAnsi="Times New Roman" w:eastAsia="宋体" w:cs="Times New Roman"/>
                      <w:i w:val="0"/>
                      <w:iCs w:val="0"/>
                      <w:caps w:val="0"/>
                      <w:color w:val="auto"/>
                      <w:spacing w:val="0"/>
                      <w:kern w:val="2"/>
                      <w:sz w:val="21"/>
                      <w:szCs w:val="21"/>
                      <w:highlight w:val="none"/>
                      <w:shd w:val="clear" w:fill="FFFFFF"/>
                      <w:lang w:val="en-US" w:eastAsia="zh-CN" w:bidi="ar-SA"/>
                    </w:rPr>
                  </w:pPr>
                  <w:r>
                    <w:rPr>
                      <w:rFonts w:hint="default" w:ascii="Times New Roman" w:hAnsi="Times New Roman" w:eastAsia="宋体" w:cs="Times New Roman"/>
                      <w:i w:val="0"/>
                      <w:iCs w:val="0"/>
                      <w:caps w:val="0"/>
                      <w:color w:val="auto"/>
                      <w:spacing w:val="0"/>
                      <w:kern w:val="2"/>
                      <w:sz w:val="21"/>
                      <w:szCs w:val="21"/>
                      <w:highlight w:val="none"/>
                      <w:shd w:val="clear" w:fill="FFFFFF"/>
                      <w:lang w:val="en-US" w:eastAsia="zh-CN" w:bidi="ar-SA"/>
                    </w:rPr>
                    <w:t>化学需氧量（</w:t>
                  </w:r>
                  <w:r>
                    <w:rPr>
                      <w:rFonts w:hint="eastAsia" w:ascii="Times New Roman" w:hAnsi="Times New Roman" w:cs="Times New Roman"/>
                      <w:i w:val="0"/>
                      <w:iCs w:val="0"/>
                      <w:caps w:val="0"/>
                      <w:color w:val="auto"/>
                      <w:spacing w:val="0"/>
                      <w:kern w:val="2"/>
                      <w:sz w:val="21"/>
                      <w:szCs w:val="21"/>
                      <w:highlight w:val="none"/>
                      <w:shd w:val="clear" w:fill="FFFFFF"/>
                      <w:lang w:val="en-US" w:eastAsia="zh-CN" w:bidi="ar-SA"/>
                    </w:rPr>
                    <w:t>1.4</w:t>
                  </w:r>
                  <w:r>
                    <w:rPr>
                      <w:rFonts w:hint="default" w:ascii="Times New Roman" w:hAnsi="Times New Roman" w:eastAsia="宋体" w:cs="Times New Roman"/>
                      <w:i w:val="0"/>
                      <w:iCs w:val="0"/>
                      <w:caps w:val="0"/>
                      <w:color w:val="auto"/>
                      <w:spacing w:val="0"/>
                      <w:kern w:val="2"/>
                      <w:sz w:val="21"/>
                      <w:szCs w:val="21"/>
                      <w:highlight w:val="none"/>
                      <w:shd w:val="clear" w:fill="FFFFFF"/>
                      <w:lang w:val="en-US" w:eastAsia="zh-CN" w:bidi="ar-SA"/>
                    </w:rPr>
                    <w:t>）（</w:t>
                  </w:r>
                  <w:r>
                    <w:rPr>
                      <w:rFonts w:hint="eastAsia" w:ascii="Times New Roman" w:hAnsi="Times New Roman" w:cs="Times New Roman"/>
                      <w:i w:val="0"/>
                      <w:iCs w:val="0"/>
                      <w:caps w:val="0"/>
                      <w:color w:val="auto"/>
                      <w:spacing w:val="0"/>
                      <w:kern w:val="2"/>
                      <w:sz w:val="21"/>
                      <w:szCs w:val="21"/>
                      <w:highlight w:val="none"/>
                      <w:shd w:val="clear" w:fill="FFFFFF"/>
                      <w:lang w:val="en-US" w:eastAsia="zh-CN" w:bidi="ar-SA"/>
                    </w:rPr>
                    <w:t>劣</w:t>
                  </w:r>
                  <w:r>
                    <w:rPr>
                      <w:rFonts w:hint="default" w:ascii="Times New Roman" w:hAnsi="Times New Roman" w:eastAsia="宋体" w:cs="Times New Roman"/>
                      <w:i w:val="0"/>
                      <w:iCs w:val="0"/>
                      <w:caps w:val="0"/>
                      <w:color w:val="auto"/>
                      <w:spacing w:val="0"/>
                      <w:kern w:val="2"/>
                      <w:sz w:val="21"/>
                      <w:szCs w:val="21"/>
                      <w:highlight w:val="none"/>
                      <w:shd w:val="clear" w:fill="FFFFFF"/>
                      <w:lang w:val="en-US" w:eastAsia="zh-CN" w:bidi="ar-SA"/>
                    </w:rPr>
                    <w:t>Ⅴ类）</w:t>
                  </w:r>
                  <w:r>
                    <w:rPr>
                      <w:rFonts w:hint="eastAsia" w:ascii="Times New Roman" w:hAnsi="Times New Roman" w:cs="Times New Roman"/>
                      <w:i w:val="0"/>
                      <w:iCs w:val="0"/>
                      <w:caps w:val="0"/>
                      <w:color w:val="auto"/>
                      <w:spacing w:val="0"/>
                      <w:kern w:val="2"/>
                      <w:sz w:val="21"/>
                      <w:szCs w:val="21"/>
                      <w:highlight w:val="none"/>
                      <w:shd w:val="clear" w:fill="FFFFFF"/>
                      <w:lang w:val="en-US" w:eastAsia="zh-CN" w:bidi="ar-SA"/>
                    </w:rPr>
                    <w:t>。</w:t>
                  </w:r>
                </w:p>
                <w:p w14:paraId="2459E653">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p>
              </w:tc>
            </w:tr>
          </w:tbl>
          <w:p w14:paraId="7DD8BE5E">
            <w:pPr>
              <w:keepNext w:val="0"/>
              <w:keepLines w:val="0"/>
              <w:pageBreakBefore w:val="0"/>
              <w:widowControl/>
              <w:kinsoku/>
              <w:wordWrap/>
              <w:overflowPunct/>
              <w:topLinePunct w:val="0"/>
              <w:bidi w:val="0"/>
              <w:adjustRightInd w:val="0"/>
              <w:snapToGrid w:val="0"/>
              <w:spacing w:line="348" w:lineRule="auto"/>
              <w:ind w:firstLine="480" w:firstLineChars="200"/>
              <w:jc w:val="left"/>
              <w:textAlignment w:val="auto"/>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bCs/>
                <w:i w:val="0"/>
                <w:iCs w:val="0"/>
                <w:caps w:val="0"/>
                <w:color w:val="auto"/>
                <w:spacing w:val="0"/>
                <w:sz w:val="24"/>
                <w:szCs w:val="24"/>
                <w:highlight w:val="none"/>
                <w:shd w:val="clear"/>
                <w:lang w:val="en-US" w:eastAsia="zh-CN"/>
              </w:rPr>
              <w:t>根据统计表中可知，潘所海为</w:t>
            </w:r>
            <w:r>
              <w:rPr>
                <w:rFonts w:hint="eastAsia" w:cs="Times New Roman"/>
                <w:bCs/>
                <w:i w:val="0"/>
                <w:iCs w:val="0"/>
                <w:caps w:val="0"/>
                <w:color w:val="auto"/>
                <w:spacing w:val="0"/>
                <w:sz w:val="24"/>
                <w:szCs w:val="24"/>
                <w:highlight w:val="none"/>
                <w:shd w:val="clear"/>
                <w:lang w:val="en-US" w:eastAsia="zh-CN"/>
              </w:rPr>
              <w:t>劣</w:t>
            </w:r>
            <w:r>
              <w:rPr>
                <w:rFonts w:hint="default" w:ascii="Times New Roman" w:hAnsi="Times New Roman" w:eastAsia="宋体" w:cs="Times New Roman"/>
                <w:i w:val="0"/>
                <w:iCs w:val="0"/>
                <w:caps w:val="0"/>
                <w:color w:val="auto"/>
                <w:spacing w:val="0"/>
                <w:sz w:val="24"/>
                <w:szCs w:val="24"/>
                <w:highlight w:val="none"/>
                <w:shd w:val="clear" w:fill="FFFFFF"/>
              </w:rPr>
              <w:t>Ⅴ类</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color w:val="auto"/>
                <w:sz w:val="24"/>
                <w:szCs w:val="20"/>
                <w:highlight w:val="none"/>
              </w:rPr>
              <w:t>监测指标中</w:t>
            </w:r>
            <w:r>
              <w:rPr>
                <w:rFonts w:hint="default" w:ascii="Times New Roman" w:hAnsi="Times New Roman" w:eastAsia="宋体" w:cs="Times New Roman"/>
                <w:i w:val="0"/>
                <w:iCs w:val="0"/>
                <w:caps w:val="0"/>
                <w:color w:val="auto"/>
                <w:spacing w:val="0"/>
                <w:sz w:val="24"/>
                <w:szCs w:val="24"/>
                <w:highlight w:val="none"/>
                <w:shd w:val="clear" w:fill="FFFFFF"/>
              </w:rPr>
              <w:t>总磷</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化学</w:t>
            </w:r>
            <w:r>
              <w:rPr>
                <w:rFonts w:hint="default" w:ascii="Times New Roman" w:hAnsi="Times New Roman" w:eastAsia="宋体" w:cs="Times New Roman"/>
                <w:i w:val="0"/>
                <w:iCs w:val="0"/>
                <w:caps w:val="0"/>
                <w:color w:val="auto"/>
                <w:spacing w:val="0"/>
                <w:sz w:val="24"/>
                <w:szCs w:val="20"/>
                <w:highlight w:val="none"/>
                <w:shd w:val="clear"/>
              </w:rPr>
              <w:t>需氧量</w:t>
            </w:r>
            <w:r>
              <w:rPr>
                <w:rFonts w:hint="default" w:ascii="Times New Roman" w:hAnsi="Times New Roman" w:eastAsia="宋体" w:cs="Times New Roman"/>
                <w:i w:val="0"/>
                <w:iCs w:val="0"/>
                <w:caps w:val="0"/>
                <w:color w:val="auto"/>
                <w:spacing w:val="0"/>
                <w:sz w:val="24"/>
                <w:szCs w:val="20"/>
                <w:highlight w:val="none"/>
                <w:shd w:val="clear"/>
                <w:lang w:eastAsia="zh-CN"/>
              </w:rPr>
              <w:t>、</w:t>
            </w:r>
            <w:r>
              <w:rPr>
                <w:rFonts w:hint="default" w:ascii="Times New Roman" w:hAnsi="Times New Roman" w:eastAsia="宋体" w:cs="Times New Roman"/>
                <w:i w:val="0"/>
                <w:iCs w:val="0"/>
                <w:caps w:val="0"/>
                <w:color w:val="auto"/>
                <w:spacing w:val="0"/>
                <w:sz w:val="24"/>
                <w:szCs w:val="20"/>
                <w:highlight w:val="none"/>
                <w:shd w:val="clear"/>
              </w:rPr>
              <w:t>高锰酸</w:t>
            </w:r>
            <w:r>
              <w:rPr>
                <w:rFonts w:hint="default" w:ascii="Times New Roman" w:hAnsi="Times New Roman" w:eastAsia="宋体" w:cs="Times New Roman"/>
                <w:i w:val="0"/>
                <w:iCs w:val="0"/>
                <w:caps w:val="0"/>
                <w:color w:val="auto"/>
                <w:spacing w:val="0"/>
                <w:sz w:val="24"/>
                <w:szCs w:val="24"/>
                <w:highlight w:val="none"/>
                <w:shd w:val="clear"/>
              </w:rPr>
              <w:t>盐指数</w:t>
            </w:r>
            <w:r>
              <w:rPr>
                <w:rFonts w:hint="default" w:ascii="Times New Roman" w:hAnsi="Times New Roman" w:eastAsia="宋体" w:cs="Times New Roman"/>
                <w:i w:val="0"/>
                <w:iCs w:val="0"/>
                <w:caps w:val="0"/>
                <w:color w:val="auto"/>
                <w:spacing w:val="0"/>
                <w:sz w:val="24"/>
                <w:szCs w:val="24"/>
                <w:highlight w:val="none"/>
                <w:shd w:val="clear"/>
                <w:lang w:eastAsia="zh-CN"/>
              </w:rPr>
              <w:t>、</w:t>
            </w:r>
            <w:r>
              <w:rPr>
                <w:rFonts w:hint="default" w:ascii="Times New Roman" w:hAnsi="Times New Roman" w:eastAsia="宋体" w:cs="Times New Roman"/>
                <w:i w:val="0"/>
                <w:iCs w:val="0"/>
                <w:caps w:val="0"/>
                <w:color w:val="auto"/>
                <w:spacing w:val="0"/>
                <w:sz w:val="24"/>
                <w:szCs w:val="24"/>
                <w:highlight w:val="none"/>
                <w:shd w:val="clear"/>
              </w:rPr>
              <w:t>五日生化</w:t>
            </w:r>
            <w:r>
              <w:rPr>
                <w:rFonts w:hint="default" w:ascii="Times New Roman" w:hAnsi="Times New Roman" w:eastAsia="宋体" w:cs="Times New Roman"/>
                <w:i w:val="0"/>
                <w:iCs w:val="0"/>
                <w:caps w:val="0"/>
                <w:color w:val="auto"/>
                <w:spacing w:val="0"/>
                <w:sz w:val="24"/>
                <w:szCs w:val="24"/>
                <w:highlight w:val="none"/>
                <w:shd w:val="clear" w:fill="FFFFFF"/>
              </w:rPr>
              <w:t>需氧量</w:t>
            </w:r>
            <w:r>
              <w:rPr>
                <w:rFonts w:hint="default" w:ascii="Times New Roman" w:hAnsi="Times New Roman" w:eastAsia="宋体" w:cs="Times New Roman"/>
                <w:color w:val="auto"/>
                <w:sz w:val="24"/>
                <w:szCs w:val="24"/>
                <w:highlight w:val="none"/>
              </w:rPr>
              <w:t>超标，分别超标</w:t>
            </w:r>
            <w:r>
              <w:rPr>
                <w:rFonts w:hint="eastAsia"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倍、</w:t>
            </w:r>
            <w:r>
              <w:rPr>
                <w:rFonts w:hint="eastAsia"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三月三水库</w:t>
            </w:r>
            <w:r>
              <w:rPr>
                <w:rFonts w:hint="default" w:ascii="Times New Roman" w:hAnsi="Times New Roman" w:eastAsia="宋体" w:cs="Times New Roman"/>
                <w:bCs/>
                <w:i w:val="0"/>
                <w:iCs w:val="0"/>
                <w:caps w:val="0"/>
                <w:color w:val="auto"/>
                <w:spacing w:val="0"/>
                <w:sz w:val="24"/>
                <w:szCs w:val="24"/>
                <w:highlight w:val="none"/>
                <w:shd w:val="clear"/>
                <w:lang w:val="en-US" w:eastAsia="zh-CN"/>
              </w:rPr>
              <w:t>为</w:t>
            </w:r>
            <w:r>
              <w:rPr>
                <w:rFonts w:hint="eastAsia" w:cs="Times New Roman"/>
                <w:bCs/>
                <w:i w:val="0"/>
                <w:iCs w:val="0"/>
                <w:caps w:val="0"/>
                <w:color w:val="auto"/>
                <w:spacing w:val="0"/>
                <w:sz w:val="24"/>
                <w:szCs w:val="24"/>
                <w:highlight w:val="none"/>
                <w:shd w:val="clear"/>
                <w:lang w:val="en-US" w:eastAsia="zh-CN"/>
              </w:rPr>
              <w:t>劣</w:t>
            </w:r>
            <w:r>
              <w:rPr>
                <w:rFonts w:hint="default" w:ascii="Times New Roman" w:hAnsi="Times New Roman" w:eastAsia="宋体" w:cs="Times New Roman"/>
                <w:i w:val="0"/>
                <w:iCs w:val="0"/>
                <w:caps w:val="0"/>
                <w:color w:val="auto"/>
                <w:spacing w:val="0"/>
                <w:sz w:val="24"/>
                <w:szCs w:val="24"/>
                <w:highlight w:val="none"/>
                <w:shd w:val="clear" w:fill="FFFFFF"/>
              </w:rPr>
              <w:t>Ⅴ类</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color w:val="auto"/>
                <w:sz w:val="24"/>
                <w:szCs w:val="20"/>
                <w:highlight w:val="none"/>
              </w:rPr>
              <w:t>监测指标中</w:t>
            </w:r>
            <w:r>
              <w:rPr>
                <w:rFonts w:hint="default" w:ascii="Times New Roman" w:hAnsi="Times New Roman" w:eastAsia="宋体" w:cs="Times New Roman"/>
                <w:i w:val="0"/>
                <w:iCs w:val="0"/>
                <w:caps w:val="0"/>
                <w:color w:val="auto"/>
                <w:spacing w:val="0"/>
                <w:sz w:val="24"/>
                <w:szCs w:val="24"/>
                <w:highlight w:val="none"/>
                <w:shd w:val="clear" w:fill="FFFFFF"/>
              </w:rPr>
              <w:t>化学</w:t>
            </w:r>
            <w:r>
              <w:rPr>
                <w:rFonts w:hint="default" w:ascii="Times New Roman" w:hAnsi="Times New Roman" w:eastAsia="宋体" w:cs="Times New Roman"/>
                <w:i w:val="0"/>
                <w:iCs w:val="0"/>
                <w:caps w:val="0"/>
                <w:color w:val="auto"/>
                <w:spacing w:val="0"/>
                <w:sz w:val="24"/>
                <w:szCs w:val="20"/>
                <w:highlight w:val="none"/>
                <w:shd w:val="clear"/>
              </w:rPr>
              <w:t>需氧量</w:t>
            </w:r>
            <w:r>
              <w:rPr>
                <w:rFonts w:hint="default" w:ascii="Times New Roman" w:hAnsi="Times New Roman" w:eastAsia="宋体" w:cs="Times New Roman"/>
                <w:color w:val="auto"/>
                <w:sz w:val="24"/>
                <w:szCs w:val="20"/>
                <w:highlight w:val="none"/>
              </w:rPr>
              <w:t>超标，超标</w:t>
            </w:r>
            <w:r>
              <w:rPr>
                <w:rFonts w:hint="eastAsia" w:cs="Times New Roman"/>
                <w:color w:val="auto"/>
                <w:sz w:val="24"/>
                <w:szCs w:val="20"/>
                <w:highlight w:val="none"/>
                <w:lang w:val="en-US" w:eastAsia="zh-CN"/>
              </w:rPr>
              <w:t>1.4</w:t>
            </w:r>
            <w:r>
              <w:rPr>
                <w:rFonts w:hint="default" w:ascii="Times New Roman" w:hAnsi="Times New Roman" w:eastAsia="宋体" w:cs="Times New Roman"/>
                <w:color w:val="auto"/>
                <w:sz w:val="24"/>
                <w:szCs w:val="20"/>
                <w:highlight w:val="none"/>
              </w:rPr>
              <w:t>倍</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潘所海</w:t>
            </w:r>
            <w:r>
              <w:rPr>
                <w:rFonts w:hint="default" w:ascii="Times New Roman" w:hAnsi="Times New Roman" w:eastAsia="宋体" w:cs="Times New Roman"/>
                <w:color w:val="auto"/>
                <w:sz w:val="24"/>
                <w:szCs w:val="20"/>
                <w:highlight w:val="none"/>
                <w:lang w:val="en-US" w:eastAsia="zh-CN"/>
              </w:rPr>
              <w:t>及</w:t>
            </w:r>
            <w:r>
              <w:rPr>
                <w:rFonts w:hint="default" w:ascii="Times New Roman" w:hAnsi="Times New Roman" w:eastAsia="宋体" w:cs="Times New Roman"/>
                <w:color w:val="auto"/>
                <w:sz w:val="24"/>
                <w:szCs w:val="20"/>
                <w:highlight w:val="none"/>
              </w:rPr>
              <w:t>三月三水库水质</w:t>
            </w:r>
            <w:r>
              <w:rPr>
                <w:rFonts w:hint="default" w:ascii="Times New Roman" w:hAnsi="Times New Roman" w:eastAsia="宋体" w:cs="Times New Roman"/>
                <w:color w:val="auto"/>
                <w:sz w:val="24"/>
                <w:szCs w:val="20"/>
                <w:highlight w:val="none"/>
                <w:lang w:val="en-US" w:eastAsia="zh-CN"/>
              </w:rPr>
              <w:t>均</w:t>
            </w:r>
            <w:r>
              <w:rPr>
                <w:rFonts w:hint="default" w:ascii="Times New Roman" w:hAnsi="Times New Roman" w:eastAsia="宋体" w:cs="Times New Roman"/>
                <w:color w:val="auto"/>
                <w:sz w:val="24"/>
                <w:szCs w:val="20"/>
                <w:highlight w:val="none"/>
              </w:rPr>
              <w:t>不能达到《地表水环境质量标准》（GB3838-2002）Ⅲ类标准限值</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highlight w:val="none"/>
              </w:rPr>
              <w:t>不能满足相关功能区划要求</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根据本次环评调查分析及《寻甸特色产业园区总体规划修编（2018-2035年）环境影响报告书（报批稿）》分析</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highlight w:val="none"/>
              </w:rPr>
              <w:t>超标原因主要是由于</w:t>
            </w:r>
            <w:r>
              <w:rPr>
                <w:rFonts w:hint="default" w:ascii="Times New Roman" w:hAnsi="Times New Roman" w:eastAsia="宋体" w:cs="Times New Roman"/>
                <w:color w:val="auto"/>
                <w:sz w:val="24"/>
                <w:highlight w:val="none"/>
                <w:lang w:val="en-US" w:eastAsia="zh-CN"/>
              </w:rPr>
              <w:t>入湖</w:t>
            </w:r>
            <w:r>
              <w:rPr>
                <w:rFonts w:hint="default" w:ascii="Times New Roman" w:hAnsi="Times New Roman" w:eastAsia="宋体" w:cs="Times New Roman"/>
                <w:color w:val="auto"/>
                <w:sz w:val="24"/>
                <w:highlight w:val="none"/>
              </w:rPr>
              <w:t>河道沿岸仍有生活污水汇入河道，生活面源污染导致水质变差，不能满足功能区划的要求。</w:t>
            </w:r>
          </w:p>
          <w:p w14:paraId="2AFBEEEA">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3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3、声环境质量现状</w:t>
            </w:r>
          </w:p>
          <w:p w14:paraId="4DCD23F7">
            <w:pPr>
              <w:pStyle w:val="16"/>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云南寻甸产业园区金所片区金所组团内</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b w:val="0"/>
                <w:bCs w:val="0"/>
                <w:color w:val="auto"/>
                <w:kern w:val="2"/>
                <w:sz w:val="24"/>
                <w:szCs w:val="24"/>
                <w:highlight w:val="none"/>
                <w:lang w:val="zh-CN"/>
              </w:rPr>
              <w:t>《</w:t>
            </w:r>
            <w:r>
              <w:rPr>
                <w:rFonts w:hint="default" w:ascii="Times New Roman" w:hAnsi="Times New Roman" w:eastAsia="宋体" w:cs="Times New Roman"/>
                <w:b w:val="0"/>
                <w:bCs w:val="0"/>
                <w:color w:val="auto"/>
                <w:sz w:val="24"/>
                <w:szCs w:val="24"/>
                <w:highlight w:val="none"/>
              </w:rPr>
              <w:t>云南寻甸产业园区总体规划修编（2021-2035）环境影响报告书</w:t>
            </w:r>
            <w:r>
              <w:rPr>
                <w:rFonts w:hint="default" w:ascii="Times New Roman" w:hAnsi="Times New Roman" w:eastAsia="宋体" w:cs="Times New Roman"/>
                <w:b w:val="0"/>
                <w:bCs w:val="0"/>
                <w:color w:val="auto"/>
                <w:kern w:val="2"/>
                <w:sz w:val="24"/>
                <w:szCs w:val="24"/>
                <w:highlight w:val="none"/>
                <w:lang w:val="zh-CN" w:eastAsia="zh-CN"/>
              </w:rPr>
              <w:t>》</w:t>
            </w:r>
            <w:r>
              <w:rPr>
                <w:rFonts w:hint="default" w:ascii="Times New Roman" w:hAnsi="Times New Roman" w:eastAsia="宋体" w:cs="Times New Roman"/>
                <w:b w:val="0"/>
                <w:bCs w:val="0"/>
                <w:color w:val="auto"/>
                <w:kern w:val="2"/>
                <w:sz w:val="24"/>
                <w:szCs w:val="24"/>
                <w:highlight w:val="none"/>
                <w:lang w:val="en-US" w:eastAsia="zh-CN"/>
              </w:rPr>
              <w:t>可知，</w:t>
            </w:r>
            <w:r>
              <w:rPr>
                <w:rFonts w:hint="default" w:ascii="Times New Roman" w:hAnsi="Times New Roman" w:eastAsia="宋体" w:cs="Times New Roman"/>
                <w:color w:val="auto"/>
                <w:sz w:val="24"/>
                <w:szCs w:val="24"/>
                <w:highlight w:val="none"/>
              </w:rPr>
              <w:t>工业、仓储物流区执行《声环境质量标准》（GB3096-2008）3类标准；临嵩待高速公路一侧及园区规划主干道两侧35±5m范围执行《声环境质量标准》4a类标准。</w:t>
            </w:r>
            <w:r>
              <w:rPr>
                <w:rFonts w:hint="default" w:ascii="Times New Roman" w:hAnsi="Times New Roman" w:eastAsia="宋体" w:cs="Times New Roman"/>
                <w:color w:val="auto"/>
                <w:sz w:val="24"/>
                <w:highlight w:val="none"/>
              </w:rPr>
              <w:t>项目区</w:t>
            </w:r>
            <w:r>
              <w:rPr>
                <w:rFonts w:hint="eastAsia" w:ascii="Times New Roman" w:hAnsi="Times New Roman" w:eastAsia="宋体" w:cs="Times New Roman"/>
                <w:color w:val="auto"/>
                <w:sz w:val="24"/>
                <w:highlight w:val="none"/>
                <w:lang w:val="en-US" w:eastAsia="zh-CN"/>
              </w:rPr>
              <w:t>东</w:t>
            </w:r>
            <w:r>
              <w:rPr>
                <w:rFonts w:hint="default" w:ascii="Times New Roman" w:hAnsi="Times New Roman" w:eastAsia="宋体" w:cs="Times New Roman"/>
                <w:color w:val="auto"/>
                <w:sz w:val="24"/>
                <w:highlight w:val="none"/>
              </w:rPr>
              <w:t>侧临</w:t>
            </w:r>
            <w:r>
              <w:rPr>
                <w:rFonts w:hint="default" w:ascii="Times New Roman" w:hAnsi="Times New Roman" w:eastAsia="宋体" w:cs="Times New Roman"/>
                <w:color w:val="auto"/>
                <w:sz w:val="24"/>
                <w:highlight w:val="none"/>
                <w:lang w:val="en-US" w:eastAsia="zh-CN"/>
              </w:rPr>
              <w:t>园区主干道</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bidi="ar"/>
              </w:rPr>
              <w:t>因此本项目</w:t>
            </w:r>
            <w:r>
              <w:rPr>
                <w:rFonts w:hint="eastAsia" w:ascii="Times New Roman" w:hAnsi="Times New Roman" w:eastAsia="宋体" w:cs="Times New Roman"/>
                <w:color w:val="auto"/>
                <w:sz w:val="24"/>
                <w:highlight w:val="none"/>
                <w:lang w:val="en-US" w:eastAsia="zh-CN" w:bidi="ar"/>
              </w:rPr>
              <w:t>东</w:t>
            </w:r>
            <w:r>
              <w:rPr>
                <w:rFonts w:hint="default" w:ascii="Times New Roman" w:hAnsi="Times New Roman" w:eastAsia="宋体" w:cs="Times New Roman"/>
                <w:color w:val="auto"/>
                <w:sz w:val="24"/>
                <w:highlight w:val="none"/>
                <w:lang w:val="en-US" w:eastAsia="zh-CN" w:bidi="ar"/>
              </w:rPr>
              <w:t>侧</w:t>
            </w:r>
            <w:r>
              <w:rPr>
                <w:rFonts w:hint="default" w:ascii="Times New Roman" w:hAnsi="Times New Roman" w:eastAsia="宋体" w:cs="Times New Roman"/>
                <w:color w:val="auto"/>
                <w:sz w:val="24"/>
                <w:szCs w:val="24"/>
                <w:highlight w:val="none"/>
              </w:rPr>
              <w:t>35±5m范围</w:t>
            </w:r>
            <w:r>
              <w:rPr>
                <w:rFonts w:hint="default" w:ascii="Times New Roman" w:hAnsi="Times New Roman" w:eastAsia="宋体" w:cs="Times New Roman"/>
                <w:color w:val="auto"/>
                <w:sz w:val="24"/>
                <w:szCs w:val="24"/>
                <w:highlight w:val="none"/>
                <w:lang w:val="en-US" w:eastAsia="zh-CN"/>
              </w:rPr>
              <w:t>内执行</w:t>
            </w:r>
            <w:r>
              <w:rPr>
                <w:rFonts w:hint="default" w:ascii="Times New Roman" w:hAnsi="Times New Roman" w:eastAsia="宋体" w:cs="Times New Roman"/>
                <w:color w:val="auto"/>
                <w:sz w:val="24"/>
                <w:highlight w:val="none"/>
              </w:rPr>
              <w:t>《声环境质量标准》（GB3096-2008）</w:t>
            </w:r>
            <w:r>
              <w:rPr>
                <w:rFonts w:hint="default" w:ascii="Times New Roman" w:hAnsi="Times New Roman" w:eastAsia="宋体" w:cs="Times New Roman"/>
                <w:color w:val="auto"/>
                <w:sz w:val="24"/>
                <w:highlight w:val="none"/>
                <w:lang w:val="en-US" w:eastAsia="zh-CN"/>
              </w:rPr>
              <w:t>4a</w:t>
            </w:r>
            <w:r>
              <w:rPr>
                <w:rFonts w:hint="default" w:ascii="Times New Roman" w:hAnsi="Times New Roman" w:eastAsia="宋体" w:cs="Times New Roman"/>
                <w:color w:val="auto"/>
                <w:sz w:val="24"/>
                <w:highlight w:val="none"/>
              </w:rPr>
              <w:t>类</w:t>
            </w:r>
            <w:r>
              <w:rPr>
                <w:rFonts w:hint="default" w:ascii="Times New Roman" w:hAnsi="Times New Roman" w:eastAsia="宋体" w:cs="Times New Roman"/>
                <w:color w:val="auto"/>
                <w:sz w:val="24"/>
                <w:highlight w:val="none"/>
                <w:lang w:val="en-US" w:eastAsia="zh-CN"/>
              </w:rPr>
              <w:t>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其余三侧（</w:t>
            </w:r>
            <w:r>
              <w:rPr>
                <w:rFonts w:hint="eastAsia" w:ascii="Times New Roman" w:hAnsi="Times New Roman" w:eastAsia="宋体" w:cs="Times New Roman"/>
                <w:color w:val="auto"/>
                <w:sz w:val="24"/>
                <w:highlight w:val="none"/>
                <w:lang w:val="en-US" w:eastAsia="zh-CN"/>
              </w:rPr>
              <w:t>南、西、北</w:t>
            </w:r>
            <w:r>
              <w:rPr>
                <w:rFonts w:hint="default" w:ascii="Times New Roman" w:hAnsi="Times New Roman" w:eastAsia="宋体" w:cs="Times New Roman"/>
                <w:color w:val="auto"/>
                <w:sz w:val="24"/>
                <w:highlight w:val="none"/>
                <w:lang w:val="en-US" w:eastAsia="zh-CN"/>
              </w:rPr>
              <w:t>厂界）执行</w:t>
            </w:r>
            <w:r>
              <w:rPr>
                <w:rFonts w:hint="default" w:ascii="Times New Roman" w:hAnsi="Times New Roman" w:eastAsia="宋体" w:cs="Times New Roman"/>
                <w:color w:val="auto"/>
                <w:sz w:val="24"/>
                <w:highlight w:val="none"/>
              </w:rPr>
              <w:t>《声环境质量标准》（GB3096-2008）3类</w:t>
            </w:r>
            <w:r>
              <w:rPr>
                <w:rFonts w:hint="default" w:ascii="Times New Roman" w:hAnsi="Times New Roman" w:eastAsia="宋体" w:cs="Times New Roman"/>
                <w:color w:val="auto"/>
                <w:sz w:val="24"/>
                <w:highlight w:val="none"/>
                <w:lang w:val="en-US" w:eastAsia="zh-CN"/>
              </w:rPr>
              <w:t>标准要求</w:t>
            </w:r>
            <w:r>
              <w:rPr>
                <w:rFonts w:hint="default" w:ascii="Times New Roman" w:hAnsi="Times New Roman" w:eastAsia="宋体" w:cs="Times New Roman"/>
                <w:color w:val="auto"/>
                <w:sz w:val="24"/>
                <w:highlight w:val="none"/>
              </w:rPr>
              <w:t>。</w:t>
            </w:r>
          </w:p>
          <w:p w14:paraId="47EB5288">
            <w:pPr>
              <w:pStyle w:val="76"/>
              <w:keepNext w:val="0"/>
              <w:keepLines w:val="0"/>
              <w:pageBreakBefore w:val="0"/>
              <w:widowControl w:val="0"/>
              <w:kinsoku/>
              <w:wordWrap/>
              <w:overflowPunct/>
              <w:topLinePunct w:val="0"/>
              <w:bidi w:val="0"/>
              <w:adjustRightInd w:val="0"/>
              <w:snapToGrid w:val="0"/>
              <w:spacing w:line="356"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color w:val="auto"/>
                <w:sz w:val="24"/>
                <w:highlight w:val="none"/>
                <w:lang w:bidi="ar"/>
              </w:rPr>
              <w:t>根据《建设项目环境影响报告表编制技术指南（污染影响类）》（试行），</w:t>
            </w:r>
            <w:r>
              <w:rPr>
                <w:rFonts w:hint="default" w:ascii="Times New Roman" w:hAnsi="Times New Roman" w:eastAsia="宋体" w:cs="Times New Roman"/>
                <w:color w:val="auto"/>
                <w:kern w:val="0"/>
                <w:highlight w:val="none"/>
                <w:lang w:val="en-US" w:eastAsia="zh-CN"/>
              </w:rPr>
              <w:t>项目区50m范围内无声环境保护目标，因此未进行</w:t>
            </w:r>
            <w:r>
              <w:rPr>
                <w:rFonts w:hint="default" w:ascii="Times New Roman" w:hAnsi="Times New Roman" w:eastAsia="宋体" w:cs="Times New Roman"/>
                <w:color w:val="auto"/>
                <w:kern w:val="0"/>
                <w:highlight w:val="none"/>
              </w:rPr>
              <w:t>声环境质量现状</w:t>
            </w:r>
            <w:r>
              <w:rPr>
                <w:rFonts w:hint="default" w:ascii="Times New Roman" w:hAnsi="Times New Roman" w:eastAsia="宋体" w:cs="Times New Roman"/>
                <w:color w:val="auto"/>
                <w:kern w:val="0"/>
                <w:highlight w:val="none"/>
                <w:lang w:val="en-US" w:eastAsia="zh-CN"/>
              </w:rPr>
              <w:t>监测。</w:t>
            </w:r>
            <w:r>
              <w:rPr>
                <w:rFonts w:hint="default" w:ascii="Times New Roman" w:hAnsi="Times New Roman" w:eastAsia="宋体" w:cs="Times New Roman"/>
                <w:bCs/>
                <w:color w:val="auto"/>
                <w:sz w:val="24"/>
                <w:highlight w:val="none"/>
              </w:rPr>
              <w:t>根据《202</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年度昆明市生态环境状况公报》</w:t>
            </w:r>
            <w:r>
              <w:rPr>
                <w:rFonts w:hint="default" w:ascii="Times New Roman" w:hAnsi="Times New Roman" w:eastAsia="宋体" w:cs="Times New Roman"/>
                <w:bCs/>
                <w:color w:val="auto"/>
                <w:sz w:val="24"/>
                <w:highlight w:val="none"/>
                <w:lang w:val="en-US" w:eastAsia="zh-CN"/>
              </w:rPr>
              <w:t>可知，2022年，各县（市）区昼间区域环境噪声平均等效声级分别为：东川区53.6分贝，安宁市48.7分贝、宜良县53.3分贝，石林县48.8分贝，禄劝县54.2分贝，嵩明县52.5分贝，富民县52.7分贝，晋宁区50.9分贝，寻甸县48.6分贝。根据区域环境噪声质量划分等级进行评价，总体水平在一级（好）和二级（较好）之间。与2021年相比，安宁市、宜良县、禄劝县、嵩明县、富民县、晋宁区的昼间区域声环境质量平均等效声级下降，东川区、石林县、寻甸县的昼间区域声环境质量平均等效声级上升。</w:t>
            </w:r>
          </w:p>
          <w:p w14:paraId="63E8D4CE">
            <w:pPr>
              <w:keepNext w:val="0"/>
              <w:keepLines w:val="0"/>
              <w:pageBreakBefore w:val="0"/>
              <w:widowControl w:val="0"/>
              <w:kinsoku/>
              <w:wordWrap/>
              <w:overflowPunct/>
              <w:topLinePunct w:val="0"/>
              <w:bidi w:val="0"/>
              <w:adjustRightInd w:val="0"/>
              <w:snapToGrid w:val="0"/>
              <w:spacing w:line="336"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w:t>
            </w:r>
            <w:r>
              <w:rPr>
                <w:rFonts w:hint="default" w:ascii="Times New Roman" w:hAnsi="Times New Roman" w:eastAsia="宋体" w:cs="Times New Roman"/>
                <w:b/>
                <w:bCs/>
                <w:color w:val="auto"/>
                <w:sz w:val="24"/>
                <w:highlight w:val="none"/>
                <w:lang w:val="en-US" w:eastAsia="zh-CN"/>
              </w:rPr>
              <w:t>土壤</w:t>
            </w:r>
            <w:r>
              <w:rPr>
                <w:rFonts w:hint="default" w:ascii="Times New Roman" w:hAnsi="Times New Roman" w:eastAsia="宋体" w:cs="Times New Roman"/>
                <w:b/>
                <w:bCs/>
                <w:color w:val="auto"/>
                <w:sz w:val="24"/>
                <w:highlight w:val="none"/>
              </w:rPr>
              <w:t>环境质量现状</w:t>
            </w:r>
          </w:p>
          <w:p w14:paraId="34EE6E42">
            <w:pPr>
              <w:spacing w:line="360" w:lineRule="auto"/>
              <w:ind w:firstLine="480" w:firstLineChars="200"/>
              <w:rPr>
                <w:rFonts w:hint="eastAsia"/>
                <w:b/>
                <w:bCs/>
                <w:color w:val="auto"/>
                <w:kern w:val="0"/>
                <w:sz w:val="24"/>
                <w:highlight w:val="none"/>
                <w:lang w:val="en-US" w:eastAsia="zh-CN"/>
              </w:rPr>
            </w:pPr>
            <w:r>
              <w:rPr>
                <w:rFonts w:hint="default" w:ascii="Times New Roman" w:hAnsi="Times New Roman" w:eastAsia="宋体" w:cs="Times New Roman"/>
                <w:bCs/>
                <w:color w:val="auto"/>
                <w:sz w:val="24"/>
                <w:highlight w:val="none"/>
              </w:rPr>
              <w:t>本项目</w:t>
            </w:r>
            <w:r>
              <w:rPr>
                <w:rFonts w:hint="default" w:ascii="Times New Roman" w:hAnsi="Times New Roman" w:eastAsia="宋体" w:cs="Times New Roman"/>
                <w:color w:val="auto"/>
                <w:sz w:val="24"/>
                <w:szCs w:val="24"/>
                <w:highlight w:val="none"/>
                <w:lang w:val="en-US" w:eastAsia="zh-CN"/>
              </w:rPr>
              <w:t>位于</w:t>
            </w:r>
            <w:r>
              <w:rPr>
                <w:rFonts w:hint="default" w:ascii="Times New Roman" w:hAnsi="Times New Roman" w:eastAsia="宋体" w:cs="Times New Roman"/>
                <w:color w:val="auto"/>
                <w:sz w:val="24"/>
                <w:szCs w:val="24"/>
                <w:highlight w:val="none"/>
                <w:u w:val="none"/>
                <w:lang w:val="en-US" w:eastAsia="zh-CN"/>
              </w:rPr>
              <w:t>云南寻甸产业园区金所片区金所组团内</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Cs/>
                <w:color w:val="auto"/>
                <w:sz w:val="24"/>
                <w:highlight w:val="none"/>
              </w:rPr>
              <w:t>为</w:t>
            </w:r>
            <w:r>
              <w:rPr>
                <w:rFonts w:hint="eastAsia" w:cs="Times New Roman"/>
                <w:color w:val="auto"/>
                <w:sz w:val="24"/>
                <w:szCs w:val="24"/>
                <w:highlight w:val="none"/>
                <w:lang w:val="en-US" w:eastAsia="zh-CN"/>
              </w:rPr>
              <w:t>其他煤炭加工</w:t>
            </w:r>
            <w:r>
              <w:rPr>
                <w:rFonts w:hint="default" w:ascii="Times New Roman" w:hAnsi="Times New Roman" w:eastAsia="宋体" w:cs="Times New Roman"/>
                <w:bCs/>
                <w:color w:val="auto"/>
                <w:sz w:val="24"/>
                <w:highlight w:val="none"/>
                <w:lang w:val="en-US" w:eastAsia="zh-CN"/>
              </w:rPr>
              <w:t>项目</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color w:val="auto"/>
                <w:sz w:val="24"/>
                <w:highlight w:val="none"/>
              </w:rPr>
              <w:t>根据《建设项目环境影响报告表编制技术指南（污染影响类）》，原则上不开展</w:t>
            </w:r>
            <w:r>
              <w:rPr>
                <w:rFonts w:hint="default" w:ascii="Times New Roman" w:hAnsi="Times New Roman" w:eastAsia="宋体" w:cs="Times New Roman"/>
                <w:color w:val="auto"/>
                <w:sz w:val="24"/>
                <w:highlight w:val="none"/>
                <w:lang w:val="en-US" w:eastAsia="zh-CN"/>
              </w:rPr>
              <w:t>土壤</w:t>
            </w:r>
            <w:r>
              <w:rPr>
                <w:rFonts w:hint="default" w:ascii="Times New Roman" w:hAnsi="Times New Roman" w:eastAsia="宋体" w:cs="Times New Roman"/>
                <w:color w:val="auto"/>
                <w:sz w:val="24"/>
                <w:highlight w:val="none"/>
              </w:rPr>
              <w:t>环境质量现状调查</w:t>
            </w:r>
            <w:r>
              <w:rPr>
                <w:rFonts w:hint="default" w:ascii="Times New Roman" w:hAnsi="Times New Roman" w:eastAsia="宋体" w:cs="Times New Roman"/>
                <w:color w:val="auto"/>
                <w:sz w:val="24"/>
                <w:highlight w:val="none"/>
                <w:lang w:eastAsia="zh-CN"/>
              </w:rPr>
              <w:t>。</w:t>
            </w:r>
            <w:r>
              <w:rPr>
                <w:rFonts w:ascii="Times New Roman" w:hAnsi="Times New Roman" w:eastAsia="宋体" w:cs="Times New Roman"/>
                <w:snapToGrid w:val="0"/>
                <w:color w:val="auto"/>
                <w:kern w:val="0"/>
                <w:sz w:val="24"/>
                <w:highlight w:val="none"/>
              </w:rPr>
              <w:t>对照《环境影响评价技术导则 土壤环境（试行）》</w:t>
            </w:r>
            <w:r>
              <w:rPr>
                <w:rFonts w:hint="eastAsia" w:ascii="Times New Roman" w:hAnsi="Times New Roman" w:eastAsia="宋体" w:cs="Times New Roman"/>
                <w:snapToGrid w:val="0"/>
                <w:color w:val="auto"/>
                <w:kern w:val="0"/>
                <w:sz w:val="24"/>
                <w:highlight w:val="none"/>
              </w:rPr>
              <w:t>（</w:t>
            </w:r>
            <w:r>
              <w:rPr>
                <w:rFonts w:ascii="Times New Roman" w:hAnsi="Times New Roman" w:eastAsia="宋体" w:cs="Times New Roman"/>
                <w:snapToGrid w:val="0"/>
                <w:color w:val="auto"/>
                <w:kern w:val="0"/>
                <w:sz w:val="24"/>
                <w:highlight w:val="none"/>
              </w:rPr>
              <w:t>HJ964-2018</w:t>
            </w:r>
            <w:r>
              <w:rPr>
                <w:rFonts w:hint="eastAsia" w:ascii="Times New Roman" w:hAnsi="Times New Roman" w:eastAsia="宋体" w:cs="Times New Roman"/>
                <w:snapToGrid w:val="0"/>
                <w:color w:val="auto"/>
                <w:kern w:val="0"/>
                <w:sz w:val="24"/>
                <w:highlight w:val="none"/>
              </w:rPr>
              <w:t>）</w:t>
            </w:r>
            <w:r>
              <w:rPr>
                <w:rFonts w:ascii="Times New Roman" w:hAnsi="Times New Roman" w:eastAsia="宋体" w:cs="Times New Roman"/>
                <w:snapToGrid w:val="0"/>
                <w:color w:val="auto"/>
                <w:kern w:val="0"/>
                <w:sz w:val="24"/>
                <w:highlight w:val="none"/>
              </w:rPr>
              <w:t>附录A的表A.1可知，项目</w:t>
            </w:r>
            <w:r>
              <w:rPr>
                <w:rFonts w:hint="eastAsia" w:ascii="Times New Roman" w:hAnsi="Times New Roman" w:eastAsia="宋体" w:cs="Times New Roman"/>
                <w:color w:val="auto"/>
                <w:sz w:val="24"/>
                <w:highlight w:val="none"/>
              </w:rPr>
              <w:t>属于“其他</w:t>
            </w:r>
            <w:r>
              <w:rPr>
                <w:rFonts w:hint="eastAsia" w:ascii="Times New Roman" w:hAnsi="Times New Roman" w:eastAsia="宋体" w:cs="Times New Roman"/>
                <w:color w:val="auto"/>
                <w:sz w:val="24"/>
                <w:highlight w:val="none"/>
                <w:lang w:eastAsia="zh-CN"/>
              </w:rPr>
              <w:t>行业</w:t>
            </w:r>
            <w:r>
              <w:rPr>
                <w:rFonts w:hint="eastAsia" w:ascii="Times New Roman" w:hAnsi="Times New Roman" w:eastAsia="宋体" w:cs="Times New Roman"/>
                <w:color w:val="auto"/>
                <w:sz w:val="24"/>
                <w:highlight w:val="none"/>
              </w:rPr>
              <w:t>”类项目</w:t>
            </w:r>
            <w:r>
              <w:rPr>
                <w:rFonts w:hint="eastAsia" w:ascii="Times New Roman" w:hAnsi="Times New Roman" w:eastAsia="宋体" w:cs="Times New Roman"/>
                <w:snapToGrid w:val="0"/>
                <w:color w:val="auto"/>
                <w:kern w:val="0"/>
                <w:sz w:val="24"/>
                <w:highlight w:val="none"/>
              </w:rPr>
              <w:t>，</w:t>
            </w:r>
            <w:r>
              <w:rPr>
                <w:rFonts w:ascii="Times New Roman" w:hAnsi="Times New Roman" w:eastAsia="宋体" w:cs="Times New Roman"/>
                <w:snapToGrid w:val="0"/>
                <w:color w:val="auto"/>
                <w:kern w:val="0"/>
                <w:sz w:val="24"/>
                <w:highlight w:val="none"/>
              </w:rPr>
              <w:t>为</w:t>
            </w:r>
            <w:r>
              <w:rPr>
                <w:rFonts w:hint="eastAsia" w:ascii="Times New Roman" w:hAnsi="Times New Roman" w:eastAsia="宋体" w:cs="Times New Roman"/>
                <w:snapToGrid w:val="0"/>
                <w:color w:val="auto"/>
                <w:kern w:val="0"/>
                <w:sz w:val="24"/>
                <w:highlight w:val="none"/>
              </w:rPr>
              <w:t>Ⅳ</w:t>
            </w:r>
            <w:r>
              <w:rPr>
                <w:rFonts w:ascii="Times New Roman" w:hAnsi="Times New Roman" w:eastAsia="宋体" w:cs="Times New Roman"/>
                <w:snapToGrid w:val="0"/>
                <w:color w:val="auto"/>
                <w:kern w:val="0"/>
                <w:sz w:val="24"/>
                <w:highlight w:val="none"/>
              </w:rPr>
              <w:t>类项目。</w:t>
            </w:r>
            <w:r>
              <w:rPr>
                <w:rFonts w:hint="default" w:ascii="Times New Roman" w:hAnsi="Times New Roman" w:eastAsia="宋体" w:cs="Times New Roman"/>
                <w:color w:val="auto"/>
                <w:sz w:val="24"/>
                <w:highlight w:val="none"/>
                <w:lang w:val="en-US" w:eastAsia="zh-CN"/>
              </w:rPr>
              <w:t>因此不对土壤环境开展现状调查。</w:t>
            </w:r>
          </w:p>
          <w:p w14:paraId="2122FBCE">
            <w:pPr>
              <w:keepNext w:val="0"/>
              <w:keepLines w:val="0"/>
              <w:pageBreakBefore w:val="0"/>
              <w:widowControl w:val="0"/>
              <w:kinsoku/>
              <w:wordWrap/>
              <w:overflowPunct/>
              <w:topLinePunct w:val="0"/>
              <w:bidi w:val="0"/>
              <w:adjustRightInd w:val="0"/>
              <w:snapToGrid w:val="0"/>
              <w:spacing w:line="336"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、地下水环境质量现状</w:t>
            </w:r>
          </w:p>
          <w:p w14:paraId="2E7725EC">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Cs/>
                <w:color w:val="auto"/>
                <w:sz w:val="24"/>
                <w:highlight w:val="none"/>
              </w:rPr>
              <w:t>本项目</w:t>
            </w:r>
            <w:r>
              <w:rPr>
                <w:rFonts w:hint="default" w:ascii="Times New Roman" w:hAnsi="Times New Roman" w:eastAsia="宋体" w:cs="Times New Roman"/>
                <w:color w:val="auto"/>
                <w:sz w:val="24"/>
                <w:szCs w:val="24"/>
                <w:highlight w:val="none"/>
                <w:lang w:val="en-US" w:eastAsia="zh-CN"/>
              </w:rPr>
              <w:t>位于</w:t>
            </w:r>
            <w:r>
              <w:rPr>
                <w:rFonts w:hint="default" w:ascii="Times New Roman" w:hAnsi="Times New Roman" w:eastAsia="宋体" w:cs="Times New Roman"/>
                <w:color w:val="auto"/>
                <w:sz w:val="24"/>
                <w:szCs w:val="24"/>
                <w:highlight w:val="none"/>
                <w:u w:val="none"/>
                <w:lang w:val="en-US" w:eastAsia="zh-CN"/>
              </w:rPr>
              <w:t>云南寻甸产业园区金所片区金所组团内</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Cs/>
                <w:color w:val="auto"/>
                <w:sz w:val="24"/>
                <w:highlight w:val="none"/>
              </w:rPr>
              <w:t>为</w:t>
            </w:r>
            <w:r>
              <w:rPr>
                <w:rFonts w:hint="eastAsia" w:cs="Times New Roman"/>
                <w:color w:val="auto"/>
                <w:sz w:val="24"/>
                <w:szCs w:val="24"/>
                <w:highlight w:val="none"/>
                <w:lang w:val="en-US" w:eastAsia="zh-CN"/>
              </w:rPr>
              <w:t>其他煤炭加工</w:t>
            </w:r>
            <w:r>
              <w:rPr>
                <w:rFonts w:hint="default" w:ascii="Times New Roman" w:hAnsi="Times New Roman" w:eastAsia="宋体" w:cs="Times New Roman"/>
                <w:bCs/>
                <w:color w:val="auto"/>
                <w:sz w:val="24"/>
                <w:highlight w:val="none"/>
                <w:lang w:val="en-US" w:eastAsia="zh-CN"/>
              </w:rPr>
              <w:t>项目</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color w:val="auto"/>
                <w:sz w:val="24"/>
                <w:highlight w:val="none"/>
              </w:rPr>
              <w:t>根据《建设项目环境影响报告表编制技术指南（污染影响类）》，</w:t>
            </w:r>
            <w:r>
              <w:rPr>
                <w:rFonts w:hint="eastAsia" w:cs="Times New Roman"/>
                <w:color w:val="auto"/>
                <w:sz w:val="24"/>
                <w:highlight w:val="none"/>
                <w:lang w:eastAsia="zh-CN"/>
              </w:rPr>
              <w:t>本项目无污染途径，</w:t>
            </w:r>
            <w:r>
              <w:rPr>
                <w:rFonts w:hint="default" w:ascii="Times New Roman" w:hAnsi="Times New Roman" w:eastAsia="宋体" w:cs="Times New Roman"/>
                <w:color w:val="auto"/>
                <w:sz w:val="24"/>
                <w:highlight w:val="none"/>
              </w:rPr>
              <w:t>原则上不开展</w:t>
            </w:r>
            <w:r>
              <w:rPr>
                <w:rFonts w:hint="eastAsia" w:eastAsia="宋体" w:cs="Times New Roman"/>
                <w:color w:val="auto"/>
                <w:sz w:val="24"/>
                <w:highlight w:val="none"/>
                <w:lang w:val="en-US" w:eastAsia="zh-CN"/>
              </w:rPr>
              <w:t>地下水</w:t>
            </w:r>
            <w:r>
              <w:rPr>
                <w:rFonts w:hint="default" w:ascii="Times New Roman" w:hAnsi="Times New Roman" w:eastAsia="宋体" w:cs="Times New Roman"/>
                <w:color w:val="auto"/>
                <w:sz w:val="24"/>
                <w:highlight w:val="none"/>
              </w:rPr>
              <w:t>环境质量现状调查</w:t>
            </w:r>
            <w:r>
              <w:rPr>
                <w:rFonts w:hint="default" w:ascii="Times New Roman" w:hAnsi="Times New Roman" w:eastAsia="宋体" w:cs="Times New Roman"/>
                <w:color w:val="auto"/>
                <w:sz w:val="24"/>
                <w:highlight w:val="none"/>
                <w:lang w:eastAsia="zh-CN"/>
              </w:rPr>
              <w:t>。</w:t>
            </w:r>
            <w:r>
              <w:rPr>
                <w:rFonts w:ascii="Times New Roman" w:hAnsi="Times New Roman" w:eastAsia="宋体" w:cs="Times New Roman"/>
                <w:snapToGrid w:val="0"/>
                <w:color w:val="auto"/>
                <w:kern w:val="0"/>
                <w:sz w:val="24"/>
                <w:highlight w:val="none"/>
              </w:rPr>
              <w:t xml:space="preserve">对照《环境影响评价技术导则 </w:t>
            </w:r>
            <w:r>
              <w:rPr>
                <w:rFonts w:hint="eastAsia" w:ascii="Times New Roman" w:hAnsi="Times New Roman" w:eastAsia="宋体" w:cs="Times New Roman"/>
                <w:snapToGrid w:val="0"/>
                <w:color w:val="auto"/>
                <w:kern w:val="0"/>
                <w:sz w:val="24"/>
                <w:highlight w:val="none"/>
                <w:lang w:eastAsia="zh-CN"/>
              </w:rPr>
              <w:t>地下水</w:t>
            </w:r>
            <w:r>
              <w:rPr>
                <w:rFonts w:ascii="Times New Roman" w:hAnsi="Times New Roman" w:eastAsia="宋体" w:cs="Times New Roman"/>
                <w:snapToGrid w:val="0"/>
                <w:color w:val="auto"/>
                <w:kern w:val="0"/>
                <w:sz w:val="24"/>
                <w:highlight w:val="none"/>
              </w:rPr>
              <w:t>环境》</w:t>
            </w:r>
            <w:r>
              <w:rPr>
                <w:rFonts w:hint="eastAsia" w:ascii="Times New Roman" w:hAnsi="Times New Roman" w:eastAsia="宋体" w:cs="Times New Roman"/>
                <w:snapToGrid w:val="0"/>
                <w:color w:val="auto"/>
                <w:kern w:val="0"/>
                <w:sz w:val="24"/>
                <w:highlight w:val="none"/>
              </w:rPr>
              <w:t>（</w:t>
            </w:r>
            <w:r>
              <w:rPr>
                <w:rFonts w:ascii="Times New Roman" w:hAnsi="Times New Roman" w:eastAsia="宋体" w:cs="Times New Roman"/>
                <w:snapToGrid w:val="0"/>
                <w:color w:val="auto"/>
                <w:kern w:val="0"/>
                <w:sz w:val="24"/>
                <w:highlight w:val="none"/>
              </w:rPr>
              <w:t>HJ</w:t>
            </w:r>
            <w:r>
              <w:rPr>
                <w:rFonts w:hint="eastAsia" w:ascii="Times New Roman" w:hAnsi="Times New Roman" w:eastAsia="宋体" w:cs="Times New Roman"/>
                <w:snapToGrid w:val="0"/>
                <w:color w:val="auto"/>
                <w:kern w:val="0"/>
                <w:sz w:val="24"/>
                <w:highlight w:val="none"/>
                <w:lang w:val="en-US" w:eastAsia="zh-CN"/>
              </w:rPr>
              <w:t>610</w:t>
            </w:r>
            <w:r>
              <w:rPr>
                <w:rFonts w:ascii="Times New Roman" w:hAnsi="Times New Roman" w:eastAsia="宋体" w:cs="Times New Roman"/>
                <w:snapToGrid w:val="0"/>
                <w:color w:val="auto"/>
                <w:kern w:val="0"/>
                <w:sz w:val="24"/>
                <w:highlight w:val="none"/>
              </w:rPr>
              <w:t>-201</w:t>
            </w:r>
            <w:r>
              <w:rPr>
                <w:rFonts w:hint="eastAsia" w:ascii="Times New Roman" w:hAnsi="Times New Roman" w:eastAsia="宋体" w:cs="Times New Roman"/>
                <w:snapToGrid w:val="0"/>
                <w:color w:val="auto"/>
                <w:kern w:val="0"/>
                <w:sz w:val="24"/>
                <w:highlight w:val="none"/>
                <w:lang w:val="en-US" w:eastAsia="zh-CN"/>
              </w:rPr>
              <w:t>6</w:t>
            </w:r>
            <w:r>
              <w:rPr>
                <w:rFonts w:hint="eastAsia" w:ascii="Times New Roman" w:hAnsi="Times New Roman" w:eastAsia="宋体" w:cs="Times New Roman"/>
                <w:snapToGrid w:val="0"/>
                <w:color w:val="auto"/>
                <w:kern w:val="0"/>
                <w:sz w:val="24"/>
                <w:highlight w:val="none"/>
              </w:rPr>
              <w:t>）</w:t>
            </w:r>
            <w:r>
              <w:rPr>
                <w:rFonts w:ascii="Times New Roman" w:hAnsi="Times New Roman" w:eastAsia="宋体" w:cs="Times New Roman"/>
                <w:snapToGrid w:val="0"/>
                <w:color w:val="auto"/>
                <w:kern w:val="0"/>
                <w:sz w:val="24"/>
                <w:highlight w:val="none"/>
              </w:rPr>
              <w:t>附录A可知，项目为</w:t>
            </w:r>
            <w:r>
              <w:rPr>
                <w:rFonts w:hint="eastAsia" w:ascii="Times New Roman" w:hAnsi="Times New Roman" w:eastAsia="宋体" w:cs="Times New Roman"/>
                <w:snapToGrid w:val="0"/>
                <w:color w:val="auto"/>
                <w:kern w:val="0"/>
                <w:sz w:val="24"/>
                <w:highlight w:val="none"/>
              </w:rPr>
              <w:t>Ⅳ</w:t>
            </w:r>
            <w:r>
              <w:rPr>
                <w:rFonts w:ascii="Times New Roman" w:hAnsi="Times New Roman" w:eastAsia="宋体" w:cs="Times New Roman"/>
                <w:snapToGrid w:val="0"/>
                <w:color w:val="auto"/>
                <w:kern w:val="0"/>
                <w:sz w:val="24"/>
                <w:highlight w:val="none"/>
              </w:rPr>
              <w:t>类项目。</w:t>
            </w:r>
            <w:r>
              <w:rPr>
                <w:rFonts w:hint="default" w:ascii="Times New Roman" w:hAnsi="Times New Roman" w:eastAsia="宋体" w:cs="Times New Roman"/>
                <w:color w:val="auto"/>
                <w:sz w:val="24"/>
                <w:highlight w:val="none"/>
                <w:lang w:val="en-US" w:eastAsia="zh-CN"/>
              </w:rPr>
              <w:t>因此不对</w:t>
            </w:r>
            <w:r>
              <w:rPr>
                <w:rFonts w:hint="eastAsia" w:ascii="Times New Roman" w:hAnsi="Times New Roman" w:eastAsia="宋体" w:cs="Times New Roman"/>
                <w:color w:val="auto"/>
                <w:sz w:val="24"/>
                <w:highlight w:val="none"/>
                <w:lang w:val="en-US" w:eastAsia="zh-CN"/>
              </w:rPr>
              <w:t>地下水</w:t>
            </w:r>
            <w:r>
              <w:rPr>
                <w:rFonts w:hint="default" w:ascii="Times New Roman" w:hAnsi="Times New Roman" w:eastAsia="宋体" w:cs="Times New Roman"/>
                <w:color w:val="auto"/>
                <w:sz w:val="24"/>
                <w:highlight w:val="none"/>
                <w:lang w:val="en-US" w:eastAsia="zh-CN"/>
              </w:rPr>
              <w:t>环境开展现状调查。</w:t>
            </w:r>
          </w:p>
          <w:p w14:paraId="45B1DD19">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6、生态环境质量现状</w:t>
            </w:r>
          </w:p>
          <w:p w14:paraId="080C8F7D">
            <w:pPr>
              <w:keepNext w:val="0"/>
              <w:keepLines w:val="0"/>
              <w:pageBreakBefore w:val="0"/>
              <w:widowControl w:val="0"/>
              <w:kinsoku/>
              <w:wordWrap/>
              <w:overflowPunct/>
              <w:topLinePunct w:val="0"/>
              <w:autoSpaceDE/>
              <w:autoSpaceDN/>
              <w:bidi w:val="0"/>
              <w:adjustRightInd w:val="0"/>
              <w:snapToGrid w:val="0"/>
              <w:spacing w:line="356"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zh-CN"/>
              </w:rPr>
              <w:t>项目所在区域</w:t>
            </w:r>
            <w:r>
              <w:rPr>
                <w:rFonts w:hint="default" w:ascii="Times New Roman" w:hAnsi="Times New Roman" w:eastAsia="宋体" w:cs="Times New Roman"/>
                <w:color w:val="auto"/>
                <w:sz w:val="24"/>
                <w:szCs w:val="24"/>
                <w:highlight w:val="none"/>
                <w:lang w:val="en-US" w:eastAsia="zh-CN"/>
              </w:rPr>
              <w:t>为规划的工业园区，区域</w:t>
            </w:r>
            <w:r>
              <w:rPr>
                <w:rFonts w:hint="default" w:ascii="Times New Roman" w:hAnsi="Times New Roman" w:eastAsia="宋体" w:cs="Times New Roman"/>
                <w:color w:val="auto"/>
                <w:sz w:val="24"/>
                <w:szCs w:val="24"/>
                <w:highlight w:val="none"/>
                <w:lang w:val="zh-CN"/>
              </w:rPr>
              <w:t>现状主要为水泥路面和人工绿化植被，无天然植被，生态环境自我调节能力低。调查范围内未涉及国家保护的珍贵野生动、植物。</w:t>
            </w:r>
            <w:r>
              <w:rPr>
                <w:rFonts w:hint="default" w:ascii="Times New Roman" w:hAnsi="Times New Roman" w:eastAsia="宋体" w:cs="Times New Roman"/>
                <w:color w:val="auto"/>
                <w:sz w:val="24"/>
                <w:szCs w:val="24"/>
                <w:highlight w:val="none"/>
                <w:lang w:val="en-US" w:eastAsia="zh-CN"/>
              </w:rPr>
              <w:t>评价范围</w:t>
            </w:r>
            <w:r>
              <w:rPr>
                <w:rFonts w:hint="default" w:ascii="Times New Roman" w:hAnsi="Times New Roman" w:eastAsia="宋体" w:cs="Times New Roman"/>
                <w:color w:val="auto"/>
                <w:sz w:val="24"/>
                <w:szCs w:val="24"/>
                <w:highlight w:val="none"/>
                <w:lang w:val="zh-CN"/>
              </w:rPr>
              <w:t>内无自然保护区、风景名胜区、森林公园、历史文化遗迹等需要特殊保护的生态敏感目标，无国家</w:t>
            </w:r>
            <w:r>
              <w:rPr>
                <w:rFonts w:hint="eastAsia" w:cs="Times New Roman"/>
                <w:color w:val="auto"/>
                <w:sz w:val="24"/>
                <w:szCs w:val="24"/>
                <w:highlight w:val="none"/>
                <w:lang w:val="zh-CN"/>
              </w:rPr>
              <w:t>珍稀濒危</w:t>
            </w:r>
            <w:r>
              <w:rPr>
                <w:rFonts w:hint="default" w:ascii="Times New Roman" w:hAnsi="Times New Roman" w:eastAsia="宋体" w:cs="Times New Roman"/>
                <w:color w:val="auto"/>
                <w:sz w:val="24"/>
                <w:szCs w:val="24"/>
                <w:highlight w:val="none"/>
                <w:lang w:val="zh-CN"/>
              </w:rPr>
              <w:t>保护物种、国家重点保护野生植物和云南省级重点野生保护动物，也没有特有种类存在</w:t>
            </w:r>
            <w:r>
              <w:rPr>
                <w:rFonts w:hint="default" w:ascii="Times New Roman" w:hAnsi="Times New Roman" w:eastAsia="宋体" w:cs="Times New Roman"/>
                <w:color w:val="auto"/>
                <w:sz w:val="24"/>
                <w:szCs w:val="24"/>
                <w:highlight w:val="none"/>
              </w:rPr>
              <w:t>。</w:t>
            </w:r>
          </w:p>
        </w:tc>
      </w:tr>
      <w:tr w14:paraId="7924D1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2" w:type="dxa"/>
            <w:vAlign w:val="center"/>
          </w:tcPr>
          <w:p w14:paraId="749FFE6C">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14:paraId="084E8B0D">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14:paraId="166AEC97">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609" w:type="dxa"/>
            <w:vAlign w:val="center"/>
          </w:tcPr>
          <w:p w14:paraId="571B03FB">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1、大气环境</w:t>
            </w:r>
          </w:p>
          <w:p w14:paraId="2F486772">
            <w:pPr>
              <w:pStyle w:val="68"/>
              <w:adjustRightInd w:val="0"/>
              <w:spacing w:before="0" w:after="0" w:line="360" w:lineRule="auto"/>
              <w:ind w:firstLine="480"/>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w:t>
            </w:r>
            <w:r>
              <w:rPr>
                <w:rFonts w:hint="default" w:ascii="Times New Roman" w:hAnsi="Times New Roman" w:eastAsia="宋体" w:cs="Times New Roman"/>
                <w:color w:val="auto"/>
                <w:szCs w:val="24"/>
                <w:highlight w:val="none"/>
                <w:lang w:eastAsia="zh-CN"/>
              </w:rPr>
              <w:t>本项目</w:t>
            </w:r>
            <w:r>
              <w:rPr>
                <w:rFonts w:hint="default" w:ascii="Times New Roman" w:hAnsi="Times New Roman" w:eastAsia="宋体" w:cs="Times New Roman"/>
                <w:color w:val="auto"/>
                <w:szCs w:val="24"/>
                <w:highlight w:val="none"/>
                <w:lang w:val="en-US" w:eastAsia="zh-CN"/>
              </w:rPr>
              <w:t>大气环境保护目标为厂界外</w:t>
            </w:r>
            <w:r>
              <w:rPr>
                <w:rFonts w:hint="default" w:ascii="Times New Roman" w:hAnsi="Times New Roman" w:eastAsia="宋体" w:cs="Times New Roman"/>
                <w:color w:val="auto"/>
                <w:sz w:val="24"/>
                <w:szCs w:val="24"/>
                <w:highlight w:val="none"/>
                <w:lang w:val="zh-CN"/>
              </w:rPr>
              <w:t>500米范围内的自然保护区、风景名胜区、居住区、文化区和农村地区中人群较集中的区域等保护目标。</w:t>
            </w:r>
            <w:r>
              <w:rPr>
                <w:rFonts w:hint="eastAsia"/>
                <w:color w:val="auto"/>
                <w:highlight w:val="none"/>
              </w:rPr>
              <w:t>环境空气保护目标为：评价范围内关心点环境空气质量达到 GB3095-2012《环境空气质量标准》二类区要求。</w:t>
            </w:r>
          </w:p>
          <w:p w14:paraId="4A7BB4A5">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2、声环境</w:t>
            </w:r>
          </w:p>
          <w:p w14:paraId="1E339CA0">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根据现场踏勘，项目厂界外周边50m范围内无声环境保护目标</w:t>
            </w:r>
            <w:r>
              <w:rPr>
                <w:rFonts w:hint="default" w:ascii="Times New Roman" w:hAnsi="Times New Roman" w:eastAsia="宋体" w:cs="Times New Roman"/>
                <w:color w:val="auto"/>
                <w:sz w:val="24"/>
                <w:szCs w:val="24"/>
                <w:highlight w:val="none"/>
              </w:rPr>
              <w:t>。</w:t>
            </w:r>
          </w:p>
          <w:p w14:paraId="003DA571">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3、地表水</w:t>
            </w:r>
          </w:p>
          <w:p w14:paraId="3201FD6E">
            <w:pPr>
              <w:adjustRightInd w:val="0"/>
              <w:snapToGrid w:val="0"/>
              <w:spacing w:line="356"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kern w:val="0"/>
                <w:sz w:val="24"/>
                <w:highlight w:val="none"/>
                <w:lang w:val="zh-CN"/>
              </w:rPr>
              <w:t>项目距离最近的地表水体为</w:t>
            </w:r>
            <w:r>
              <w:rPr>
                <w:rFonts w:hint="default" w:ascii="Times New Roman" w:hAnsi="Times New Roman" w:eastAsia="宋体" w:cs="Times New Roman"/>
                <w:color w:val="auto"/>
                <w:kern w:val="0"/>
                <w:sz w:val="24"/>
                <w:highlight w:val="none"/>
              </w:rPr>
              <w:t>南侧</w:t>
            </w:r>
            <w:r>
              <w:rPr>
                <w:rFonts w:hint="eastAsia" w:cs="Times New Roman"/>
                <w:color w:val="auto"/>
                <w:kern w:val="0"/>
                <w:sz w:val="24"/>
                <w:highlight w:val="none"/>
                <w:lang w:val="en-US" w:eastAsia="zh-CN"/>
              </w:rPr>
              <w:t>883</w:t>
            </w:r>
            <w:r>
              <w:rPr>
                <w:rFonts w:hint="default" w:ascii="Times New Roman" w:hAnsi="Times New Roman" w:eastAsia="宋体" w:cs="Times New Roman"/>
                <w:color w:val="auto"/>
                <w:kern w:val="0"/>
                <w:sz w:val="24"/>
                <w:highlight w:val="none"/>
              </w:rPr>
              <w:t>m处的</w:t>
            </w:r>
            <w:r>
              <w:rPr>
                <w:rFonts w:hint="eastAsia" w:cs="Times New Roman"/>
                <w:color w:val="auto"/>
                <w:kern w:val="0"/>
                <w:sz w:val="24"/>
                <w:highlight w:val="none"/>
                <w:lang w:eastAsia="zh-CN"/>
              </w:rPr>
              <w:t>老渡河</w:t>
            </w:r>
            <w:r>
              <w:rPr>
                <w:rFonts w:hint="default" w:ascii="Times New Roman" w:hAnsi="Times New Roman" w:eastAsia="宋体" w:cs="Times New Roman"/>
                <w:color w:val="auto"/>
                <w:kern w:val="0"/>
                <w:sz w:val="24"/>
                <w:highlight w:val="none"/>
                <w:lang w:val="zh-CN"/>
              </w:rPr>
              <w:t>，</w:t>
            </w:r>
            <w:r>
              <w:rPr>
                <w:rFonts w:hint="eastAsia"/>
                <w:color w:val="auto"/>
                <w:sz w:val="24"/>
                <w:highlight w:val="none"/>
              </w:rPr>
              <w:t>老渡河最终汇入潘所海</w:t>
            </w:r>
            <w:r>
              <w:rPr>
                <w:rFonts w:hint="default" w:ascii="Times New Roman" w:hAnsi="Times New Roman" w:eastAsia="宋体" w:cs="Times New Roman"/>
                <w:color w:val="auto"/>
                <w:sz w:val="24"/>
                <w:highlight w:val="none"/>
                <w:shd w:val="clear" w:color="auto" w:fill="auto"/>
                <w:lang w:val="en-US" w:eastAsia="zh-CN"/>
              </w:rPr>
              <w:t>；项目</w:t>
            </w:r>
            <w:r>
              <w:rPr>
                <w:rFonts w:hint="default" w:ascii="Times New Roman" w:hAnsi="Times New Roman" w:eastAsia="宋体" w:cs="Times New Roman"/>
                <w:color w:val="auto"/>
                <w:sz w:val="24"/>
                <w:highlight w:val="none"/>
                <w:shd w:val="clear" w:color="auto" w:fill="auto"/>
              </w:rPr>
              <w:t>南侧</w:t>
            </w:r>
            <w:r>
              <w:rPr>
                <w:rFonts w:hint="eastAsia" w:cs="Times New Roman"/>
                <w:color w:val="auto"/>
                <w:sz w:val="24"/>
                <w:highlight w:val="none"/>
                <w:shd w:val="clear" w:color="auto" w:fill="auto"/>
                <w:lang w:val="en-US" w:eastAsia="zh-CN"/>
              </w:rPr>
              <w:t>1326</w:t>
            </w:r>
            <w:r>
              <w:rPr>
                <w:rFonts w:hint="default" w:ascii="Times New Roman" w:hAnsi="Times New Roman" w:eastAsia="宋体" w:cs="Times New Roman"/>
                <w:color w:val="auto"/>
                <w:sz w:val="24"/>
                <w:highlight w:val="none"/>
                <w:shd w:val="clear" w:color="auto" w:fill="auto"/>
              </w:rPr>
              <w:t>m处</w:t>
            </w:r>
            <w:r>
              <w:rPr>
                <w:rFonts w:hint="default" w:ascii="Times New Roman" w:hAnsi="Times New Roman" w:eastAsia="宋体" w:cs="Times New Roman"/>
                <w:color w:val="auto"/>
                <w:sz w:val="24"/>
                <w:highlight w:val="none"/>
                <w:shd w:val="clear" w:color="auto" w:fill="auto"/>
                <w:lang w:eastAsia="zh-CN"/>
              </w:rPr>
              <w:t>为</w:t>
            </w:r>
            <w:r>
              <w:rPr>
                <w:rFonts w:hint="default" w:ascii="Times New Roman" w:hAnsi="Times New Roman" w:eastAsia="宋体" w:cs="Times New Roman"/>
                <w:color w:val="auto"/>
                <w:sz w:val="24"/>
                <w:highlight w:val="none"/>
                <w:shd w:val="clear" w:color="auto" w:fill="auto"/>
              </w:rPr>
              <w:t>潘所海，潘所海地表水通过溶洞流入三月三水库</w:t>
            </w:r>
            <w:r>
              <w:rPr>
                <w:rFonts w:hint="default" w:ascii="Times New Roman" w:hAnsi="Times New Roman" w:eastAsia="宋体" w:cs="Times New Roman"/>
                <w:color w:val="auto"/>
                <w:sz w:val="24"/>
                <w:highlight w:val="none"/>
                <w:shd w:val="clear" w:color="auto" w:fill="auto"/>
                <w:lang w:eastAsia="zh-CN"/>
              </w:rPr>
              <w:t>；三月三水库由前进河出水</w:t>
            </w:r>
            <w:r>
              <w:rPr>
                <w:rFonts w:hint="default" w:ascii="Times New Roman" w:hAnsi="Times New Roman" w:eastAsia="宋体" w:cs="Times New Roman"/>
                <w:color w:val="auto"/>
                <w:sz w:val="24"/>
                <w:highlight w:val="none"/>
              </w:rPr>
              <w:t>，最终汇入牛栏江，属牛栏江支流。</w:t>
            </w:r>
            <w:r>
              <w:rPr>
                <w:rFonts w:hint="eastAsia" w:cs="Times New Roman"/>
                <w:color w:val="auto"/>
                <w:sz w:val="24"/>
                <w:highlight w:val="none"/>
                <w:lang w:val="zh-CN"/>
              </w:rPr>
              <w:t>老渡</w:t>
            </w:r>
            <w:r>
              <w:rPr>
                <w:rFonts w:hint="default" w:ascii="Times New Roman" w:hAnsi="Times New Roman" w:eastAsia="宋体" w:cs="Times New Roman"/>
                <w:color w:val="auto"/>
                <w:sz w:val="24"/>
                <w:highlight w:val="none"/>
                <w:lang w:val="zh-CN"/>
              </w:rPr>
              <w:t>所河</w:t>
            </w:r>
            <w:r>
              <w:rPr>
                <w:rFonts w:hint="default" w:ascii="Times New Roman" w:hAnsi="Times New Roman" w:eastAsia="宋体" w:cs="Times New Roman"/>
                <w:color w:val="auto"/>
                <w:sz w:val="24"/>
                <w:highlight w:val="none"/>
                <w:lang w:val="en-US" w:eastAsia="zh-CN"/>
              </w:rPr>
              <w:t>及潘所海</w:t>
            </w:r>
            <w:r>
              <w:rPr>
                <w:rFonts w:hint="default" w:ascii="Times New Roman" w:hAnsi="Times New Roman" w:eastAsia="宋体" w:cs="Times New Roman"/>
                <w:color w:val="auto"/>
                <w:sz w:val="24"/>
                <w:highlight w:val="none"/>
                <w:lang w:val="zh-CN"/>
              </w:rPr>
              <w:t>参照</w:t>
            </w:r>
            <w:r>
              <w:rPr>
                <w:rFonts w:hint="default" w:ascii="Times New Roman" w:hAnsi="Times New Roman" w:eastAsia="宋体" w:cs="Times New Roman"/>
                <w:color w:val="auto"/>
                <w:sz w:val="24"/>
                <w:highlight w:val="none"/>
                <w:lang w:val="en-US" w:eastAsia="zh-CN"/>
              </w:rPr>
              <w:t>牛栏江按照</w:t>
            </w:r>
            <w:r>
              <w:rPr>
                <w:rFonts w:hint="default" w:ascii="Times New Roman" w:hAnsi="Times New Roman" w:eastAsia="宋体" w:cs="Times New Roman"/>
                <w:color w:val="auto"/>
                <w:sz w:val="24"/>
                <w:highlight w:val="none"/>
                <w:lang w:val="zh-CN"/>
              </w:rPr>
              <w:t>《地表水环境质量标准》</w:t>
            </w:r>
            <w:r>
              <w:rPr>
                <w:rFonts w:hint="default" w:ascii="Times New Roman" w:hAnsi="Times New Roman" w:eastAsia="宋体" w:cs="Times New Roman"/>
                <w:color w:val="auto"/>
                <w:kern w:val="0"/>
                <w:sz w:val="24"/>
                <w:highlight w:val="none"/>
                <w:lang w:val="zh-CN"/>
              </w:rPr>
              <w:t>（GB3838-2002）中Ⅲ类水质标准</w:t>
            </w:r>
            <w:r>
              <w:rPr>
                <w:rFonts w:hint="default" w:ascii="Times New Roman" w:hAnsi="Times New Roman" w:eastAsia="宋体" w:cs="Times New Roman"/>
                <w:color w:val="auto"/>
                <w:kern w:val="0"/>
                <w:sz w:val="24"/>
                <w:highlight w:val="none"/>
                <w:lang w:val="en-US" w:eastAsia="zh-CN"/>
              </w:rPr>
              <w:t>进行保护</w:t>
            </w:r>
            <w:r>
              <w:rPr>
                <w:rFonts w:hint="default" w:ascii="Times New Roman" w:hAnsi="Times New Roman" w:eastAsia="宋体" w:cs="Times New Roman"/>
                <w:color w:val="auto"/>
                <w:kern w:val="0"/>
                <w:sz w:val="24"/>
                <w:highlight w:val="none"/>
                <w:lang w:val="zh-CN"/>
              </w:rPr>
              <w:t>。</w:t>
            </w:r>
          </w:p>
          <w:p w14:paraId="629C17E5">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4、地下水</w:t>
            </w:r>
          </w:p>
          <w:p w14:paraId="065BD914">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根据现场踏勘，项目厂界外500m范围内无地下水集中式饮用水水源和热水、矿泉水、温泉等特殊地下水资源。</w:t>
            </w:r>
          </w:p>
          <w:p w14:paraId="1AAFC9D8">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w:t>
            </w:r>
          </w:p>
          <w:p w14:paraId="146AFE28">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zh-CN"/>
              </w:rPr>
              <w:t>本项目位于</w:t>
            </w:r>
            <w:r>
              <w:rPr>
                <w:rFonts w:hint="eastAsia" w:cs="Times New Roman"/>
                <w:color w:val="auto"/>
                <w:sz w:val="24"/>
                <w:highlight w:val="none"/>
                <w:lang w:val="zh-CN"/>
              </w:rPr>
              <w:t>昆明市</w:t>
            </w:r>
            <w:r>
              <w:rPr>
                <w:rFonts w:hint="default" w:ascii="Times New Roman" w:hAnsi="Times New Roman" w:eastAsia="宋体" w:cs="Times New Roman"/>
                <w:color w:val="auto"/>
                <w:sz w:val="24"/>
                <w:szCs w:val="24"/>
                <w:highlight w:val="none"/>
                <w:u w:val="none"/>
                <w:lang w:val="en-US" w:eastAsia="zh-CN"/>
              </w:rPr>
              <w:t>寻甸特色产业园区金所片区</w:t>
            </w:r>
            <w:r>
              <w:rPr>
                <w:rFonts w:hint="default" w:ascii="Times New Roman" w:hAnsi="Times New Roman" w:eastAsia="宋体" w:cs="Times New Roman"/>
                <w:color w:val="auto"/>
                <w:sz w:val="24"/>
                <w:szCs w:val="24"/>
                <w:highlight w:val="none"/>
                <w:lang w:val="en-US" w:eastAsia="zh-CN"/>
              </w:rPr>
              <w:t>，属于规划的工业园区，不涉及园区外用地，</w:t>
            </w:r>
            <w:r>
              <w:rPr>
                <w:rFonts w:hint="default" w:ascii="Times New Roman" w:hAnsi="Times New Roman" w:eastAsia="宋体" w:cs="Times New Roman"/>
                <w:color w:val="auto"/>
                <w:sz w:val="24"/>
                <w:szCs w:val="24"/>
                <w:highlight w:val="none"/>
              </w:rPr>
              <w:t>不涉及生态保护目标</w:t>
            </w:r>
            <w:r>
              <w:rPr>
                <w:rFonts w:hint="default" w:ascii="Times New Roman" w:hAnsi="Times New Roman" w:eastAsia="宋体" w:cs="Times New Roman"/>
                <w:color w:val="auto"/>
                <w:sz w:val="24"/>
                <w:szCs w:val="24"/>
                <w:highlight w:val="none"/>
                <w:lang w:eastAsia="zh-CN"/>
              </w:rPr>
              <w:t>。</w:t>
            </w:r>
          </w:p>
          <w:p w14:paraId="3597410A">
            <w:pPr>
              <w:pStyle w:val="9"/>
              <w:keepNext w:val="0"/>
              <w:keepLines w:val="0"/>
              <w:pageBreakBefore w:val="0"/>
              <w:widowControl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Cs/>
                <w:color w:val="auto"/>
                <w:sz w:val="24"/>
                <w:highlight w:val="none"/>
                <w:lang w:val="en-US" w:eastAsia="zh-CN"/>
              </w:rPr>
              <w:t>本项目主要保护目标详见下表，</w:t>
            </w:r>
            <w:r>
              <w:rPr>
                <w:rFonts w:hint="default" w:ascii="Times New Roman" w:hAnsi="Times New Roman" w:eastAsia="宋体" w:cs="Times New Roman"/>
                <w:bCs/>
                <w:color w:val="auto"/>
                <w:sz w:val="24"/>
                <w:highlight w:val="none"/>
                <w:lang w:eastAsia="zh-CN"/>
              </w:rPr>
              <w:t>项目周边关系</w:t>
            </w:r>
            <w:r>
              <w:rPr>
                <w:rFonts w:hint="default" w:ascii="Times New Roman" w:hAnsi="Times New Roman" w:eastAsia="宋体" w:cs="Times New Roman"/>
                <w:bCs/>
                <w:color w:val="auto"/>
                <w:sz w:val="24"/>
                <w:highlight w:val="none"/>
              </w:rPr>
              <w:t>示意详见附图</w:t>
            </w:r>
            <w:r>
              <w:rPr>
                <w:rFonts w:hint="eastAsia"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w:t>
            </w:r>
          </w:p>
          <w:p w14:paraId="70EF3365">
            <w:pPr>
              <w:jc w:val="center"/>
              <w:rPr>
                <w:b/>
                <w:bCs/>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3</w:t>
            </w:r>
            <w:r>
              <w:rPr>
                <w:rFonts w:hint="default" w:ascii="Times New Roman" w:hAnsi="Times New Roman" w:eastAsia="宋体" w:cs="Times New Roman"/>
                <w:b/>
                <w:color w:val="auto"/>
                <w:szCs w:val="21"/>
                <w:highlight w:val="none"/>
              </w:rPr>
              <w:t>-</w:t>
            </w:r>
            <w:r>
              <w:rPr>
                <w:rFonts w:hint="eastAsia" w:cs="Times New Roman"/>
                <w:b/>
                <w:color w:val="auto"/>
                <w:szCs w:val="21"/>
                <w:highlight w:val="none"/>
                <w:lang w:val="en-US" w:eastAsia="zh-CN"/>
              </w:rPr>
              <w:t>4</w:t>
            </w:r>
            <w:r>
              <w:rPr>
                <w:rFonts w:hint="default"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rPr>
              <w:t xml:space="preserve"> 项目主要保护目标一览</w:t>
            </w:r>
            <w:r>
              <w:rPr>
                <w:b/>
                <w:bCs/>
                <w:color w:val="auto"/>
                <w:szCs w:val="21"/>
                <w:highlight w:val="none"/>
              </w:rPr>
              <w:t>表</w:t>
            </w:r>
          </w:p>
          <w:tbl>
            <w:tblPr>
              <w:tblStyle w:val="27"/>
              <w:tblW w:w="8384"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96"/>
              <w:gridCol w:w="1266"/>
              <w:gridCol w:w="1161"/>
              <w:gridCol w:w="644"/>
              <w:gridCol w:w="1259"/>
              <w:gridCol w:w="1838"/>
              <w:gridCol w:w="619"/>
              <w:gridCol w:w="801"/>
            </w:tblGrid>
            <w:tr w14:paraId="7383A4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796" w:type="dxa"/>
                  <w:vMerge w:val="restart"/>
                  <w:noWrap w:val="0"/>
                  <w:vAlign w:val="center"/>
                </w:tcPr>
                <w:p w14:paraId="3DA11F42">
                  <w:pPr>
                    <w:pStyle w:val="46"/>
                    <w:adjustRightInd/>
                    <w:spacing w:before="0" w:beforeLines="0" w:afterLines="0" w:line="240" w:lineRule="auto"/>
                    <w:ind w:firstLine="0" w:firstLineChars="0"/>
                    <w:rPr>
                      <w:rFonts w:ascii="Times New Roman"/>
                      <w:b/>
                      <w:color w:val="auto"/>
                      <w:sz w:val="21"/>
                      <w:szCs w:val="21"/>
                      <w:highlight w:val="none"/>
                    </w:rPr>
                  </w:pPr>
                  <w:r>
                    <w:rPr>
                      <w:rFonts w:ascii="Times New Roman"/>
                      <w:b/>
                      <w:color w:val="auto"/>
                      <w:sz w:val="21"/>
                      <w:szCs w:val="21"/>
                      <w:highlight w:val="none"/>
                    </w:rPr>
                    <w:t>名称</w:t>
                  </w:r>
                </w:p>
              </w:tc>
              <w:tc>
                <w:tcPr>
                  <w:tcW w:w="2427" w:type="dxa"/>
                  <w:gridSpan w:val="2"/>
                  <w:noWrap w:val="0"/>
                  <w:vAlign w:val="center"/>
                </w:tcPr>
                <w:p w14:paraId="06C1F259">
                  <w:pPr>
                    <w:pStyle w:val="46"/>
                    <w:adjustRightInd/>
                    <w:spacing w:before="0" w:beforeLines="0" w:afterLines="0" w:line="240" w:lineRule="auto"/>
                    <w:ind w:firstLine="0" w:firstLineChars="0"/>
                    <w:rPr>
                      <w:rFonts w:ascii="Times New Roman"/>
                      <w:b/>
                      <w:color w:val="auto"/>
                      <w:sz w:val="21"/>
                      <w:szCs w:val="21"/>
                      <w:highlight w:val="none"/>
                    </w:rPr>
                  </w:pPr>
                  <w:r>
                    <w:rPr>
                      <w:rFonts w:ascii="Times New Roman"/>
                      <w:b/>
                      <w:color w:val="auto"/>
                      <w:sz w:val="21"/>
                      <w:szCs w:val="21"/>
                      <w:highlight w:val="none"/>
                    </w:rPr>
                    <w:t>经纬度</w:t>
                  </w:r>
                </w:p>
              </w:tc>
              <w:tc>
                <w:tcPr>
                  <w:tcW w:w="644" w:type="dxa"/>
                  <w:vMerge w:val="restart"/>
                  <w:noWrap w:val="0"/>
                  <w:vAlign w:val="center"/>
                </w:tcPr>
                <w:p w14:paraId="5BE8A140">
                  <w:pPr>
                    <w:pStyle w:val="46"/>
                    <w:adjustRightInd/>
                    <w:spacing w:before="0" w:beforeLines="0" w:afterLines="0" w:line="240" w:lineRule="auto"/>
                    <w:ind w:firstLine="0" w:firstLineChars="0"/>
                    <w:rPr>
                      <w:rFonts w:ascii="Times New Roman"/>
                      <w:b/>
                      <w:color w:val="auto"/>
                      <w:sz w:val="21"/>
                      <w:szCs w:val="21"/>
                      <w:highlight w:val="none"/>
                    </w:rPr>
                  </w:pPr>
                  <w:r>
                    <w:rPr>
                      <w:rFonts w:ascii="Times New Roman"/>
                      <w:b/>
                      <w:color w:val="auto"/>
                      <w:sz w:val="21"/>
                      <w:szCs w:val="21"/>
                      <w:highlight w:val="none"/>
                    </w:rPr>
                    <w:t>保护对象</w:t>
                  </w:r>
                </w:p>
              </w:tc>
              <w:tc>
                <w:tcPr>
                  <w:tcW w:w="1259" w:type="dxa"/>
                  <w:vMerge w:val="restart"/>
                  <w:noWrap w:val="0"/>
                  <w:vAlign w:val="center"/>
                </w:tcPr>
                <w:p w14:paraId="3681334C">
                  <w:pPr>
                    <w:pStyle w:val="46"/>
                    <w:adjustRightInd/>
                    <w:spacing w:before="0" w:beforeLines="0" w:afterLines="0" w:line="240" w:lineRule="auto"/>
                    <w:ind w:firstLine="0" w:firstLineChars="0"/>
                    <w:rPr>
                      <w:rFonts w:ascii="Times New Roman"/>
                      <w:b/>
                      <w:color w:val="auto"/>
                      <w:sz w:val="21"/>
                      <w:szCs w:val="21"/>
                      <w:highlight w:val="none"/>
                    </w:rPr>
                  </w:pPr>
                  <w:r>
                    <w:rPr>
                      <w:rFonts w:ascii="Times New Roman"/>
                      <w:b/>
                      <w:color w:val="auto"/>
                      <w:sz w:val="21"/>
                      <w:szCs w:val="21"/>
                      <w:highlight w:val="none"/>
                    </w:rPr>
                    <w:t>保护内容</w:t>
                  </w:r>
                </w:p>
              </w:tc>
              <w:tc>
                <w:tcPr>
                  <w:tcW w:w="1838" w:type="dxa"/>
                  <w:vMerge w:val="restart"/>
                  <w:noWrap w:val="0"/>
                  <w:vAlign w:val="center"/>
                </w:tcPr>
                <w:p w14:paraId="788354C9">
                  <w:pPr>
                    <w:pStyle w:val="46"/>
                    <w:adjustRightInd/>
                    <w:spacing w:before="0" w:beforeLines="0" w:afterLines="0" w:line="240" w:lineRule="auto"/>
                    <w:ind w:firstLine="0" w:firstLineChars="0"/>
                    <w:rPr>
                      <w:rFonts w:ascii="Times New Roman"/>
                      <w:b/>
                      <w:color w:val="auto"/>
                      <w:sz w:val="21"/>
                      <w:szCs w:val="21"/>
                      <w:highlight w:val="none"/>
                    </w:rPr>
                  </w:pPr>
                  <w:r>
                    <w:rPr>
                      <w:rFonts w:ascii="Times New Roman"/>
                      <w:b/>
                      <w:color w:val="auto"/>
                      <w:sz w:val="21"/>
                      <w:szCs w:val="21"/>
                      <w:highlight w:val="none"/>
                    </w:rPr>
                    <w:t>环境功能区</w:t>
                  </w:r>
                </w:p>
              </w:tc>
              <w:tc>
                <w:tcPr>
                  <w:tcW w:w="619" w:type="dxa"/>
                  <w:vMerge w:val="restart"/>
                  <w:noWrap w:val="0"/>
                  <w:vAlign w:val="center"/>
                </w:tcPr>
                <w:p w14:paraId="0F464592">
                  <w:pPr>
                    <w:pStyle w:val="46"/>
                    <w:adjustRightInd/>
                    <w:spacing w:before="0" w:beforeLines="0" w:afterLines="0" w:line="240" w:lineRule="auto"/>
                    <w:ind w:firstLine="0" w:firstLineChars="0"/>
                    <w:rPr>
                      <w:rFonts w:ascii="Times New Roman"/>
                      <w:b/>
                      <w:color w:val="auto"/>
                      <w:sz w:val="21"/>
                      <w:szCs w:val="21"/>
                      <w:highlight w:val="none"/>
                    </w:rPr>
                  </w:pPr>
                  <w:r>
                    <w:rPr>
                      <w:rFonts w:ascii="Times New Roman"/>
                      <w:b/>
                      <w:color w:val="auto"/>
                      <w:sz w:val="21"/>
                      <w:szCs w:val="21"/>
                      <w:highlight w:val="none"/>
                    </w:rPr>
                    <w:t>相对厂址方位</w:t>
                  </w:r>
                </w:p>
              </w:tc>
              <w:tc>
                <w:tcPr>
                  <w:tcW w:w="801" w:type="dxa"/>
                  <w:vMerge w:val="restart"/>
                  <w:noWrap w:val="0"/>
                  <w:vAlign w:val="center"/>
                </w:tcPr>
                <w:p w14:paraId="229C6E4C">
                  <w:pPr>
                    <w:pStyle w:val="46"/>
                    <w:adjustRightInd/>
                    <w:spacing w:before="0" w:beforeLines="0" w:afterLines="0" w:line="240" w:lineRule="auto"/>
                    <w:ind w:firstLine="0" w:firstLineChars="0"/>
                    <w:rPr>
                      <w:rFonts w:ascii="Times New Roman"/>
                      <w:b/>
                      <w:color w:val="auto"/>
                      <w:sz w:val="21"/>
                      <w:szCs w:val="21"/>
                      <w:highlight w:val="none"/>
                    </w:rPr>
                  </w:pPr>
                  <w:r>
                    <w:rPr>
                      <w:rFonts w:ascii="Times New Roman"/>
                      <w:b/>
                      <w:color w:val="auto"/>
                      <w:sz w:val="21"/>
                      <w:szCs w:val="21"/>
                      <w:highlight w:val="none"/>
                    </w:rPr>
                    <w:t>相对厂界距离</w:t>
                  </w:r>
                </w:p>
              </w:tc>
            </w:tr>
            <w:tr w14:paraId="0B126F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796" w:type="dxa"/>
                  <w:vMerge w:val="continue"/>
                  <w:noWrap w:val="0"/>
                  <w:vAlign w:val="center"/>
                </w:tcPr>
                <w:p w14:paraId="5F50E150">
                  <w:pPr>
                    <w:pStyle w:val="46"/>
                    <w:adjustRightInd/>
                    <w:spacing w:before="0" w:beforeLines="0" w:afterLines="0" w:line="240" w:lineRule="auto"/>
                    <w:rPr>
                      <w:rFonts w:ascii="Times New Roman"/>
                      <w:color w:val="auto"/>
                      <w:sz w:val="21"/>
                      <w:szCs w:val="21"/>
                      <w:highlight w:val="none"/>
                    </w:rPr>
                  </w:pPr>
                </w:p>
              </w:tc>
              <w:tc>
                <w:tcPr>
                  <w:tcW w:w="1266" w:type="dxa"/>
                  <w:noWrap w:val="0"/>
                  <w:vAlign w:val="center"/>
                </w:tcPr>
                <w:p w14:paraId="3DA12FDA">
                  <w:pPr>
                    <w:pStyle w:val="46"/>
                    <w:adjustRightInd/>
                    <w:spacing w:before="0" w:beforeLines="0" w:afterLines="0" w:line="240" w:lineRule="auto"/>
                    <w:ind w:firstLine="0" w:firstLineChars="0"/>
                    <w:rPr>
                      <w:rFonts w:ascii="Times New Roman" w:eastAsia="楷体_GB2312"/>
                      <w:b/>
                      <w:color w:val="auto"/>
                      <w:sz w:val="21"/>
                      <w:szCs w:val="21"/>
                      <w:highlight w:val="none"/>
                    </w:rPr>
                  </w:pPr>
                  <w:r>
                    <w:rPr>
                      <w:rFonts w:ascii="Times New Roman"/>
                      <w:b/>
                      <w:color w:val="auto"/>
                      <w:sz w:val="21"/>
                      <w:szCs w:val="21"/>
                      <w:highlight w:val="none"/>
                    </w:rPr>
                    <w:t>经度</w:t>
                  </w:r>
                </w:p>
              </w:tc>
              <w:tc>
                <w:tcPr>
                  <w:tcW w:w="1161" w:type="dxa"/>
                  <w:noWrap w:val="0"/>
                  <w:vAlign w:val="center"/>
                </w:tcPr>
                <w:p w14:paraId="7FAB4B54">
                  <w:pPr>
                    <w:pStyle w:val="46"/>
                    <w:adjustRightInd/>
                    <w:spacing w:before="0" w:beforeLines="0" w:afterLines="0" w:line="240" w:lineRule="auto"/>
                    <w:ind w:firstLine="0" w:firstLineChars="0"/>
                    <w:rPr>
                      <w:rFonts w:ascii="Times New Roman"/>
                      <w:b/>
                      <w:color w:val="auto"/>
                      <w:sz w:val="21"/>
                      <w:szCs w:val="21"/>
                      <w:highlight w:val="none"/>
                    </w:rPr>
                  </w:pPr>
                  <w:r>
                    <w:rPr>
                      <w:rFonts w:ascii="Times New Roman"/>
                      <w:b/>
                      <w:color w:val="auto"/>
                      <w:sz w:val="21"/>
                      <w:szCs w:val="21"/>
                      <w:highlight w:val="none"/>
                    </w:rPr>
                    <w:t>纬度</w:t>
                  </w:r>
                </w:p>
              </w:tc>
              <w:tc>
                <w:tcPr>
                  <w:tcW w:w="644" w:type="dxa"/>
                  <w:vMerge w:val="continue"/>
                  <w:noWrap w:val="0"/>
                  <w:vAlign w:val="center"/>
                </w:tcPr>
                <w:p w14:paraId="6794E156">
                  <w:pPr>
                    <w:pStyle w:val="46"/>
                    <w:adjustRightInd/>
                    <w:spacing w:before="0" w:beforeLines="0" w:afterLines="0" w:line="240" w:lineRule="auto"/>
                    <w:rPr>
                      <w:rFonts w:ascii="Times New Roman"/>
                      <w:bCs/>
                      <w:color w:val="auto"/>
                      <w:sz w:val="21"/>
                      <w:szCs w:val="21"/>
                      <w:highlight w:val="none"/>
                    </w:rPr>
                  </w:pPr>
                </w:p>
              </w:tc>
              <w:tc>
                <w:tcPr>
                  <w:tcW w:w="1259" w:type="dxa"/>
                  <w:vMerge w:val="continue"/>
                  <w:noWrap w:val="0"/>
                  <w:vAlign w:val="center"/>
                </w:tcPr>
                <w:p w14:paraId="3D98BF50">
                  <w:pPr>
                    <w:pStyle w:val="46"/>
                    <w:adjustRightInd/>
                    <w:spacing w:before="0" w:beforeLines="0" w:afterLines="0" w:line="240" w:lineRule="auto"/>
                    <w:rPr>
                      <w:rFonts w:ascii="Times New Roman"/>
                      <w:bCs/>
                      <w:color w:val="auto"/>
                      <w:sz w:val="21"/>
                      <w:szCs w:val="21"/>
                      <w:highlight w:val="none"/>
                    </w:rPr>
                  </w:pPr>
                </w:p>
              </w:tc>
              <w:tc>
                <w:tcPr>
                  <w:tcW w:w="1838" w:type="dxa"/>
                  <w:vMerge w:val="continue"/>
                  <w:noWrap w:val="0"/>
                  <w:vAlign w:val="center"/>
                </w:tcPr>
                <w:p w14:paraId="41D14650">
                  <w:pPr>
                    <w:pStyle w:val="46"/>
                    <w:adjustRightInd/>
                    <w:spacing w:before="0" w:beforeLines="0" w:afterLines="0" w:line="240" w:lineRule="auto"/>
                    <w:rPr>
                      <w:rFonts w:ascii="Times New Roman"/>
                      <w:bCs/>
                      <w:color w:val="auto"/>
                      <w:sz w:val="21"/>
                      <w:szCs w:val="21"/>
                      <w:highlight w:val="none"/>
                    </w:rPr>
                  </w:pPr>
                </w:p>
              </w:tc>
              <w:tc>
                <w:tcPr>
                  <w:tcW w:w="619" w:type="dxa"/>
                  <w:vMerge w:val="continue"/>
                  <w:noWrap w:val="0"/>
                  <w:vAlign w:val="center"/>
                </w:tcPr>
                <w:p w14:paraId="765CFA3E">
                  <w:pPr>
                    <w:pStyle w:val="46"/>
                    <w:adjustRightInd/>
                    <w:spacing w:before="0" w:beforeLines="0" w:afterLines="0" w:line="240" w:lineRule="auto"/>
                    <w:rPr>
                      <w:rFonts w:ascii="Times New Roman"/>
                      <w:bCs/>
                      <w:color w:val="auto"/>
                      <w:sz w:val="21"/>
                      <w:szCs w:val="21"/>
                      <w:highlight w:val="none"/>
                    </w:rPr>
                  </w:pPr>
                </w:p>
              </w:tc>
              <w:tc>
                <w:tcPr>
                  <w:tcW w:w="801" w:type="dxa"/>
                  <w:vMerge w:val="continue"/>
                  <w:noWrap w:val="0"/>
                  <w:vAlign w:val="center"/>
                </w:tcPr>
                <w:p w14:paraId="5808A8E9">
                  <w:pPr>
                    <w:pStyle w:val="46"/>
                    <w:adjustRightInd/>
                    <w:spacing w:before="0" w:beforeLines="0" w:afterLines="0" w:line="240" w:lineRule="auto"/>
                    <w:rPr>
                      <w:rFonts w:ascii="Times New Roman"/>
                      <w:bCs/>
                      <w:color w:val="auto"/>
                      <w:sz w:val="21"/>
                      <w:szCs w:val="21"/>
                      <w:highlight w:val="none"/>
                    </w:rPr>
                  </w:pPr>
                </w:p>
              </w:tc>
            </w:tr>
            <w:tr w14:paraId="6136CF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78" w:hRule="atLeast"/>
              </w:trPr>
              <w:tc>
                <w:tcPr>
                  <w:tcW w:w="796" w:type="dxa"/>
                  <w:vMerge w:val="restart"/>
                  <w:noWrap w:val="0"/>
                  <w:vAlign w:val="center"/>
                </w:tcPr>
                <w:p w14:paraId="5189BE7A">
                  <w:pPr>
                    <w:pStyle w:val="117"/>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金所村散户</w:t>
                  </w:r>
                </w:p>
              </w:tc>
              <w:tc>
                <w:tcPr>
                  <w:tcW w:w="1266" w:type="dxa"/>
                  <w:noWrap w:val="0"/>
                  <w:vAlign w:val="center"/>
                </w:tcPr>
                <w:p w14:paraId="4598AD43">
                  <w:pPr>
                    <w:pStyle w:val="117"/>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eastAsia="宋体"/>
                      <w:bCs/>
                      <w:color w:val="auto"/>
                      <w:sz w:val="21"/>
                      <w:szCs w:val="21"/>
                      <w:highlight w:val="none"/>
                      <w:lang w:val="en-US" w:eastAsia="zh-CN"/>
                    </w:rPr>
                  </w:pPr>
                  <w:r>
                    <w:rPr>
                      <w:rFonts w:hint="eastAsia" w:eastAsia="宋体" w:cs="Times New Roman"/>
                      <w:color w:val="auto"/>
                      <w:sz w:val="21"/>
                      <w:szCs w:val="21"/>
                      <w:highlight w:val="none"/>
                      <w:lang w:val="en-US" w:eastAsia="zh-CN"/>
                    </w:rPr>
                    <w:t>103.195241</w:t>
                  </w:r>
                </w:p>
              </w:tc>
              <w:tc>
                <w:tcPr>
                  <w:tcW w:w="1161" w:type="dxa"/>
                  <w:noWrap w:val="0"/>
                  <w:vAlign w:val="center"/>
                </w:tcPr>
                <w:p w14:paraId="18514B72">
                  <w:pPr>
                    <w:pStyle w:val="117"/>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eastAsia="宋体"/>
                      <w:bCs/>
                      <w:color w:val="auto"/>
                      <w:sz w:val="21"/>
                      <w:szCs w:val="21"/>
                      <w:highlight w:val="none"/>
                      <w:lang w:val="en-US" w:eastAsia="zh-CN"/>
                    </w:rPr>
                  </w:pPr>
                  <w:r>
                    <w:rPr>
                      <w:rFonts w:hint="eastAsia" w:eastAsia="宋体" w:cs="Times New Roman"/>
                      <w:color w:val="auto"/>
                      <w:sz w:val="21"/>
                      <w:szCs w:val="21"/>
                      <w:highlight w:val="none"/>
                      <w:lang w:val="en-US" w:eastAsia="zh-CN"/>
                    </w:rPr>
                    <w:t>25.554930</w:t>
                  </w:r>
                </w:p>
              </w:tc>
              <w:tc>
                <w:tcPr>
                  <w:tcW w:w="644" w:type="dxa"/>
                  <w:vMerge w:val="restart"/>
                  <w:noWrap w:val="0"/>
                  <w:vAlign w:val="center"/>
                </w:tcPr>
                <w:p w14:paraId="34F58A2C">
                  <w:pPr>
                    <w:snapToGrid w:val="0"/>
                    <w:jc w:val="center"/>
                    <w:rPr>
                      <w:bCs/>
                      <w:color w:val="auto"/>
                      <w:kern w:val="0"/>
                      <w:szCs w:val="21"/>
                      <w:highlight w:val="none"/>
                    </w:rPr>
                  </w:pPr>
                  <w:r>
                    <w:rPr>
                      <w:color w:val="auto"/>
                      <w:szCs w:val="21"/>
                      <w:highlight w:val="none"/>
                    </w:rPr>
                    <w:t>大气环境</w:t>
                  </w:r>
                </w:p>
              </w:tc>
              <w:tc>
                <w:tcPr>
                  <w:tcW w:w="1259" w:type="dxa"/>
                  <w:noWrap w:val="0"/>
                  <w:vAlign w:val="center"/>
                </w:tcPr>
                <w:p w14:paraId="2EB47BE0">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居民区，约</w:t>
                  </w:r>
                  <w:r>
                    <w:rPr>
                      <w:rFonts w:hint="eastAsia" w:cs="Times New Roman"/>
                      <w:color w:val="auto"/>
                      <w:kern w:val="2"/>
                      <w:sz w:val="21"/>
                      <w:szCs w:val="21"/>
                      <w:highlight w:val="none"/>
                      <w:lang w:val="en-US" w:eastAsia="zh-CN" w:bidi="ar-SA"/>
                    </w:rPr>
                    <w:t>4</w:t>
                  </w:r>
                  <w:r>
                    <w:rPr>
                      <w:rFonts w:hint="eastAsia" w:ascii="Times New Roman" w:hAnsi="Times New Roman" w:eastAsia="宋体" w:cs="Times New Roman"/>
                      <w:color w:val="auto"/>
                      <w:kern w:val="2"/>
                      <w:sz w:val="21"/>
                      <w:szCs w:val="21"/>
                      <w:highlight w:val="none"/>
                      <w:lang w:val="en-US" w:eastAsia="zh-CN" w:bidi="ar-SA"/>
                    </w:rPr>
                    <w:t>00人</w:t>
                  </w:r>
                </w:p>
              </w:tc>
              <w:tc>
                <w:tcPr>
                  <w:tcW w:w="1838" w:type="dxa"/>
                  <w:vMerge w:val="restart"/>
                  <w:noWrap w:val="0"/>
                  <w:vAlign w:val="center"/>
                </w:tcPr>
                <w:p w14:paraId="1BE93EB7">
                  <w:pPr>
                    <w:pStyle w:val="46"/>
                    <w:adjustRightInd/>
                    <w:spacing w:before="0" w:beforeLines="0" w:afterLines="0" w:line="240" w:lineRule="auto"/>
                    <w:ind w:firstLine="0" w:firstLineChars="0"/>
                    <w:rPr>
                      <w:rFonts w:ascii="Times New Roman"/>
                      <w:bCs/>
                      <w:color w:val="auto"/>
                      <w:sz w:val="21"/>
                      <w:szCs w:val="21"/>
                      <w:highlight w:val="none"/>
                    </w:rPr>
                  </w:pPr>
                  <w:r>
                    <w:rPr>
                      <w:rFonts w:ascii="Times New Roman"/>
                      <w:bCs/>
                      <w:color w:val="auto"/>
                      <w:sz w:val="21"/>
                      <w:szCs w:val="21"/>
                      <w:highlight w:val="none"/>
                    </w:rPr>
                    <w:t>二类区，环境空气质量执行《环境空气质量标准》GB 3095-2012)二级标准</w:t>
                  </w:r>
                </w:p>
              </w:tc>
              <w:tc>
                <w:tcPr>
                  <w:tcW w:w="619" w:type="dxa"/>
                  <w:noWrap w:val="0"/>
                  <w:vAlign w:val="center"/>
                </w:tcPr>
                <w:p w14:paraId="3CA8027B">
                  <w:pPr>
                    <w:pStyle w:val="46"/>
                    <w:adjustRightInd/>
                    <w:spacing w:before="0" w:beforeLines="0" w:afterLines="0" w:line="240" w:lineRule="auto"/>
                    <w:ind w:firstLine="0" w:firstLineChars="0"/>
                    <w:rPr>
                      <w:rFonts w:ascii="Times New Roman"/>
                      <w:bCs/>
                      <w:color w:val="auto"/>
                      <w:sz w:val="21"/>
                      <w:szCs w:val="21"/>
                      <w:highlight w:val="none"/>
                    </w:rPr>
                  </w:pPr>
                  <w:r>
                    <w:rPr>
                      <w:rFonts w:hint="eastAsia"/>
                      <w:bCs/>
                      <w:color w:val="auto"/>
                      <w:sz w:val="21"/>
                      <w:szCs w:val="21"/>
                      <w:highlight w:val="none"/>
                      <w:lang w:eastAsia="zh-CN"/>
                    </w:rPr>
                    <w:t>南</w:t>
                  </w:r>
                  <w:r>
                    <w:rPr>
                      <w:rFonts w:hint="eastAsia"/>
                      <w:bCs/>
                      <w:color w:val="auto"/>
                      <w:sz w:val="21"/>
                      <w:szCs w:val="21"/>
                      <w:highlight w:val="none"/>
                    </w:rPr>
                    <w:t>侧</w:t>
                  </w:r>
                </w:p>
              </w:tc>
              <w:tc>
                <w:tcPr>
                  <w:tcW w:w="801" w:type="dxa"/>
                  <w:noWrap w:val="0"/>
                  <w:vAlign w:val="center"/>
                </w:tcPr>
                <w:p w14:paraId="38759300">
                  <w:pPr>
                    <w:pStyle w:val="117"/>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bCs/>
                      <w:color w:val="auto"/>
                      <w:szCs w:val="21"/>
                      <w:highlight w:val="none"/>
                      <w:lang w:val="en-US"/>
                    </w:rPr>
                  </w:pPr>
                  <w:r>
                    <w:rPr>
                      <w:rFonts w:hint="eastAsia" w:eastAsia="宋体" w:cs="Times New Roman"/>
                      <w:color w:val="auto"/>
                      <w:sz w:val="21"/>
                      <w:szCs w:val="21"/>
                      <w:highlight w:val="none"/>
                      <w:lang w:val="en-US" w:eastAsia="zh-CN"/>
                    </w:rPr>
                    <w:t>419m</w:t>
                  </w:r>
                </w:p>
              </w:tc>
            </w:tr>
            <w:tr w14:paraId="0DCB82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78" w:hRule="atLeast"/>
              </w:trPr>
              <w:tc>
                <w:tcPr>
                  <w:tcW w:w="796" w:type="dxa"/>
                  <w:vMerge w:val="continue"/>
                  <w:noWrap w:val="0"/>
                  <w:vAlign w:val="center"/>
                </w:tcPr>
                <w:p w14:paraId="62E90047">
                  <w:pPr>
                    <w:pStyle w:val="117"/>
                    <w:keepNext w:val="0"/>
                    <w:keepLines w:val="0"/>
                    <w:pageBreakBefore w:val="0"/>
                    <w:kinsoku/>
                    <w:wordWrap/>
                    <w:overflowPunct/>
                    <w:topLinePunct w:val="0"/>
                    <w:autoSpaceDE/>
                    <w:autoSpaceDN/>
                    <w:bidi w:val="0"/>
                    <w:adjustRightInd/>
                    <w:spacing w:line="240" w:lineRule="auto"/>
                    <w:ind w:firstLine="0" w:firstLineChars="0"/>
                    <w:jc w:val="center"/>
                    <w:textAlignment w:val="auto"/>
                    <w:rPr>
                      <w:color w:val="auto"/>
                      <w:highlight w:val="none"/>
                    </w:rPr>
                  </w:pPr>
                </w:p>
              </w:tc>
              <w:tc>
                <w:tcPr>
                  <w:tcW w:w="1266" w:type="dxa"/>
                  <w:noWrap w:val="0"/>
                  <w:vAlign w:val="center"/>
                </w:tcPr>
                <w:p w14:paraId="4ADBEE64">
                  <w:pPr>
                    <w:pStyle w:val="117"/>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103.198370</w:t>
                  </w:r>
                </w:p>
              </w:tc>
              <w:tc>
                <w:tcPr>
                  <w:tcW w:w="1161" w:type="dxa"/>
                  <w:noWrap w:val="0"/>
                  <w:vAlign w:val="center"/>
                </w:tcPr>
                <w:p w14:paraId="5DF325D0">
                  <w:pPr>
                    <w:pStyle w:val="117"/>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25.356126</w:t>
                  </w:r>
                </w:p>
              </w:tc>
              <w:tc>
                <w:tcPr>
                  <w:tcW w:w="644" w:type="dxa"/>
                  <w:vMerge w:val="continue"/>
                  <w:noWrap w:val="0"/>
                  <w:vAlign w:val="center"/>
                </w:tcPr>
                <w:p w14:paraId="0FB601C0">
                  <w:pPr>
                    <w:pStyle w:val="117"/>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eastAsia="宋体" w:cs="Times New Roman"/>
                      <w:color w:val="auto"/>
                      <w:sz w:val="21"/>
                      <w:szCs w:val="21"/>
                      <w:highlight w:val="none"/>
                      <w:lang w:val="en-US" w:eastAsia="zh-CN"/>
                    </w:rPr>
                  </w:pPr>
                </w:p>
              </w:tc>
              <w:tc>
                <w:tcPr>
                  <w:tcW w:w="1259" w:type="dxa"/>
                  <w:noWrap w:val="0"/>
                  <w:vAlign w:val="center"/>
                </w:tcPr>
                <w:p w14:paraId="3EF2C7C3">
                  <w:pPr>
                    <w:pStyle w:val="117"/>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居民区，约20人</w:t>
                  </w:r>
                </w:p>
              </w:tc>
              <w:tc>
                <w:tcPr>
                  <w:tcW w:w="1838" w:type="dxa"/>
                  <w:vMerge w:val="continue"/>
                  <w:noWrap w:val="0"/>
                  <w:vAlign w:val="center"/>
                </w:tcPr>
                <w:p w14:paraId="0B9D9B9B">
                  <w:pPr>
                    <w:pStyle w:val="117"/>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eastAsia="宋体" w:cs="Times New Roman"/>
                      <w:color w:val="auto"/>
                      <w:sz w:val="21"/>
                      <w:szCs w:val="21"/>
                      <w:highlight w:val="none"/>
                      <w:lang w:val="en-US" w:eastAsia="zh-CN"/>
                    </w:rPr>
                  </w:pPr>
                </w:p>
              </w:tc>
              <w:tc>
                <w:tcPr>
                  <w:tcW w:w="619" w:type="dxa"/>
                  <w:noWrap w:val="0"/>
                  <w:vAlign w:val="center"/>
                </w:tcPr>
                <w:p w14:paraId="02C5702F">
                  <w:pPr>
                    <w:pStyle w:val="46"/>
                    <w:adjustRightInd/>
                    <w:spacing w:before="0" w:beforeLines="0" w:afterLines="0" w:line="240" w:lineRule="auto"/>
                    <w:ind w:firstLine="0" w:firstLineChars="0"/>
                    <w:rPr>
                      <w:rFonts w:hint="eastAsia" w:eastAsia="宋体" w:cs="Times New Roman"/>
                      <w:color w:val="auto"/>
                      <w:sz w:val="21"/>
                      <w:szCs w:val="21"/>
                      <w:highlight w:val="none"/>
                      <w:lang w:val="en-US" w:eastAsia="zh-CN"/>
                    </w:rPr>
                  </w:pPr>
                  <w:r>
                    <w:rPr>
                      <w:rFonts w:hint="eastAsia"/>
                      <w:bCs/>
                      <w:color w:val="auto"/>
                      <w:sz w:val="21"/>
                      <w:szCs w:val="21"/>
                      <w:highlight w:val="none"/>
                      <w:lang w:eastAsia="zh-CN"/>
                    </w:rPr>
                    <w:t>东南</w:t>
                  </w:r>
                  <w:r>
                    <w:rPr>
                      <w:rFonts w:hint="eastAsia"/>
                      <w:bCs/>
                      <w:color w:val="auto"/>
                      <w:sz w:val="21"/>
                      <w:szCs w:val="21"/>
                      <w:highlight w:val="none"/>
                    </w:rPr>
                    <w:t>侧</w:t>
                  </w:r>
                </w:p>
              </w:tc>
              <w:tc>
                <w:tcPr>
                  <w:tcW w:w="801" w:type="dxa"/>
                  <w:noWrap w:val="0"/>
                  <w:vAlign w:val="center"/>
                </w:tcPr>
                <w:p w14:paraId="28377CC2">
                  <w:pPr>
                    <w:pStyle w:val="117"/>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416m</w:t>
                  </w:r>
                </w:p>
              </w:tc>
            </w:tr>
            <w:tr w14:paraId="7B007D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1" w:hRule="atLeast"/>
              </w:trPr>
              <w:tc>
                <w:tcPr>
                  <w:tcW w:w="796" w:type="dxa"/>
                  <w:noWrap w:val="0"/>
                  <w:vAlign w:val="center"/>
                </w:tcPr>
                <w:p w14:paraId="5E80A071">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val="zh-CN"/>
                    </w:rPr>
                    <w:t>老渡</w:t>
                  </w:r>
                  <w:r>
                    <w:rPr>
                      <w:rFonts w:hint="default" w:ascii="Times New Roman" w:hAnsi="Times New Roman" w:eastAsia="宋体" w:cs="Times New Roman"/>
                      <w:color w:val="auto"/>
                      <w:sz w:val="21"/>
                      <w:szCs w:val="21"/>
                      <w:highlight w:val="none"/>
                      <w:shd w:val="clear" w:color="auto" w:fill="auto"/>
                      <w:lang w:val="zh-CN"/>
                    </w:rPr>
                    <w:t>河</w:t>
                  </w:r>
                </w:p>
              </w:tc>
              <w:tc>
                <w:tcPr>
                  <w:tcW w:w="1266" w:type="dxa"/>
                  <w:noWrap w:val="0"/>
                  <w:vAlign w:val="center"/>
                </w:tcPr>
                <w:p w14:paraId="66B4AD11">
                  <w:pPr>
                    <w:pStyle w:val="46"/>
                    <w:adjustRightInd/>
                    <w:spacing w:before="0" w:beforeLines="0" w:afterLines="0" w:line="240" w:lineRule="auto"/>
                    <w:ind w:firstLine="0" w:firstLineChars="0"/>
                    <w:rPr>
                      <w:rFonts w:hint="default" w:ascii="Times New Roman"/>
                      <w:bCs/>
                      <w:color w:val="auto"/>
                      <w:sz w:val="21"/>
                      <w:szCs w:val="21"/>
                      <w:highlight w:val="none"/>
                      <w:lang w:val="en-US" w:eastAsia="zh-CN"/>
                    </w:rPr>
                  </w:pPr>
                  <w:r>
                    <w:rPr>
                      <w:rFonts w:hint="eastAsia" w:ascii="Times New Roman"/>
                      <w:bCs/>
                      <w:color w:val="auto"/>
                      <w:sz w:val="21"/>
                      <w:szCs w:val="21"/>
                      <w:highlight w:val="none"/>
                      <w:lang w:val="en-US" w:eastAsia="zh-CN"/>
                    </w:rPr>
                    <w:t>/</w:t>
                  </w:r>
                </w:p>
              </w:tc>
              <w:tc>
                <w:tcPr>
                  <w:tcW w:w="1161" w:type="dxa"/>
                  <w:noWrap w:val="0"/>
                  <w:vAlign w:val="center"/>
                </w:tcPr>
                <w:p w14:paraId="4B036081">
                  <w:pPr>
                    <w:pStyle w:val="46"/>
                    <w:adjustRightInd/>
                    <w:spacing w:before="0" w:beforeLines="0" w:afterLines="0" w:line="240" w:lineRule="auto"/>
                    <w:ind w:firstLine="0" w:firstLineChars="0"/>
                    <w:rPr>
                      <w:rFonts w:hint="default" w:ascii="Times New Roman"/>
                      <w:bCs/>
                      <w:color w:val="auto"/>
                      <w:sz w:val="21"/>
                      <w:szCs w:val="21"/>
                      <w:highlight w:val="none"/>
                      <w:lang w:val="en-US" w:eastAsia="zh-CN"/>
                    </w:rPr>
                  </w:pPr>
                  <w:r>
                    <w:rPr>
                      <w:rFonts w:hint="eastAsia" w:ascii="Times New Roman"/>
                      <w:bCs/>
                      <w:color w:val="auto"/>
                      <w:sz w:val="21"/>
                      <w:szCs w:val="21"/>
                      <w:highlight w:val="none"/>
                      <w:lang w:val="en-US" w:eastAsia="zh-CN"/>
                    </w:rPr>
                    <w:t>/</w:t>
                  </w:r>
                </w:p>
              </w:tc>
              <w:tc>
                <w:tcPr>
                  <w:tcW w:w="644" w:type="dxa"/>
                  <w:vMerge w:val="restart"/>
                  <w:noWrap w:val="0"/>
                  <w:vAlign w:val="center"/>
                </w:tcPr>
                <w:p w14:paraId="0E789F95">
                  <w:pPr>
                    <w:snapToGrid w:val="0"/>
                    <w:jc w:val="center"/>
                    <w:rPr>
                      <w:rFonts w:hint="eastAsia" w:eastAsia="宋体"/>
                      <w:color w:val="auto"/>
                      <w:sz w:val="21"/>
                      <w:szCs w:val="21"/>
                      <w:highlight w:val="none"/>
                      <w:lang w:eastAsia="zh-CN"/>
                    </w:rPr>
                  </w:pPr>
                  <w:r>
                    <w:rPr>
                      <w:rFonts w:hint="eastAsia"/>
                      <w:color w:val="auto"/>
                      <w:sz w:val="21"/>
                      <w:szCs w:val="21"/>
                      <w:highlight w:val="none"/>
                    </w:rPr>
                    <w:t>地表水环境</w:t>
                  </w:r>
                </w:p>
              </w:tc>
              <w:tc>
                <w:tcPr>
                  <w:tcW w:w="1259" w:type="dxa"/>
                  <w:noWrap w:val="0"/>
                  <w:vAlign w:val="center"/>
                </w:tcPr>
                <w:p w14:paraId="67DEE10A">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w:t>
                  </w:r>
                </w:p>
              </w:tc>
              <w:tc>
                <w:tcPr>
                  <w:tcW w:w="1838" w:type="dxa"/>
                  <w:vMerge w:val="restart"/>
                  <w:noWrap w:val="0"/>
                  <w:vAlign w:val="center"/>
                </w:tcPr>
                <w:p w14:paraId="5DE07A11">
                  <w:pPr>
                    <w:pStyle w:val="46"/>
                    <w:adjustRightInd/>
                    <w:spacing w:before="0" w:beforeLines="0" w:afterLines="0" w:line="240" w:lineRule="auto"/>
                    <w:ind w:left="0" w:leftChars="0" w:firstLine="0" w:firstLineChars="0"/>
                    <w:jc w:val="both"/>
                    <w:rPr>
                      <w:rFonts w:ascii="Times New Roman"/>
                      <w:bCs/>
                      <w:color w:val="auto"/>
                      <w:sz w:val="21"/>
                      <w:szCs w:val="21"/>
                      <w:highlight w:val="none"/>
                    </w:rPr>
                  </w:pPr>
                  <w:r>
                    <w:rPr>
                      <w:rFonts w:hint="default" w:ascii="Times New Roman" w:hAnsi="Times New Roman" w:eastAsia="宋体" w:cs="Times New Roman"/>
                      <w:color w:val="auto"/>
                      <w:sz w:val="21"/>
                      <w:szCs w:val="21"/>
                      <w:highlight w:val="none"/>
                      <w:lang w:val="zh-CN"/>
                    </w:rPr>
                    <w:t>《地表水环境质量标准》</w:t>
                  </w:r>
                  <w:r>
                    <w:rPr>
                      <w:rFonts w:hint="default" w:ascii="Times New Roman" w:hAnsi="Times New Roman" w:eastAsia="宋体" w:cs="Times New Roman"/>
                      <w:color w:val="auto"/>
                      <w:kern w:val="0"/>
                      <w:sz w:val="21"/>
                      <w:szCs w:val="21"/>
                      <w:highlight w:val="none"/>
                      <w:lang w:val="zh-CN"/>
                    </w:rPr>
                    <w:t>（GB3838-2002）中Ⅲ类标准</w:t>
                  </w:r>
                </w:p>
              </w:tc>
              <w:tc>
                <w:tcPr>
                  <w:tcW w:w="619" w:type="dxa"/>
                  <w:noWrap w:val="0"/>
                  <w:vAlign w:val="center"/>
                </w:tcPr>
                <w:p w14:paraId="53CDCC11">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ascii="宋体"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南侧</w:t>
                  </w:r>
                </w:p>
              </w:tc>
              <w:tc>
                <w:tcPr>
                  <w:tcW w:w="801" w:type="dxa"/>
                  <w:noWrap w:val="0"/>
                  <w:vAlign w:val="center"/>
                </w:tcPr>
                <w:p w14:paraId="2D1EBE0F">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sz w:val="21"/>
                      <w:szCs w:val="21"/>
                      <w:highlight w:val="none"/>
                      <w:lang w:val="en-US" w:eastAsia="zh-CN"/>
                    </w:rPr>
                    <w:t>883</w:t>
                  </w:r>
                  <w:r>
                    <w:rPr>
                      <w:rFonts w:hint="default" w:ascii="Times New Roman" w:hAnsi="Times New Roman" w:eastAsia="宋体" w:cs="Times New Roman"/>
                      <w:color w:val="auto"/>
                      <w:sz w:val="21"/>
                      <w:szCs w:val="21"/>
                      <w:highlight w:val="none"/>
                      <w:lang w:val="en-US" w:eastAsia="zh-CN"/>
                    </w:rPr>
                    <w:t>m</w:t>
                  </w:r>
                </w:p>
              </w:tc>
            </w:tr>
            <w:tr w14:paraId="1BB1DC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1" w:hRule="atLeast"/>
              </w:trPr>
              <w:tc>
                <w:tcPr>
                  <w:tcW w:w="796" w:type="dxa"/>
                  <w:noWrap w:val="0"/>
                  <w:vAlign w:val="center"/>
                </w:tcPr>
                <w:p w14:paraId="73CD4112">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auto"/>
                    </w:rPr>
                    <w:t>潘所海</w:t>
                  </w:r>
                </w:p>
              </w:tc>
              <w:tc>
                <w:tcPr>
                  <w:tcW w:w="1266" w:type="dxa"/>
                  <w:noWrap w:val="0"/>
                  <w:vAlign w:val="center"/>
                </w:tcPr>
                <w:p w14:paraId="2882006F">
                  <w:pPr>
                    <w:pStyle w:val="46"/>
                    <w:adjustRightInd/>
                    <w:spacing w:before="0" w:beforeLines="0" w:afterLines="0" w:line="240" w:lineRule="auto"/>
                    <w:ind w:firstLine="0" w:firstLineChars="0"/>
                    <w:rPr>
                      <w:rFonts w:hint="eastAsia" w:cs="Times New Roman"/>
                      <w:bCs/>
                      <w:color w:val="auto"/>
                      <w:sz w:val="21"/>
                      <w:szCs w:val="21"/>
                      <w:highlight w:val="none"/>
                      <w:lang w:val="en-US" w:eastAsia="zh-CN"/>
                    </w:rPr>
                  </w:pPr>
                  <w:r>
                    <w:rPr>
                      <w:rFonts w:hint="eastAsia" w:ascii="Times New Roman"/>
                      <w:bCs/>
                      <w:color w:val="auto"/>
                      <w:sz w:val="21"/>
                      <w:szCs w:val="21"/>
                      <w:highlight w:val="none"/>
                      <w:lang w:val="en-US" w:eastAsia="zh-CN"/>
                    </w:rPr>
                    <w:t>/</w:t>
                  </w:r>
                </w:p>
              </w:tc>
              <w:tc>
                <w:tcPr>
                  <w:tcW w:w="1161" w:type="dxa"/>
                  <w:noWrap w:val="0"/>
                  <w:vAlign w:val="center"/>
                </w:tcPr>
                <w:p w14:paraId="5A91D37E">
                  <w:pPr>
                    <w:pStyle w:val="46"/>
                    <w:adjustRightInd/>
                    <w:spacing w:before="0" w:beforeLines="0" w:afterLines="0" w:line="240" w:lineRule="auto"/>
                    <w:ind w:firstLine="0" w:firstLineChars="0"/>
                    <w:rPr>
                      <w:rFonts w:hint="eastAsia" w:cs="Times New Roman"/>
                      <w:bCs/>
                      <w:color w:val="auto"/>
                      <w:sz w:val="21"/>
                      <w:szCs w:val="21"/>
                      <w:highlight w:val="none"/>
                      <w:lang w:val="en-US" w:eastAsia="zh-CN"/>
                    </w:rPr>
                  </w:pPr>
                  <w:r>
                    <w:rPr>
                      <w:rFonts w:hint="eastAsia" w:ascii="Times New Roman"/>
                      <w:bCs/>
                      <w:color w:val="auto"/>
                      <w:sz w:val="21"/>
                      <w:szCs w:val="21"/>
                      <w:highlight w:val="none"/>
                      <w:lang w:val="en-US" w:eastAsia="zh-CN"/>
                    </w:rPr>
                    <w:t>/</w:t>
                  </w:r>
                </w:p>
              </w:tc>
              <w:tc>
                <w:tcPr>
                  <w:tcW w:w="644" w:type="dxa"/>
                  <w:vMerge w:val="continue"/>
                  <w:noWrap w:val="0"/>
                  <w:vAlign w:val="center"/>
                </w:tcPr>
                <w:p w14:paraId="6BC79E2C">
                  <w:pPr>
                    <w:pStyle w:val="46"/>
                    <w:adjustRightInd/>
                    <w:spacing w:before="0" w:beforeLines="0" w:afterLines="0" w:line="240" w:lineRule="auto"/>
                    <w:ind w:firstLine="0" w:firstLineChars="0"/>
                    <w:rPr>
                      <w:rFonts w:hint="eastAsia" w:cs="Times New Roman"/>
                      <w:bCs/>
                      <w:color w:val="auto"/>
                      <w:sz w:val="21"/>
                      <w:szCs w:val="21"/>
                      <w:highlight w:val="none"/>
                      <w:lang w:val="en-US" w:eastAsia="zh-CN"/>
                    </w:rPr>
                  </w:pPr>
                </w:p>
              </w:tc>
              <w:tc>
                <w:tcPr>
                  <w:tcW w:w="1259" w:type="dxa"/>
                  <w:noWrap w:val="0"/>
                  <w:vAlign w:val="center"/>
                </w:tcPr>
                <w:p w14:paraId="410BC475">
                  <w:pPr>
                    <w:pStyle w:val="46"/>
                    <w:adjustRightInd/>
                    <w:spacing w:before="0" w:beforeLines="0" w:afterLines="0" w:line="240" w:lineRule="auto"/>
                    <w:ind w:firstLine="0" w:firstLineChars="0"/>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838" w:type="dxa"/>
                  <w:vMerge w:val="continue"/>
                  <w:noWrap w:val="0"/>
                  <w:vAlign w:val="center"/>
                </w:tcPr>
                <w:p w14:paraId="31D48F89">
                  <w:pPr>
                    <w:pStyle w:val="46"/>
                    <w:adjustRightInd/>
                    <w:spacing w:before="0" w:beforeLines="0" w:afterLines="0" w:line="240" w:lineRule="auto"/>
                    <w:ind w:firstLine="0" w:firstLineChars="0"/>
                    <w:rPr>
                      <w:rFonts w:hint="eastAsia" w:cs="Times New Roman"/>
                      <w:bCs/>
                      <w:color w:val="auto"/>
                      <w:sz w:val="21"/>
                      <w:szCs w:val="21"/>
                      <w:highlight w:val="none"/>
                      <w:lang w:val="en-US" w:eastAsia="zh-CN"/>
                    </w:rPr>
                  </w:pPr>
                </w:p>
              </w:tc>
              <w:tc>
                <w:tcPr>
                  <w:tcW w:w="619" w:type="dxa"/>
                  <w:noWrap w:val="0"/>
                  <w:vAlign w:val="center"/>
                </w:tcPr>
                <w:p w14:paraId="7C84DE75">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南侧</w:t>
                  </w:r>
                </w:p>
              </w:tc>
              <w:tc>
                <w:tcPr>
                  <w:tcW w:w="801" w:type="dxa"/>
                  <w:noWrap w:val="0"/>
                  <w:vAlign w:val="center"/>
                </w:tcPr>
                <w:p w14:paraId="27CE75BA">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bCs/>
                      <w:color w:val="auto"/>
                      <w:sz w:val="21"/>
                      <w:szCs w:val="21"/>
                      <w:highlight w:val="none"/>
                      <w:lang w:val="en-US" w:eastAsia="zh-CN"/>
                    </w:rPr>
                  </w:pPr>
                  <w:r>
                    <w:rPr>
                      <w:rFonts w:hint="eastAsia" w:cs="Times New Roman"/>
                      <w:color w:val="auto"/>
                      <w:sz w:val="21"/>
                      <w:szCs w:val="21"/>
                      <w:highlight w:val="none"/>
                      <w:lang w:val="en-US" w:eastAsia="zh-CN"/>
                    </w:rPr>
                    <w:t>1326</w:t>
                  </w:r>
                  <w:r>
                    <w:rPr>
                      <w:rFonts w:hint="default" w:ascii="Times New Roman" w:hAnsi="Times New Roman" w:eastAsia="宋体" w:cs="Times New Roman"/>
                      <w:color w:val="auto"/>
                      <w:sz w:val="21"/>
                      <w:szCs w:val="21"/>
                      <w:highlight w:val="none"/>
                      <w:lang w:val="en-US" w:eastAsia="zh-CN"/>
                    </w:rPr>
                    <w:t>m</w:t>
                  </w:r>
                </w:p>
              </w:tc>
            </w:tr>
            <w:tr w14:paraId="0DDDFF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1" w:hRule="atLeast"/>
              </w:trPr>
              <w:tc>
                <w:tcPr>
                  <w:tcW w:w="796" w:type="dxa"/>
                  <w:noWrap w:val="0"/>
                  <w:vAlign w:val="center"/>
                </w:tcPr>
                <w:p w14:paraId="1E2FD6BD">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auto"/>
                    </w:rPr>
                    <w:t>三月三水库</w:t>
                  </w:r>
                </w:p>
              </w:tc>
              <w:tc>
                <w:tcPr>
                  <w:tcW w:w="1266" w:type="dxa"/>
                  <w:noWrap w:val="0"/>
                  <w:vAlign w:val="center"/>
                </w:tcPr>
                <w:p w14:paraId="3CF389E5">
                  <w:pPr>
                    <w:pStyle w:val="46"/>
                    <w:adjustRightInd/>
                    <w:spacing w:before="0" w:beforeLines="0" w:afterLines="0" w:line="240" w:lineRule="auto"/>
                    <w:ind w:firstLine="0" w:firstLineChars="0"/>
                    <w:rPr>
                      <w:rFonts w:hint="eastAsia" w:cs="Times New Roman"/>
                      <w:bCs/>
                      <w:color w:val="auto"/>
                      <w:sz w:val="21"/>
                      <w:szCs w:val="21"/>
                      <w:highlight w:val="none"/>
                      <w:lang w:val="en-US" w:eastAsia="zh-CN"/>
                    </w:rPr>
                  </w:pPr>
                  <w:r>
                    <w:rPr>
                      <w:rFonts w:hint="eastAsia" w:ascii="Times New Roman"/>
                      <w:bCs/>
                      <w:color w:val="auto"/>
                      <w:sz w:val="21"/>
                      <w:szCs w:val="21"/>
                      <w:highlight w:val="none"/>
                      <w:lang w:val="en-US" w:eastAsia="zh-CN"/>
                    </w:rPr>
                    <w:t>/</w:t>
                  </w:r>
                </w:p>
              </w:tc>
              <w:tc>
                <w:tcPr>
                  <w:tcW w:w="1161" w:type="dxa"/>
                  <w:noWrap w:val="0"/>
                  <w:vAlign w:val="center"/>
                </w:tcPr>
                <w:p w14:paraId="0056ECE6">
                  <w:pPr>
                    <w:pStyle w:val="46"/>
                    <w:adjustRightInd/>
                    <w:spacing w:before="0" w:beforeLines="0" w:afterLines="0" w:line="240" w:lineRule="auto"/>
                    <w:ind w:firstLine="0" w:firstLineChars="0"/>
                    <w:rPr>
                      <w:rFonts w:hint="eastAsia" w:cs="Times New Roman"/>
                      <w:bCs/>
                      <w:color w:val="auto"/>
                      <w:sz w:val="21"/>
                      <w:szCs w:val="21"/>
                      <w:highlight w:val="none"/>
                      <w:lang w:val="en-US" w:eastAsia="zh-CN"/>
                    </w:rPr>
                  </w:pPr>
                  <w:r>
                    <w:rPr>
                      <w:rFonts w:hint="eastAsia" w:ascii="Times New Roman"/>
                      <w:bCs/>
                      <w:color w:val="auto"/>
                      <w:sz w:val="21"/>
                      <w:szCs w:val="21"/>
                      <w:highlight w:val="none"/>
                      <w:lang w:val="en-US" w:eastAsia="zh-CN"/>
                    </w:rPr>
                    <w:t>/</w:t>
                  </w:r>
                </w:p>
              </w:tc>
              <w:tc>
                <w:tcPr>
                  <w:tcW w:w="644" w:type="dxa"/>
                  <w:vMerge w:val="continue"/>
                  <w:noWrap w:val="0"/>
                  <w:vAlign w:val="center"/>
                </w:tcPr>
                <w:p w14:paraId="4CF894CD">
                  <w:pPr>
                    <w:pStyle w:val="46"/>
                    <w:adjustRightInd/>
                    <w:spacing w:before="0" w:beforeLines="0" w:afterLines="0" w:line="240" w:lineRule="auto"/>
                    <w:ind w:firstLine="0" w:firstLineChars="0"/>
                    <w:rPr>
                      <w:rFonts w:hint="eastAsia" w:cs="Times New Roman"/>
                      <w:bCs/>
                      <w:color w:val="auto"/>
                      <w:sz w:val="21"/>
                      <w:szCs w:val="21"/>
                      <w:highlight w:val="none"/>
                      <w:lang w:val="en-US" w:eastAsia="zh-CN"/>
                    </w:rPr>
                  </w:pPr>
                </w:p>
              </w:tc>
              <w:tc>
                <w:tcPr>
                  <w:tcW w:w="1259" w:type="dxa"/>
                  <w:noWrap w:val="0"/>
                  <w:vAlign w:val="center"/>
                </w:tcPr>
                <w:p w14:paraId="558A207C">
                  <w:pPr>
                    <w:pStyle w:val="46"/>
                    <w:adjustRightInd/>
                    <w:spacing w:before="0" w:beforeLines="0" w:afterLines="0" w:line="240" w:lineRule="auto"/>
                    <w:ind w:firstLine="0" w:firstLineChars="0"/>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838" w:type="dxa"/>
                  <w:vMerge w:val="continue"/>
                  <w:noWrap w:val="0"/>
                  <w:vAlign w:val="center"/>
                </w:tcPr>
                <w:p w14:paraId="1DD645F7">
                  <w:pPr>
                    <w:pStyle w:val="46"/>
                    <w:adjustRightInd/>
                    <w:spacing w:before="0" w:beforeLines="0" w:afterLines="0" w:line="240" w:lineRule="auto"/>
                    <w:ind w:firstLine="0" w:firstLineChars="0"/>
                    <w:rPr>
                      <w:rFonts w:hint="eastAsia" w:cs="Times New Roman"/>
                      <w:bCs/>
                      <w:color w:val="auto"/>
                      <w:sz w:val="21"/>
                      <w:szCs w:val="21"/>
                      <w:highlight w:val="none"/>
                      <w:lang w:val="en-US" w:eastAsia="zh-CN"/>
                    </w:rPr>
                  </w:pPr>
                </w:p>
              </w:tc>
              <w:tc>
                <w:tcPr>
                  <w:tcW w:w="619" w:type="dxa"/>
                  <w:noWrap w:val="0"/>
                  <w:vAlign w:val="center"/>
                </w:tcPr>
                <w:p w14:paraId="1BECEDA0">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东南侧</w:t>
                  </w:r>
                </w:p>
              </w:tc>
              <w:tc>
                <w:tcPr>
                  <w:tcW w:w="801" w:type="dxa"/>
                  <w:noWrap w:val="0"/>
                  <w:vAlign w:val="center"/>
                </w:tcPr>
                <w:p w14:paraId="66C5B7C6">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r>
                    <w:rPr>
                      <w:rFonts w:hint="eastAsia" w:cs="Times New Roman"/>
                      <w:color w:val="auto"/>
                      <w:sz w:val="21"/>
                      <w:szCs w:val="21"/>
                      <w:highlight w:val="none"/>
                      <w:lang w:val="en-US" w:eastAsia="zh-CN"/>
                    </w:rPr>
                    <w:t>691</w:t>
                  </w:r>
                  <w:r>
                    <w:rPr>
                      <w:rFonts w:hint="default" w:ascii="Times New Roman" w:hAnsi="Times New Roman" w:eastAsia="宋体" w:cs="Times New Roman"/>
                      <w:color w:val="auto"/>
                      <w:sz w:val="21"/>
                      <w:szCs w:val="21"/>
                      <w:highlight w:val="none"/>
                      <w:lang w:val="en-US" w:eastAsia="zh-CN"/>
                    </w:rPr>
                    <w:t>m</w:t>
                  </w:r>
                </w:p>
              </w:tc>
            </w:tr>
            <w:tr w14:paraId="16EEC5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4" w:hRule="atLeast"/>
              </w:trPr>
              <w:tc>
                <w:tcPr>
                  <w:tcW w:w="796" w:type="dxa"/>
                  <w:noWrap w:val="0"/>
                  <w:vAlign w:val="center"/>
                </w:tcPr>
                <w:p w14:paraId="7DE0BD1E">
                  <w:pPr>
                    <w:pStyle w:val="117"/>
                    <w:keepNext w:val="0"/>
                    <w:keepLines w:val="0"/>
                    <w:pageBreakBefore w:val="0"/>
                    <w:kinsoku/>
                    <w:wordWrap/>
                    <w:overflowPunct/>
                    <w:topLinePunct w:val="0"/>
                    <w:autoSpaceDE/>
                    <w:autoSpaceDN/>
                    <w:bidi w:val="0"/>
                    <w:adjustRightInd/>
                    <w:spacing w:line="240" w:lineRule="auto"/>
                    <w:ind w:firstLine="0" w:firstLineChars="0"/>
                    <w:textAlignment w:val="auto"/>
                    <w:rPr>
                      <w:rFonts w:hint="eastAsia"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地下水</w:t>
                  </w:r>
                </w:p>
              </w:tc>
              <w:tc>
                <w:tcPr>
                  <w:tcW w:w="7588" w:type="dxa"/>
                  <w:gridSpan w:val="7"/>
                  <w:noWrap w:val="0"/>
                  <w:vAlign w:val="center"/>
                </w:tcPr>
                <w:p w14:paraId="1B148B74">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项目厂界外500m范围内无集中式用水水源和热水、矿泉水、温泉等环境敏感目</w:t>
                  </w:r>
                </w:p>
                <w:p w14:paraId="76E1C52E">
                  <w:pPr>
                    <w:keepNext w:val="0"/>
                    <w:keepLines w:val="0"/>
                    <w:pageBreakBefore w:val="0"/>
                    <w:widowControl/>
                    <w:kinsoku/>
                    <w:wordWrap/>
                    <w:overflowPunct/>
                    <w:topLinePunct w:val="0"/>
                    <w:autoSpaceDE/>
                    <w:autoSpaceDN/>
                    <w:bidi w:val="0"/>
                    <w:adjustRightInd/>
                    <w:spacing w:line="240" w:lineRule="auto"/>
                    <w:ind w:firstLine="0" w:firstLineChars="0"/>
                    <w:jc w:val="both"/>
                    <w:textAlignment w:val="auto"/>
                    <w:rPr>
                      <w:rFonts w:hint="eastAsia" w:ascii="Times New Roman"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标分布。</w:t>
                  </w:r>
                </w:p>
              </w:tc>
            </w:tr>
            <w:tr w14:paraId="4D6ADE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4" w:hRule="atLeast"/>
              </w:trPr>
              <w:tc>
                <w:tcPr>
                  <w:tcW w:w="796" w:type="dxa"/>
                  <w:noWrap w:val="0"/>
                  <w:vAlign w:val="center"/>
                </w:tcPr>
                <w:p w14:paraId="1F45BEB5">
                  <w:pPr>
                    <w:pStyle w:val="117"/>
                    <w:keepNext w:val="0"/>
                    <w:keepLines w:val="0"/>
                    <w:pageBreakBefore w:val="0"/>
                    <w:kinsoku/>
                    <w:wordWrap/>
                    <w:overflowPunct/>
                    <w:topLinePunct w:val="0"/>
                    <w:autoSpaceDE/>
                    <w:autoSpaceDN/>
                    <w:bidi w:val="0"/>
                    <w:adjustRightInd/>
                    <w:spacing w:line="240" w:lineRule="auto"/>
                    <w:ind w:firstLine="0" w:firstLineChars="0"/>
                    <w:textAlignment w:val="auto"/>
                    <w:rPr>
                      <w:rFonts w:hint="eastAsia"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生态环境</w:t>
                  </w:r>
                </w:p>
              </w:tc>
              <w:tc>
                <w:tcPr>
                  <w:tcW w:w="7588" w:type="dxa"/>
                  <w:gridSpan w:val="7"/>
                  <w:noWrap w:val="0"/>
                  <w:vAlign w:val="center"/>
                </w:tcPr>
                <w:p w14:paraId="7D712361">
                  <w:pPr>
                    <w:pStyle w:val="117"/>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Times New Roman"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属于规划的工业园区，不涉及园区外用地，</w:t>
                  </w:r>
                  <w:r>
                    <w:rPr>
                      <w:rFonts w:hint="default" w:ascii="Times New Roman" w:hAnsi="Times New Roman" w:eastAsia="宋体" w:cs="Times New Roman"/>
                      <w:color w:val="auto"/>
                      <w:sz w:val="21"/>
                      <w:szCs w:val="21"/>
                      <w:highlight w:val="none"/>
                    </w:rPr>
                    <w:t>不涉及生态保护目标</w:t>
                  </w:r>
                </w:p>
              </w:tc>
            </w:tr>
          </w:tbl>
          <w:p w14:paraId="444899C8">
            <w:pPr>
              <w:pStyle w:val="9"/>
              <w:keepNext w:val="0"/>
              <w:keepLines w:val="0"/>
              <w:pageBreakBefore w:val="0"/>
              <w:widowControl w:val="0"/>
              <w:kinsoku/>
              <w:wordWrap/>
              <w:overflowPunct/>
              <w:topLinePunct w:val="0"/>
              <w:autoSpaceDE/>
              <w:autoSpaceDN/>
              <w:bidi w:val="0"/>
              <w:spacing w:line="356" w:lineRule="auto"/>
              <w:ind w:firstLine="420" w:firstLineChars="200"/>
              <w:textAlignment w:val="auto"/>
              <w:rPr>
                <w:rFonts w:hint="default" w:ascii="Times New Roman" w:hAnsi="Times New Roman" w:eastAsia="宋体" w:cs="Times New Roman"/>
                <w:color w:val="auto"/>
                <w:kern w:val="0"/>
                <w:szCs w:val="21"/>
                <w:highlight w:val="none"/>
                <w:lang w:val="en-US" w:eastAsia="zh-CN"/>
              </w:rPr>
            </w:pPr>
          </w:p>
        </w:tc>
      </w:tr>
      <w:tr w14:paraId="2DD751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tcMar>
              <w:left w:w="28" w:type="dxa"/>
              <w:right w:w="28" w:type="dxa"/>
            </w:tcMar>
            <w:vAlign w:val="center"/>
          </w:tcPr>
          <w:p w14:paraId="57AECEA1">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14:paraId="4AE1D398">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14:paraId="2B3C25A3">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14:paraId="5DBDD050">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14:paraId="59919B9D">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准</w:t>
            </w:r>
          </w:p>
        </w:tc>
        <w:tc>
          <w:tcPr>
            <w:tcW w:w="8609" w:type="dxa"/>
            <w:vAlign w:val="center"/>
          </w:tcPr>
          <w:p w14:paraId="125684DA">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1、废气</w:t>
            </w:r>
          </w:p>
          <w:p w14:paraId="692705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14:paraId="5B01076F">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施工期无组织粉尘执行《大气污染物综合排放标准》（GB16297-1996）表2中颗粒物无组织排放监控浓度限值要求。</w:t>
            </w:r>
          </w:p>
          <w:p w14:paraId="512D50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w:t>
            </w:r>
            <w:r>
              <w:rPr>
                <w:rFonts w:hint="eastAsia"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rPr>
              <w:t xml:space="preserve">   无组织颗粒物排放标准</w:t>
            </w:r>
          </w:p>
          <w:tbl>
            <w:tblPr>
              <w:tblStyle w:val="27"/>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5"/>
              <w:gridCol w:w="2657"/>
              <w:gridCol w:w="3469"/>
            </w:tblGrid>
            <w:tr w14:paraId="7B93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55" w:type="dxa"/>
                  <w:vMerge w:val="restart"/>
                  <w:noWrap w:val="0"/>
                  <w:vAlign w:val="center"/>
                </w:tcPr>
                <w:p w14:paraId="229DAE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6126" w:type="dxa"/>
                  <w:gridSpan w:val="2"/>
                  <w:noWrap w:val="0"/>
                  <w:vAlign w:val="center"/>
                </w:tcPr>
                <w:p w14:paraId="6DEA4B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无组织排放监控浓度限值</w:t>
                  </w:r>
                </w:p>
              </w:tc>
            </w:tr>
            <w:tr w14:paraId="22C8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55" w:type="dxa"/>
                  <w:vMerge w:val="continue"/>
                  <w:noWrap w:val="0"/>
                  <w:vAlign w:val="center"/>
                </w:tcPr>
                <w:p w14:paraId="42DFFD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p>
              </w:tc>
              <w:tc>
                <w:tcPr>
                  <w:tcW w:w="2657" w:type="dxa"/>
                  <w:noWrap w:val="0"/>
                  <w:vAlign w:val="center"/>
                </w:tcPr>
                <w:p w14:paraId="1E77B5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监控点</w:t>
                  </w:r>
                </w:p>
              </w:tc>
              <w:tc>
                <w:tcPr>
                  <w:tcW w:w="3469" w:type="dxa"/>
                  <w:noWrap w:val="0"/>
                  <w:vAlign w:val="center"/>
                </w:tcPr>
                <w:p w14:paraId="0DB42C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浓度（mg/m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rPr>
                    <w:t>）</w:t>
                  </w:r>
                </w:p>
              </w:tc>
            </w:tr>
            <w:tr w14:paraId="51150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5" w:type="dxa"/>
                  <w:noWrap w:val="0"/>
                  <w:vAlign w:val="center"/>
                </w:tcPr>
                <w:p w14:paraId="2F82C0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颗粒物</w:t>
                  </w:r>
                </w:p>
              </w:tc>
              <w:tc>
                <w:tcPr>
                  <w:tcW w:w="2657" w:type="dxa"/>
                  <w:noWrap w:val="0"/>
                  <w:vAlign w:val="center"/>
                </w:tcPr>
                <w:p w14:paraId="028644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周界外浓度最高点</w:t>
                  </w:r>
                </w:p>
              </w:tc>
              <w:tc>
                <w:tcPr>
                  <w:tcW w:w="3469" w:type="dxa"/>
                  <w:noWrap w:val="0"/>
                  <w:vAlign w:val="center"/>
                </w:tcPr>
                <w:p w14:paraId="551188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bl>
          <w:p w14:paraId="62E906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14:paraId="58918E1A">
            <w:pPr>
              <w:adjustRightInd w:val="0"/>
              <w:snapToGrid w:val="0"/>
              <w:spacing w:line="360" w:lineRule="auto"/>
              <w:ind w:firstLine="480" w:firstLineChars="200"/>
              <w:rPr>
                <w:color w:val="auto"/>
                <w:sz w:val="24"/>
                <w:highlight w:val="none"/>
              </w:rPr>
            </w:pPr>
            <w:r>
              <w:rPr>
                <w:rFonts w:hint="default" w:ascii="Times New Roman" w:hAnsi="Times New Roman" w:eastAsia="宋体" w:cs="Times New Roman"/>
                <w:color w:val="auto"/>
                <w:sz w:val="24"/>
                <w:highlight w:val="none"/>
                <w:lang w:val="en-US" w:eastAsia="zh-CN"/>
              </w:rPr>
              <w:t>①</w:t>
            </w:r>
            <w:r>
              <w:rPr>
                <w:rFonts w:hint="eastAsia"/>
                <w:color w:val="auto"/>
                <w:sz w:val="24"/>
                <w:highlight w:val="none"/>
              </w:rPr>
              <w:t>原煤破碎、转载落料及储仓粉尘</w:t>
            </w:r>
          </w:p>
          <w:p w14:paraId="64F85DE2">
            <w:pPr>
              <w:adjustRightInd w:val="0"/>
              <w:snapToGrid w:val="0"/>
              <w:spacing w:line="360" w:lineRule="auto"/>
              <w:ind w:firstLine="480" w:firstLineChars="200"/>
              <w:rPr>
                <w:b/>
                <w:color w:val="auto"/>
                <w:szCs w:val="21"/>
                <w:highlight w:val="none"/>
              </w:rPr>
            </w:pPr>
            <w:r>
              <w:rPr>
                <w:rFonts w:hint="eastAsia"/>
                <w:color w:val="auto"/>
                <w:sz w:val="24"/>
                <w:highlight w:val="none"/>
              </w:rPr>
              <w:t>运营期厂内受煤系统、原煤</w:t>
            </w:r>
            <w:r>
              <w:rPr>
                <w:rFonts w:hint="eastAsia"/>
                <w:color w:val="auto"/>
                <w:sz w:val="24"/>
                <w:highlight w:val="none"/>
                <w:lang w:eastAsia="zh-CN"/>
              </w:rPr>
              <w:t>堆棚、</w:t>
            </w:r>
            <w:r>
              <w:rPr>
                <w:rFonts w:hint="eastAsia"/>
                <w:color w:val="auto"/>
                <w:sz w:val="24"/>
                <w:highlight w:val="none"/>
              </w:rPr>
              <w:t>均化堆场、</w:t>
            </w:r>
            <w:r>
              <w:rPr>
                <w:rFonts w:hint="eastAsia"/>
                <w:color w:val="auto"/>
                <w:sz w:val="24"/>
                <w:highlight w:val="none"/>
                <w:lang w:eastAsia="zh-CN"/>
              </w:rPr>
              <w:t>运输皮带、</w:t>
            </w:r>
            <w:r>
              <w:rPr>
                <w:rFonts w:hint="eastAsia"/>
                <w:color w:val="auto"/>
                <w:sz w:val="24"/>
                <w:highlight w:val="none"/>
              </w:rPr>
              <w:t>转载</w:t>
            </w:r>
            <w:r>
              <w:rPr>
                <w:rFonts w:hint="eastAsia"/>
                <w:color w:val="auto"/>
                <w:sz w:val="24"/>
                <w:highlight w:val="none"/>
                <w:lang w:eastAsia="zh-CN"/>
              </w:rPr>
              <w:t>点</w:t>
            </w:r>
            <w:r>
              <w:rPr>
                <w:rFonts w:hint="eastAsia"/>
                <w:color w:val="auto"/>
                <w:sz w:val="24"/>
                <w:highlight w:val="none"/>
              </w:rPr>
              <w:t>、给料仓、成品</w:t>
            </w:r>
            <w:r>
              <w:rPr>
                <w:rFonts w:hint="eastAsia"/>
                <w:color w:val="auto"/>
                <w:sz w:val="24"/>
                <w:highlight w:val="none"/>
                <w:lang w:eastAsia="zh-CN"/>
              </w:rPr>
              <w:t>堆棚、储存仓</w:t>
            </w:r>
            <w:r>
              <w:rPr>
                <w:rFonts w:hint="eastAsia"/>
                <w:color w:val="auto"/>
                <w:sz w:val="24"/>
                <w:highlight w:val="none"/>
              </w:rPr>
              <w:t>等均封闭式设置，生产时褐煤流转过程中，原煤运输入厂卸料、堆场人员进出、各出料口和皮带机衔接处、煤粉散装时将有少量粉尘逸出</w:t>
            </w:r>
            <w:r>
              <w:rPr>
                <w:rFonts w:hint="eastAsia"/>
                <w:color w:val="auto"/>
                <w:sz w:val="24"/>
                <w:highlight w:val="none"/>
                <w:lang w:eastAsia="zh-CN"/>
              </w:rPr>
              <w:t>，废气无组织排放。</w:t>
            </w:r>
            <w:r>
              <w:rPr>
                <w:rFonts w:hint="eastAsia"/>
                <w:color w:val="auto"/>
                <w:sz w:val="24"/>
                <w:highlight w:val="none"/>
              </w:rPr>
              <w:t>采用收尘系统对煤炭破碎、转载落料时产生的粉尘进行收除尘处理，废气有组织排放。有组织排放</w:t>
            </w:r>
            <w:r>
              <w:rPr>
                <w:rFonts w:hint="eastAsia"/>
                <w:color w:val="auto"/>
                <w:sz w:val="24"/>
                <w:highlight w:val="none"/>
                <w:lang w:eastAsia="zh-CN"/>
              </w:rPr>
              <w:t>粉</w:t>
            </w:r>
            <w:r>
              <w:rPr>
                <w:rFonts w:hint="eastAsia"/>
                <w:color w:val="auto"/>
                <w:sz w:val="24"/>
                <w:highlight w:val="none"/>
              </w:rPr>
              <w:t>尘执行</w:t>
            </w:r>
            <w:r>
              <w:rPr>
                <w:rFonts w:hint="default" w:ascii="Times New Roman" w:hAnsi="Times New Roman" w:cs="Times New Roman"/>
                <w:color w:val="auto"/>
                <w:sz w:val="24"/>
                <w:szCs w:val="24"/>
                <w:highlight w:val="none"/>
                <w:shd w:val="clear" w:color="auto" w:fill="auto"/>
                <w:lang w:val="zh-CN" w:eastAsia="zh-CN"/>
              </w:rPr>
              <w:t>《大气污染物综合排放标准》（GB16297-1996）表2中二级标准</w:t>
            </w:r>
            <w:r>
              <w:rPr>
                <w:rFonts w:hint="eastAsia"/>
                <w:color w:val="auto"/>
                <w:sz w:val="24"/>
                <w:highlight w:val="none"/>
                <w:lang w:eastAsia="zh-CN"/>
              </w:rPr>
              <w:t>；无组织排放的粉尘</w:t>
            </w:r>
            <w:r>
              <w:rPr>
                <w:rFonts w:hint="default" w:ascii="Times New Roman" w:hAnsi="Times New Roman" w:cs="Times New Roman"/>
                <w:color w:val="auto"/>
                <w:sz w:val="24"/>
                <w:szCs w:val="24"/>
                <w:highlight w:val="none"/>
                <w:shd w:val="clear" w:color="auto" w:fill="auto"/>
                <w:lang w:val="zh-CN" w:eastAsia="zh-CN"/>
              </w:rPr>
              <w:t>《大气污染物综合排放标准》（GB16297-1996）表2中二级标准</w:t>
            </w:r>
            <w:r>
              <w:rPr>
                <w:rFonts w:hint="eastAsia" w:ascii="Times New Roman" w:hAnsi="Times New Roman" w:eastAsia="宋体" w:cs="Times New Roman"/>
                <w:color w:val="auto"/>
                <w:sz w:val="24"/>
                <w:highlight w:val="none"/>
                <w:lang w:eastAsia="zh-CN"/>
              </w:rPr>
              <w:t>；</w:t>
            </w:r>
            <w:r>
              <w:rPr>
                <w:rFonts w:hint="eastAsia"/>
                <w:color w:val="auto"/>
                <w:sz w:val="24"/>
                <w:highlight w:val="none"/>
              </w:rPr>
              <w:t>具体限值见表</w:t>
            </w:r>
            <w:r>
              <w:rPr>
                <w:rFonts w:hint="eastAsia"/>
                <w:color w:val="auto"/>
                <w:sz w:val="24"/>
                <w:highlight w:val="none"/>
                <w:lang w:val="en-US" w:eastAsia="zh-CN"/>
              </w:rPr>
              <w:t>3</w:t>
            </w:r>
            <w:r>
              <w:rPr>
                <w:rFonts w:hint="eastAsia"/>
                <w:color w:val="auto"/>
                <w:sz w:val="24"/>
                <w:highlight w:val="none"/>
              </w:rPr>
              <w:t>-</w:t>
            </w:r>
            <w:r>
              <w:rPr>
                <w:rFonts w:hint="eastAsia"/>
                <w:color w:val="auto"/>
                <w:sz w:val="24"/>
                <w:highlight w:val="none"/>
                <w:lang w:val="en-US" w:eastAsia="zh-CN"/>
              </w:rPr>
              <w:t>6</w:t>
            </w:r>
            <w:r>
              <w:rPr>
                <w:rFonts w:hint="eastAsia"/>
                <w:color w:val="auto"/>
                <w:sz w:val="24"/>
                <w:highlight w:val="none"/>
              </w:rPr>
              <w:t>。</w:t>
            </w:r>
          </w:p>
          <w:p w14:paraId="5DB6683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highlight w:val="none"/>
              </w:rPr>
            </w:pPr>
            <w:r>
              <w:rPr>
                <w:b/>
                <w:color w:val="auto"/>
                <w:szCs w:val="21"/>
                <w:highlight w:val="none"/>
              </w:rPr>
              <w:t>表</w:t>
            </w:r>
            <w:r>
              <w:rPr>
                <w:rFonts w:hint="eastAsia"/>
                <w:b/>
                <w:color w:val="auto"/>
                <w:szCs w:val="21"/>
                <w:highlight w:val="none"/>
                <w:lang w:val="en-US" w:eastAsia="zh-CN"/>
              </w:rPr>
              <w:t>3</w:t>
            </w:r>
            <w:r>
              <w:rPr>
                <w:b/>
                <w:color w:val="auto"/>
                <w:szCs w:val="21"/>
                <w:highlight w:val="none"/>
              </w:rPr>
              <w:t>-</w:t>
            </w:r>
            <w:r>
              <w:rPr>
                <w:rFonts w:hint="eastAsia"/>
                <w:b/>
                <w:color w:val="auto"/>
                <w:szCs w:val="21"/>
                <w:highlight w:val="none"/>
                <w:lang w:val="en-US" w:eastAsia="zh-CN"/>
              </w:rPr>
              <w:t>6</w:t>
            </w:r>
            <w:r>
              <w:rPr>
                <w:b/>
                <w:color w:val="auto"/>
                <w:szCs w:val="21"/>
                <w:highlight w:val="none"/>
              </w:rPr>
              <w:t xml:space="preserve"> </w:t>
            </w:r>
            <w:r>
              <w:rPr>
                <w:rFonts w:hint="eastAsia"/>
                <w:b/>
                <w:color w:val="auto"/>
                <w:szCs w:val="21"/>
                <w:highlight w:val="none"/>
                <w:lang w:val="en-US" w:eastAsia="zh-CN"/>
              </w:rPr>
              <w:t xml:space="preserve"> </w:t>
            </w:r>
            <w:r>
              <w:rPr>
                <w:rFonts w:hint="default" w:ascii="Times New Roman" w:hAnsi="Times New Roman" w:eastAsia="宋体" w:cs="Times New Roman"/>
                <w:b/>
                <w:color w:val="auto"/>
                <w:highlight w:val="none"/>
                <w:lang w:val="zh-CN" w:eastAsia="zh-CN"/>
              </w:rPr>
              <w:t>大气污染物综合排放标准</w:t>
            </w:r>
            <w:r>
              <w:rPr>
                <w:rFonts w:hint="default" w:ascii="Times New Roman" w:hAnsi="Times New Roman" w:eastAsia="宋体" w:cs="Times New Roman"/>
                <w:b/>
                <w:color w:val="auto"/>
                <w:highlight w:val="none"/>
              </w:rPr>
              <w:t xml:space="preserve">  </w:t>
            </w:r>
            <w:r>
              <w:rPr>
                <w:rFonts w:hint="default" w:ascii="Times New Roman" w:hAnsi="Times New Roman" w:cs="Times New Roman"/>
                <w:b/>
                <w:color w:val="auto"/>
                <w:highlight w:val="none"/>
              </w:rPr>
              <w:t>单位：mg/m</w:t>
            </w:r>
            <w:r>
              <w:rPr>
                <w:rFonts w:hint="default" w:ascii="Times New Roman" w:hAnsi="Times New Roman" w:cs="Times New Roman"/>
                <w:b/>
                <w:color w:val="auto"/>
                <w:highlight w:val="none"/>
                <w:vertAlign w:val="superscript"/>
              </w:rPr>
              <w:t>3</w:t>
            </w:r>
          </w:p>
          <w:tbl>
            <w:tblPr>
              <w:tblStyle w:val="27"/>
              <w:tblW w:w="8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739"/>
              <w:gridCol w:w="786"/>
              <w:gridCol w:w="794"/>
              <w:gridCol w:w="1519"/>
              <w:gridCol w:w="2393"/>
            </w:tblGrid>
            <w:tr w14:paraId="222D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Merge w:val="restart"/>
                  <w:noWrap w:val="0"/>
                  <w:vAlign w:val="center"/>
                </w:tcPr>
                <w:p w14:paraId="5C4C7597">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w:t>
                  </w:r>
                </w:p>
              </w:tc>
              <w:tc>
                <w:tcPr>
                  <w:tcW w:w="1739" w:type="dxa"/>
                  <w:vMerge w:val="restart"/>
                  <w:noWrap w:val="0"/>
                  <w:vAlign w:val="center"/>
                </w:tcPr>
                <w:p w14:paraId="572906F4">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最高允许排放浓度（mg/m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w:t>
                  </w:r>
                </w:p>
              </w:tc>
              <w:tc>
                <w:tcPr>
                  <w:tcW w:w="1580" w:type="dxa"/>
                  <w:gridSpan w:val="2"/>
                  <w:noWrap w:val="0"/>
                  <w:vAlign w:val="center"/>
                </w:tcPr>
                <w:p w14:paraId="170AF4D4">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最高允许排放速率（kg/h）</w:t>
                  </w:r>
                </w:p>
              </w:tc>
              <w:tc>
                <w:tcPr>
                  <w:tcW w:w="1519" w:type="dxa"/>
                  <w:vMerge w:val="restart"/>
                  <w:noWrap w:val="0"/>
                  <w:vAlign w:val="center"/>
                </w:tcPr>
                <w:p w14:paraId="18233B27">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eastAsia" w:cs="Times New Roman"/>
                      <w:b/>
                      <w:bCs/>
                      <w:color w:val="auto"/>
                      <w:highlight w:val="none"/>
                      <w:lang w:eastAsia="zh-CN"/>
                    </w:rPr>
                    <w:t>无组织</w:t>
                  </w:r>
                  <w:r>
                    <w:rPr>
                      <w:rFonts w:hint="default" w:ascii="Times New Roman" w:hAnsi="Times New Roman" w:cs="Times New Roman"/>
                      <w:b/>
                      <w:bCs/>
                      <w:color w:val="auto"/>
                      <w:highlight w:val="none"/>
                    </w:rPr>
                    <w:t>排放</w:t>
                  </w:r>
                  <w:r>
                    <w:rPr>
                      <w:rFonts w:hint="eastAsia" w:cs="Times New Roman"/>
                      <w:b/>
                      <w:bCs/>
                      <w:color w:val="auto"/>
                      <w:highlight w:val="none"/>
                      <w:lang w:eastAsia="zh-CN"/>
                    </w:rPr>
                    <w:t>监控</w:t>
                  </w:r>
                  <w:r>
                    <w:rPr>
                      <w:rFonts w:hint="default" w:ascii="Times New Roman" w:hAnsi="Times New Roman" w:cs="Times New Roman"/>
                      <w:b/>
                      <w:bCs/>
                      <w:color w:val="auto"/>
                      <w:highlight w:val="none"/>
                    </w:rPr>
                    <w:t>浓度</w:t>
                  </w:r>
                  <w:r>
                    <w:rPr>
                      <w:rFonts w:hint="eastAsia" w:cs="Times New Roman"/>
                      <w:b/>
                      <w:bCs/>
                      <w:color w:val="auto"/>
                      <w:highlight w:val="none"/>
                      <w:lang w:eastAsia="zh-CN"/>
                    </w:rPr>
                    <w:t>限值</w:t>
                  </w:r>
                  <w:r>
                    <w:rPr>
                      <w:rFonts w:hint="default" w:ascii="Times New Roman" w:hAnsi="Times New Roman" w:cs="Times New Roman"/>
                      <w:b/>
                      <w:bCs/>
                      <w:color w:val="auto"/>
                      <w:highlight w:val="none"/>
                    </w:rPr>
                    <w:t>（mg/m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w:t>
                  </w:r>
                </w:p>
              </w:tc>
              <w:tc>
                <w:tcPr>
                  <w:tcW w:w="2393" w:type="dxa"/>
                  <w:vMerge w:val="restart"/>
                  <w:noWrap w:val="0"/>
                  <w:vAlign w:val="center"/>
                </w:tcPr>
                <w:p w14:paraId="176D0CC7">
                  <w:pPr>
                    <w:keepNext w:val="0"/>
                    <w:keepLines w:val="0"/>
                    <w:suppressLineNumbers w:val="0"/>
                    <w:spacing w:before="0" w:beforeAutospacing="0" w:after="0" w:afterAutospacing="0" w:line="110" w:lineRule="atLeast"/>
                    <w:ind w:left="0" w:right="0"/>
                    <w:jc w:val="center"/>
                    <w:textAlignment w:val="baseline"/>
                    <w:rPr>
                      <w:rFonts w:hint="eastAsia" w:cs="Times New Roman"/>
                      <w:b/>
                      <w:bCs/>
                      <w:color w:val="auto"/>
                      <w:highlight w:val="none"/>
                      <w:lang w:eastAsia="zh-CN"/>
                    </w:rPr>
                  </w:pPr>
                  <w:r>
                    <w:rPr>
                      <w:rFonts w:hint="default" w:ascii="Times New Roman" w:eastAsia="宋体" w:cs="Times New Roman"/>
                      <w:b/>
                      <w:bCs/>
                      <w:color w:val="auto"/>
                      <w:sz w:val="21"/>
                      <w:szCs w:val="21"/>
                      <w:highlight w:val="none"/>
                    </w:rPr>
                    <w:t>执行标准</w:t>
                  </w:r>
                </w:p>
              </w:tc>
            </w:tr>
            <w:tr w14:paraId="6648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Merge w:val="continue"/>
                  <w:noWrap w:val="0"/>
                  <w:vAlign w:val="center"/>
                </w:tcPr>
                <w:p w14:paraId="10AA29FC">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p>
              </w:tc>
              <w:tc>
                <w:tcPr>
                  <w:tcW w:w="1739" w:type="dxa"/>
                  <w:vMerge w:val="continue"/>
                  <w:noWrap w:val="0"/>
                  <w:vAlign w:val="center"/>
                </w:tcPr>
                <w:p w14:paraId="4B5A9F13">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p>
              </w:tc>
              <w:tc>
                <w:tcPr>
                  <w:tcW w:w="786" w:type="dxa"/>
                  <w:noWrap w:val="0"/>
                  <w:vAlign w:val="center"/>
                </w:tcPr>
                <w:p w14:paraId="4B0FA647">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排气筒高度m</w:t>
                  </w:r>
                </w:p>
              </w:tc>
              <w:tc>
                <w:tcPr>
                  <w:tcW w:w="794" w:type="dxa"/>
                  <w:noWrap w:val="0"/>
                  <w:vAlign w:val="center"/>
                </w:tcPr>
                <w:p w14:paraId="3C9F7386">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二级</w:t>
                  </w:r>
                </w:p>
              </w:tc>
              <w:tc>
                <w:tcPr>
                  <w:tcW w:w="1519" w:type="dxa"/>
                  <w:vMerge w:val="continue"/>
                  <w:noWrap w:val="0"/>
                  <w:vAlign w:val="center"/>
                </w:tcPr>
                <w:p w14:paraId="485948BA">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p>
              </w:tc>
              <w:tc>
                <w:tcPr>
                  <w:tcW w:w="2393" w:type="dxa"/>
                  <w:vMerge w:val="continue"/>
                  <w:noWrap w:val="0"/>
                  <w:vAlign w:val="center"/>
                </w:tcPr>
                <w:p w14:paraId="00AFC6B1">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p>
              </w:tc>
            </w:tr>
            <w:tr w14:paraId="52BE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149" w:type="dxa"/>
                  <w:vMerge w:val="restart"/>
                  <w:noWrap w:val="0"/>
                  <w:vAlign w:val="center"/>
                </w:tcPr>
                <w:p w14:paraId="03CE8FCF">
                  <w:pPr>
                    <w:keepNext w:val="0"/>
                    <w:keepLines w:val="0"/>
                    <w:suppressLineNumbers w:val="0"/>
                    <w:spacing w:before="0" w:beforeAutospacing="0" w:after="0" w:afterAutospacing="0" w:line="110" w:lineRule="atLeast"/>
                    <w:ind w:left="0" w:leftChars="0" w:right="0" w:rightChars="0"/>
                    <w:jc w:val="center"/>
                    <w:textAlignment w:val="baseline"/>
                    <w:rPr>
                      <w:rFonts w:hint="default" w:ascii="Times New Roman" w:hAnsi="Times New Roman" w:cs="Times New Roman"/>
                      <w:color w:val="auto"/>
                      <w:highlight w:val="none"/>
                    </w:rPr>
                  </w:pPr>
                  <w:r>
                    <w:rPr>
                      <w:rFonts w:hint="eastAsia" w:cs="Times New Roman"/>
                      <w:color w:val="auto"/>
                      <w:highlight w:val="none"/>
                      <w:lang w:val="en-US" w:eastAsia="zh-CN"/>
                    </w:rPr>
                    <w:t>颗粒物</w:t>
                  </w:r>
                </w:p>
              </w:tc>
              <w:tc>
                <w:tcPr>
                  <w:tcW w:w="1739" w:type="dxa"/>
                  <w:vMerge w:val="restart"/>
                  <w:noWrap w:val="0"/>
                  <w:vAlign w:val="center"/>
                </w:tcPr>
                <w:p w14:paraId="581300DB">
                  <w:pPr>
                    <w:keepNext w:val="0"/>
                    <w:keepLines w:val="0"/>
                    <w:suppressLineNumbers w:val="0"/>
                    <w:spacing w:before="0" w:beforeAutospacing="0" w:after="0" w:afterAutospacing="0" w:line="110" w:lineRule="atLeast"/>
                    <w:ind w:left="0" w:leftChars="0" w:right="0" w:rightChars="0"/>
                    <w:jc w:val="center"/>
                    <w:textAlignment w:val="baseline"/>
                    <w:rPr>
                      <w:rFonts w:hint="default" w:ascii="Times New Roman" w:hAnsi="Times New Roman" w:cs="Times New Roman"/>
                      <w:color w:val="auto"/>
                      <w:highlight w:val="none"/>
                      <w:lang w:val="en-US"/>
                    </w:rPr>
                  </w:pPr>
                  <w:r>
                    <w:rPr>
                      <w:rFonts w:hint="eastAsia" w:cs="Times New Roman"/>
                      <w:color w:val="auto"/>
                      <w:highlight w:val="none"/>
                      <w:lang w:val="en-US" w:eastAsia="zh-CN"/>
                    </w:rPr>
                    <w:t>120</w:t>
                  </w:r>
                </w:p>
              </w:tc>
              <w:tc>
                <w:tcPr>
                  <w:tcW w:w="786" w:type="dxa"/>
                  <w:noWrap w:val="0"/>
                  <w:vAlign w:val="center"/>
                </w:tcPr>
                <w:p w14:paraId="29FA198A">
                  <w:pPr>
                    <w:keepNext w:val="0"/>
                    <w:keepLines w:val="0"/>
                    <w:suppressLineNumbers w:val="0"/>
                    <w:spacing w:before="0" w:beforeAutospacing="0" w:after="0" w:afterAutospacing="0" w:line="110" w:lineRule="atLeast"/>
                    <w:ind w:left="0" w:leftChars="0" w:right="0" w:rightChars="0"/>
                    <w:jc w:val="center"/>
                    <w:textAlignment w:val="baseline"/>
                    <w:rPr>
                      <w:rFonts w:hint="default" w:ascii="Times New Roman" w:hAnsi="Times New Roman" w:cs="Times New Roman"/>
                      <w:color w:val="auto"/>
                      <w:highlight w:val="none"/>
                      <w:lang w:val="en-US"/>
                    </w:rPr>
                  </w:pPr>
                  <w:r>
                    <w:rPr>
                      <w:rFonts w:hint="eastAsia" w:cs="Times New Roman"/>
                      <w:color w:val="auto"/>
                      <w:highlight w:val="none"/>
                      <w:lang w:val="en-US" w:eastAsia="zh-CN"/>
                    </w:rPr>
                    <w:t>15.5</w:t>
                  </w:r>
                </w:p>
              </w:tc>
              <w:tc>
                <w:tcPr>
                  <w:tcW w:w="794" w:type="dxa"/>
                  <w:noWrap w:val="0"/>
                  <w:vAlign w:val="center"/>
                </w:tcPr>
                <w:p w14:paraId="1C437A8A">
                  <w:pPr>
                    <w:keepNext w:val="0"/>
                    <w:keepLines w:val="0"/>
                    <w:widowControl/>
                    <w:suppressLineNumbers w:val="0"/>
                    <w:jc w:val="center"/>
                    <w:textAlignment w:val="center"/>
                    <w:rPr>
                      <w:rFonts w:hint="default" w:ascii="Times New Roman" w:hAnsi="Times New Roman" w:cs="Times New Roman"/>
                      <w:color w:val="auto"/>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3.74</w:t>
                  </w:r>
                </w:p>
              </w:tc>
              <w:tc>
                <w:tcPr>
                  <w:tcW w:w="1519" w:type="dxa"/>
                  <w:vMerge w:val="restart"/>
                  <w:noWrap w:val="0"/>
                  <w:vAlign w:val="center"/>
                </w:tcPr>
                <w:p w14:paraId="6E3E49EC">
                  <w:pPr>
                    <w:keepNext w:val="0"/>
                    <w:keepLines w:val="0"/>
                    <w:suppressLineNumbers w:val="0"/>
                    <w:spacing w:before="0" w:beforeAutospacing="0" w:after="0" w:afterAutospacing="0" w:line="110" w:lineRule="atLeast"/>
                    <w:ind w:left="0" w:leftChars="0" w:right="0" w:rightChars="0"/>
                    <w:jc w:val="center"/>
                    <w:textAlignment w:val="baseline"/>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w:t>
                  </w:r>
                </w:p>
              </w:tc>
              <w:tc>
                <w:tcPr>
                  <w:tcW w:w="2393" w:type="dxa"/>
                  <w:vMerge w:val="restart"/>
                  <w:noWrap w:val="0"/>
                  <w:vAlign w:val="center"/>
                </w:tcPr>
                <w:p w14:paraId="0796BFB0">
                  <w:pPr>
                    <w:keepNext w:val="0"/>
                    <w:keepLines w:val="0"/>
                    <w:suppressLineNumbers w:val="0"/>
                    <w:spacing w:before="0" w:beforeAutospacing="0" w:after="0" w:afterAutospacing="0" w:line="110" w:lineRule="atLeast"/>
                    <w:ind w:left="0" w:right="0"/>
                    <w:jc w:val="center"/>
                    <w:textAlignment w:val="baseline"/>
                    <w:rPr>
                      <w:rFonts w:hint="eastAsia" w:cs="Times New Roman"/>
                      <w:color w:val="auto"/>
                      <w:highlight w:val="none"/>
                      <w:lang w:val="en-US" w:eastAsia="zh-CN"/>
                    </w:rPr>
                  </w:pPr>
                  <w:r>
                    <w:rPr>
                      <w:rFonts w:hint="default" w:ascii="Times New Roman" w:eastAsia="宋体" w:cs="Times New Roman"/>
                      <w:color w:val="auto"/>
                      <w:sz w:val="21"/>
                      <w:szCs w:val="21"/>
                      <w:highlight w:val="none"/>
                    </w:rPr>
                    <w:t>《大气污染物综合排放标准》（GB16297-1996）表2中二级标准</w:t>
                  </w:r>
                </w:p>
              </w:tc>
            </w:tr>
            <w:tr w14:paraId="1099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149" w:type="dxa"/>
                  <w:vMerge w:val="continue"/>
                  <w:noWrap w:val="0"/>
                  <w:vAlign w:val="center"/>
                </w:tcPr>
                <w:p w14:paraId="006CB0DA">
                  <w:pPr>
                    <w:keepNext w:val="0"/>
                    <w:keepLines w:val="0"/>
                    <w:suppressLineNumbers w:val="0"/>
                    <w:spacing w:before="0" w:beforeAutospacing="0" w:after="0" w:afterAutospacing="0" w:line="110" w:lineRule="atLeast"/>
                    <w:ind w:left="0" w:leftChars="0" w:right="0" w:rightChars="0"/>
                    <w:jc w:val="center"/>
                    <w:textAlignment w:val="baseline"/>
                    <w:rPr>
                      <w:color w:val="auto"/>
                      <w:highlight w:val="none"/>
                    </w:rPr>
                  </w:pPr>
                </w:p>
              </w:tc>
              <w:tc>
                <w:tcPr>
                  <w:tcW w:w="1739" w:type="dxa"/>
                  <w:vMerge w:val="continue"/>
                  <w:noWrap w:val="0"/>
                  <w:vAlign w:val="center"/>
                </w:tcPr>
                <w:p w14:paraId="171D2E52">
                  <w:pPr>
                    <w:keepNext w:val="0"/>
                    <w:keepLines w:val="0"/>
                    <w:suppressLineNumbers w:val="0"/>
                    <w:spacing w:before="0" w:beforeAutospacing="0" w:after="0" w:afterAutospacing="0" w:line="110" w:lineRule="atLeast"/>
                    <w:ind w:left="0" w:leftChars="0" w:right="0" w:rightChars="0"/>
                    <w:jc w:val="center"/>
                    <w:textAlignment w:val="baseline"/>
                    <w:rPr>
                      <w:color w:val="auto"/>
                      <w:highlight w:val="none"/>
                    </w:rPr>
                  </w:pPr>
                </w:p>
              </w:tc>
              <w:tc>
                <w:tcPr>
                  <w:tcW w:w="786" w:type="dxa"/>
                  <w:noWrap w:val="0"/>
                  <w:vAlign w:val="center"/>
                </w:tcPr>
                <w:p w14:paraId="6E744247">
                  <w:pPr>
                    <w:keepNext w:val="0"/>
                    <w:keepLines w:val="0"/>
                    <w:suppressLineNumbers w:val="0"/>
                    <w:spacing w:before="0" w:beforeAutospacing="0" w:after="0" w:afterAutospacing="0" w:line="110" w:lineRule="atLeast"/>
                    <w:ind w:left="0" w:leftChars="0" w:right="0" w:rightChars="0"/>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16</w:t>
                  </w:r>
                </w:p>
              </w:tc>
              <w:tc>
                <w:tcPr>
                  <w:tcW w:w="794" w:type="dxa"/>
                  <w:noWrap w:val="0"/>
                  <w:vAlign w:val="center"/>
                </w:tcPr>
                <w:p w14:paraId="47ECE9E0">
                  <w:pPr>
                    <w:keepNext w:val="0"/>
                    <w:keepLines w:val="0"/>
                    <w:widowControl/>
                    <w:suppressLineNumbers w:val="0"/>
                    <w:jc w:val="center"/>
                    <w:textAlignment w:val="center"/>
                    <w:rPr>
                      <w:rFonts w:hint="eastAsia"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3.98</w:t>
                  </w:r>
                </w:p>
              </w:tc>
              <w:tc>
                <w:tcPr>
                  <w:tcW w:w="1519" w:type="dxa"/>
                  <w:vMerge w:val="continue"/>
                  <w:noWrap w:val="0"/>
                  <w:vAlign w:val="center"/>
                </w:tcPr>
                <w:p w14:paraId="18B4E4D5">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2393" w:type="dxa"/>
                  <w:vMerge w:val="continue"/>
                  <w:noWrap w:val="0"/>
                  <w:vAlign w:val="center"/>
                </w:tcPr>
                <w:p w14:paraId="65870327">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r>
            <w:tr w14:paraId="588D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149" w:type="dxa"/>
                  <w:vMerge w:val="continue"/>
                  <w:noWrap w:val="0"/>
                  <w:vAlign w:val="center"/>
                </w:tcPr>
                <w:p w14:paraId="65BE29DA">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1739" w:type="dxa"/>
                  <w:vMerge w:val="continue"/>
                  <w:noWrap w:val="0"/>
                  <w:vAlign w:val="center"/>
                </w:tcPr>
                <w:p w14:paraId="5735291F">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786" w:type="dxa"/>
                  <w:noWrap w:val="0"/>
                  <w:vAlign w:val="center"/>
                </w:tcPr>
                <w:p w14:paraId="3B68C656">
                  <w:pPr>
                    <w:keepNext w:val="0"/>
                    <w:keepLines w:val="0"/>
                    <w:suppressLineNumbers w:val="0"/>
                    <w:spacing w:before="0" w:beforeAutospacing="0" w:after="0" w:afterAutospacing="0" w:line="110" w:lineRule="atLeast"/>
                    <w:ind w:left="0" w:leftChars="0" w:right="0" w:rightChars="0"/>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20</w:t>
                  </w:r>
                </w:p>
              </w:tc>
              <w:tc>
                <w:tcPr>
                  <w:tcW w:w="794" w:type="dxa"/>
                  <w:noWrap w:val="0"/>
                  <w:vAlign w:val="center"/>
                </w:tcPr>
                <w:p w14:paraId="21B12591">
                  <w:pPr>
                    <w:keepNext w:val="0"/>
                    <w:keepLines w:val="0"/>
                    <w:widowControl/>
                    <w:suppressLineNumbers w:val="0"/>
                    <w:jc w:val="center"/>
                    <w:textAlignment w:val="center"/>
                    <w:rPr>
                      <w:rFonts w:hint="eastAsia"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5.9</w:t>
                  </w:r>
                </w:p>
              </w:tc>
              <w:tc>
                <w:tcPr>
                  <w:tcW w:w="1519" w:type="dxa"/>
                  <w:vMerge w:val="continue"/>
                  <w:noWrap w:val="0"/>
                  <w:vAlign w:val="center"/>
                </w:tcPr>
                <w:p w14:paraId="46B7E0E3">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2393" w:type="dxa"/>
                  <w:vMerge w:val="continue"/>
                  <w:noWrap w:val="0"/>
                  <w:vAlign w:val="center"/>
                </w:tcPr>
                <w:p w14:paraId="6D9C0DA3">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r>
            <w:tr w14:paraId="292D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149" w:type="dxa"/>
                  <w:vMerge w:val="continue"/>
                  <w:noWrap w:val="0"/>
                  <w:vAlign w:val="center"/>
                </w:tcPr>
                <w:p w14:paraId="30B50113">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1739" w:type="dxa"/>
                  <w:vMerge w:val="continue"/>
                  <w:noWrap w:val="0"/>
                  <w:vAlign w:val="center"/>
                </w:tcPr>
                <w:p w14:paraId="7C10B6B2">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786" w:type="dxa"/>
                  <w:noWrap w:val="0"/>
                  <w:vAlign w:val="center"/>
                </w:tcPr>
                <w:p w14:paraId="3DDC32D4">
                  <w:pPr>
                    <w:keepNext w:val="0"/>
                    <w:keepLines w:val="0"/>
                    <w:suppressLineNumbers w:val="0"/>
                    <w:spacing w:before="0" w:beforeAutospacing="0" w:after="0" w:afterAutospacing="0" w:line="110" w:lineRule="atLeast"/>
                    <w:ind w:left="0" w:leftChars="0" w:right="0" w:rightChars="0"/>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20.5</w:t>
                  </w:r>
                </w:p>
              </w:tc>
              <w:tc>
                <w:tcPr>
                  <w:tcW w:w="794" w:type="dxa"/>
                  <w:noWrap w:val="0"/>
                  <w:vAlign w:val="center"/>
                </w:tcPr>
                <w:p w14:paraId="58756BF5">
                  <w:pPr>
                    <w:keepNext w:val="0"/>
                    <w:keepLines w:val="0"/>
                    <w:widowControl/>
                    <w:suppressLineNumbers w:val="0"/>
                    <w:jc w:val="center"/>
                    <w:textAlignment w:val="center"/>
                    <w:rPr>
                      <w:rFonts w:hint="eastAsia"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6.755</w:t>
                  </w:r>
                </w:p>
              </w:tc>
              <w:tc>
                <w:tcPr>
                  <w:tcW w:w="1519" w:type="dxa"/>
                  <w:vMerge w:val="continue"/>
                  <w:noWrap w:val="0"/>
                  <w:vAlign w:val="center"/>
                </w:tcPr>
                <w:p w14:paraId="27936E37">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2393" w:type="dxa"/>
                  <w:vMerge w:val="continue"/>
                  <w:noWrap w:val="0"/>
                  <w:vAlign w:val="center"/>
                </w:tcPr>
                <w:p w14:paraId="49E46FE9">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r>
            <w:tr w14:paraId="6F8B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149" w:type="dxa"/>
                  <w:vMerge w:val="continue"/>
                  <w:noWrap w:val="0"/>
                  <w:vAlign w:val="center"/>
                </w:tcPr>
                <w:p w14:paraId="470E76B7">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1739" w:type="dxa"/>
                  <w:vMerge w:val="continue"/>
                  <w:noWrap w:val="0"/>
                  <w:vAlign w:val="center"/>
                </w:tcPr>
                <w:p w14:paraId="6D037DE1">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786" w:type="dxa"/>
                  <w:noWrap w:val="0"/>
                  <w:vAlign w:val="center"/>
                </w:tcPr>
                <w:p w14:paraId="7B09F916">
                  <w:pPr>
                    <w:keepNext w:val="0"/>
                    <w:keepLines w:val="0"/>
                    <w:suppressLineNumbers w:val="0"/>
                    <w:spacing w:before="0" w:beforeAutospacing="0" w:after="0" w:afterAutospacing="0" w:line="110" w:lineRule="atLeast"/>
                    <w:ind w:left="0" w:leftChars="0" w:right="0" w:rightChars="0"/>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26.5</w:t>
                  </w:r>
                </w:p>
              </w:tc>
              <w:tc>
                <w:tcPr>
                  <w:tcW w:w="794" w:type="dxa"/>
                  <w:noWrap w:val="0"/>
                  <w:vAlign w:val="center"/>
                </w:tcPr>
                <w:p w14:paraId="4DBA664E">
                  <w:pPr>
                    <w:keepNext w:val="0"/>
                    <w:keepLines w:val="0"/>
                    <w:widowControl/>
                    <w:suppressLineNumbers w:val="0"/>
                    <w:jc w:val="center"/>
                    <w:textAlignment w:val="center"/>
                    <w:rPr>
                      <w:rFonts w:hint="eastAsia"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17.015</w:t>
                  </w:r>
                </w:p>
              </w:tc>
              <w:tc>
                <w:tcPr>
                  <w:tcW w:w="1519" w:type="dxa"/>
                  <w:vMerge w:val="continue"/>
                  <w:noWrap w:val="0"/>
                  <w:vAlign w:val="center"/>
                </w:tcPr>
                <w:p w14:paraId="0191AED1">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2393" w:type="dxa"/>
                  <w:vMerge w:val="continue"/>
                  <w:noWrap w:val="0"/>
                  <w:vAlign w:val="center"/>
                </w:tcPr>
                <w:p w14:paraId="04EA9631">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r>
            <w:tr w14:paraId="7062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149" w:type="dxa"/>
                  <w:vMerge w:val="continue"/>
                  <w:noWrap w:val="0"/>
                  <w:vAlign w:val="center"/>
                </w:tcPr>
                <w:p w14:paraId="72C20B6B">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1739" w:type="dxa"/>
                  <w:vMerge w:val="continue"/>
                  <w:noWrap w:val="0"/>
                  <w:vAlign w:val="center"/>
                </w:tcPr>
                <w:p w14:paraId="171737B7">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786" w:type="dxa"/>
                  <w:noWrap w:val="0"/>
                  <w:vAlign w:val="center"/>
                </w:tcPr>
                <w:p w14:paraId="14E18744">
                  <w:pPr>
                    <w:keepNext w:val="0"/>
                    <w:keepLines w:val="0"/>
                    <w:suppressLineNumbers w:val="0"/>
                    <w:spacing w:before="0" w:beforeAutospacing="0" w:after="0" w:afterAutospacing="0" w:line="110" w:lineRule="atLeast"/>
                    <w:ind w:left="0" w:leftChars="0" w:right="0" w:rightChars="0"/>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32.5</w:t>
                  </w:r>
                </w:p>
              </w:tc>
              <w:tc>
                <w:tcPr>
                  <w:tcW w:w="794" w:type="dxa"/>
                  <w:noWrap w:val="0"/>
                  <w:vAlign w:val="center"/>
                </w:tcPr>
                <w:p w14:paraId="68A14B94">
                  <w:pPr>
                    <w:keepNext w:val="0"/>
                    <w:keepLines w:val="0"/>
                    <w:widowControl/>
                    <w:suppressLineNumbers w:val="0"/>
                    <w:jc w:val="center"/>
                    <w:textAlignment w:val="center"/>
                    <w:rPr>
                      <w:rFonts w:hint="eastAsia"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27</w:t>
                  </w:r>
                </w:p>
              </w:tc>
              <w:tc>
                <w:tcPr>
                  <w:tcW w:w="1519" w:type="dxa"/>
                  <w:vMerge w:val="continue"/>
                  <w:noWrap w:val="0"/>
                  <w:vAlign w:val="center"/>
                </w:tcPr>
                <w:p w14:paraId="5E5A5985">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2393" w:type="dxa"/>
                  <w:vMerge w:val="continue"/>
                  <w:noWrap w:val="0"/>
                  <w:vAlign w:val="center"/>
                </w:tcPr>
                <w:p w14:paraId="4D9F7950">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r>
            <w:tr w14:paraId="7611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149" w:type="dxa"/>
                  <w:vMerge w:val="continue"/>
                  <w:noWrap w:val="0"/>
                  <w:vAlign w:val="center"/>
                </w:tcPr>
                <w:p w14:paraId="504A8FDA">
                  <w:pPr>
                    <w:keepNext w:val="0"/>
                    <w:keepLines w:val="0"/>
                    <w:suppressLineNumbers w:val="0"/>
                    <w:spacing w:before="0" w:beforeAutospacing="0" w:after="0" w:afterAutospacing="0" w:line="110" w:lineRule="atLeast"/>
                    <w:ind w:left="0" w:leftChars="0" w:right="0" w:rightChars="0"/>
                    <w:jc w:val="center"/>
                    <w:textAlignment w:val="baseline"/>
                    <w:rPr>
                      <w:color w:val="auto"/>
                      <w:highlight w:val="none"/>
                    </w:rPr>
                  </w:pPr>
                </w:p>
              </w:tc>
              <w:tc>
                <w:tcPr>
                  <w:tcW w:w="1739" w:type="dxa"/>
                  <w:vMerge w:val="continue"/>
                  <w:noWrap w:val="0"/>
                  <w:vAlign w:val="center"/>
                </w:tcPr>
                <w:p w14:paraId="70EA6095">
                  <w:pPr>
                    <w:keepNext w:val="0"/>
                    <w:keepLines w:val="0"/>
                    <w:suppressLineNumbers w:val="0"/>
                    <w:spacing w:before="0" w:beforeAutospacing="0" w:after="0" w:afterAutospacing="0" w:line="110" w:lineRule="atLeast"/>
                    <w:ind w:left="0" w:leftChars="0" w:right="0" w:rightChars="0"/>
                    <w:jc w:val="center"/>
                    <w:textAlignment w:val="baseline"/>
                    <w:rPr>
                      <w:color w:val="auto"/>
                      <w:highlight w:val="none"/>
                    </w:rPr>
                  </w:pPr>
                </w:p>
              </w:tc>
              <w:tc>
                <w:tcPr>
                  <w:tcW w:w="786" w:type="dxa"/>
                  <w:noWrap w:val="0"/>
                  <w:vAlign w:val="center"/>
                </w:tcPr>
                <w:p w14:paraId="78CCCF8C">
                  <w:pPr>
                    <w:keepNext w:val="0"/>
                    <w:keepLines w:val="0"/>
                    <w:suppressLineNumbers w:val="0"/>
                    <w:spacing w:before="0" w:beforeAutospacing="0" w:after="0" w:afterAutospacing="0" w:line="110" w:lineRule="atLeast"/>
                    <w:ind w:left="0" w:leftChars="0" w:right="0" w:rightChars="0"/>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35</w:t>
                  </w:r>
                </w:p>
              </w:tc>
              <w:tc>
                <w:tcPr>
                  <w:tcW w:w="794" w:type="dxa"/>
                  <w:noWrap w:val="0"/>
                  <w:vAlign w:val="center"/>
                </w:tcPr>
                <w:p w14:paraId="492FE62F">
                  <w:pPr>
                    <w:keepNext w:val="0"/>
                    <w:keepLines w:val="0"/>
                    <w:widowControl/>
                    <w:suppressLineNumbers w:val="0"/>
                    <w:jc w:val="center"/>
                    <w:textAlignment w:val="center"/>
                    <w:rPr>
                      <w:rFonts w:hint="eastAsia"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31</w:t>
                  </w:r>
                </w:p>
              </w:tc>
              <w:tc>
                <w:tcPr>
                  <w:tcW w:w="1519" w:type="dxa"/>
                  <w:vMerge w:val="continue"/>
                  <w:noWrap w:val="0"/>
                  <w:vAlign w:val="center"/>
                </w:tcPr>
                <w:p w14:paraId="26A0E764">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2393" w:type="dxa"/>
                  <w:vMerge w:val="continue"/>
                  <w:noWrap w:val="0"/>
                  <w:vAlign w:val="center"/>
                </w:tcPr>
                <w:p w14:paraId="73620FA3">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r>
            <w:tr w14:paraId="1C01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149" w:type="dxa"/>
                  <w:vMerge w:val="continue"/>
                  <w:noWrap w:val="0"/>
                  <w:vAlign w:val="center"/>
                </w:tcPr>
                <w:p w14:paraId="7E54813B">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1739" w:type="dxa"/>
                  <w:vMerge w:val="continue"/>
                  <w:noWrap w:val="0"/>
                  <w:vAlign w:val="center"/>
                </w:tcPr>
                <w:p w14:paraId="17BE3E30">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786" w:type="dxa"/>
                  <w:noWrap w:val="0"/>
                  <w:vAlign w:val="center"/>
                </w:tcPr>
                <w:p w14:paraId="73F73B98">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r>
                    <w:rPr>
                      <w:rFonts w:hint="eastAsia" w:cs="Times New Roman"/>
                      <w:color w:val="auto"/>
                      <w:highlight w:val="none"/>
                      <w:lang w:val="en-US" w:eastAsia="zh-CN"/>
                    </w:rPr>
                    <w:t>36</w:t>
                  </w:r>
                </w:p>
              </w:tc>
              <w:tc>
                <w:tcPr>
                  <w:tcW w:w="794" w:type="dxa"/>
                  <w:noWrap w:val="0"/>
                  <w:vAlign w:val="center"/>
                </w:tcPr>
                <w:p w14:paraId="377E9EED">
                  <w:pPr>
                    <w:keepNext w:val="0"/>
                    <w:keepLines w:val="0"/>
                    <w:widowControl/>
                    <w:suppressLineNumbers w:val="0"/>
                    <w:jc w:val="center"/>
                    <w:textAlignment w:val="center"/>
                    <w:rPr>
                      <w:rFonts w:hint="eastAsia"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32.6</w:t>
                  </w:r>
                </w:p>
              </w:tc>
              <w:tc>
                <w:tcPr>
                  <w:tcW w:w="1519" w:type="dxa"/>
                  <w:vMerge w:val="continue"/>
                  <w:noWrap w:val="0"/>
                  <w:vAlign w:val="center"/>
                </w:tcPr>
                <w:p w14:paraId="1CBE8BF4">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c>
                <w:tcPr>
                  <w:tcW w:w="2393" w:type="dxa"/>
                  <w:vMerge w:val="continue"/>
                  <w:noWrap w:val="0"/>
                  <w:vAlign w:val="center"/>
                </w:tcPr>
                <w:p w14:paraId="73682C88">
                  <w:pPr>
                    <w:keepNext w:val="0"/>
                    <w:keepLines w:val="0"/>
                    <w:suppressLineNumbers w:val="0"/>
                    <w:spacing w:before="0" w:beforeAutospacing="0" w:after="0" w:afterAutospacing="0" w:line="110" w:lineRule="atLeast"/>
                    <w:ind w:left="0" w:leftChars="0" w:right="0" w:rightChars="0"/>
                    <w:jc w:val="center"/>
                    <w:textAlignment w:val="baseline"/>
                    <w:rPr>
                      <w:rFonts w:hint="eastAsia" w:cs="Times New Roman"/>
                      <w:color w:val="auto"/>
                      <w:highlight w:val="none"/>
                      <w:lang w:val="en-US" w:eastAsia="zh-CN"/>
                    </w:rPr>
                  </w:pPr>
                </w:p>
              </w:tc>
            </w:tr>
          </w:tbl>
          <w:p w14:paraId="15FB537E">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outlineLvl w:val="9"/>
              <w:rPr>
                <w:rFonts w:hint="eastAsia" w:eastAsia="宋体" w:cs="Times New Roman"/>
                <w:color w:val="auto"/>
                <w:sz w:val="24"/>
                <w:highlight w:val="none"/>
                <w:lang w:val="en-US" w:eastAsia="zh-CN"/>
              </w:rPr>
            </w:pPr>
            <w:r>
              <w:rPr>
                <w:rFonts w:hint="eastAsia" w:eastAsia="宋体" w:cs="Times New Roman"/>
                <w:color w:val="auto"/>
                <w:sz w:val="24"/>
                <w:highlight w:val="none"/>
                <w:lang w:val="en-US" w:eastAsia="zh-CN"/>
              </w:rPr>
              <w:t>②</w:t>
            </w:r>
            <w:r>
              <w:rPr>
                <w:rFonts w:hint="eastAsia" w:ascii="Times New Roman" w:hAnsi="Times New Roman" w:eastAsia="宋体" w:cs="Times New Roman"/>
                <w:color w:val="auto"/>
                <w:sz w:val="24"/>
                <w:highlight w:val="none"/>
                <w:lang w:eastAsia="zh-CN"/>
              </w:rPr>
              <w:t>烘干炉废气</w:t>
            </w:r>
          </w:p>
          <w:p w14:paraId="63FA0F0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烘干炉尾气</w:t>
            </w:r>
            <w:r>
              <w:rPr>
                <w:rFonts w:hint="default" w:ascii="Times New Roman" w:hAnsi="Times New Roman" w:eastAsia="宋体" w:cs="Times New Roman"/>
                <w:color w:val="auto"/>
                <w:sz w:val="24"/>
                <w:highlight w:val="none"/>
              </w:rPr>
              <w:t>执行《工业炉窑大气污染物排放标准》（GB9078-1996）中标准限值</w:t>
            </w:r>
            <w:r>
              <w:rPr>
                <w:rFonts w:hint="eastAsia" w:eastAsia="宋体" w:cs="Times New Roman"/>
                <w:color w:val="auto"/>
                <w:sz w:val="24"/>
                <w:highlight w:val="none"/>
                <w:lang w:eastAsia="zh-CN"/>
              </w:rPr>
              <w:t>及</w:t>
            </w:r>
            <w:r>
              <w:rPr>
                <w:rFonts w:hint="default" w:ascii="Times New Roman" w:hAnsi="Times New Roman" w:eastAsia="宋体" w:cs="Times New Roman"/>
                <w:color w:val="auto"/>
                <w:sz w:val="24"/>
                <w:szCs w:val="24"/>
                <w:highlight w:val="none"/>
                <w:shd w:val="clear" w:color="auto" w:fill="auto"/>
                <w:lang w:val="zh-CN" w:eastAsia="zh-CN"/>
              </w:rPr>
              <w:t>《大气污染物综合排放标准》（GB16297-1996）表2中二级标准</w:t>
            </w:r>
            <w:r>
              <w:rPr>
                <w:rFonts w:hint="default" w:ascii="Times New Roman" w:hAnsi="Times New Roman" w:eastAsia="宋体" w:cs="Times New Roman"/>
                <w:color w:val="auto"/>
                <w:sz w:val="24"/>
                <w:highlight w:val="none"/>
              </w:rPr>
              <w:t>，标准值见表</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14:paraId="32772A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1"/>
                <w:szCs w:val="21"/>
                <w:highlight w:val="none"/>
              </w:rPr>
            </w:pPr>
          </w:p>
          <w:p w14:paraId="363570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1"/>
                <w:szCs w:val="21"/>
                <w:highlight w:val="none"/>
              </w:rPr>
            </w:pPr>
          </w:p>
          <w:p w14:paraId="2122C8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1"/>
                <w:szCs w:val="21"/>
                <w:highlight w:val="none"/>
              </w:rPr>
            </w:pPr>
          </w:p>
          <w:p w14:paraId="5E597C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1"/>
                <w:szCs w:val="21"/>
                <w:highlight w:val="none"/>
              </w:rPr>
            </w:pPr>
          </w:p>
          <w:p w14:paraId="45639E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1"/>
                <w:szCs w:val="21"/>
                <w:highlight w:val="none"/>
              </w:rPr>
            </w:pPr>
          </w:p>
          <w:p w14:paraId="0F29ED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1"/>
                <w:szCs w:val="21"/>
                <w:highlight w:val="none"/>
              </w:rPr>
            </w:pPr>
          </w:p>
          <w:p w14:paraId="2F2699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lang w:val="en-US" w:eastAsia="zh-CN"/>
              </w:rPr>
              <w:t>-7</w:t>
            </w:r>
            <w:r>
              <w:rPr>
                <w:rFonts w:hint="default" w:ascii="Times New Roman" w:hAnsi="Times New Roman" w:eastAsia="宋体" w:cs="Times New Roman"/>
                <w:b/>
                <w:color w:val="auto"/>
                <w:sz w:val="21"/>
                <w:szCs w:val="21"/>
                <w:highlight w:val="none"/>
              </w:rPr>
              <w:t xml:space="preserve">  工业炉窑大气污染物排放标准</w:t>
            </w:r>
          </w:p>
          <w:tbl>
            <w:tblPr>
              <w:tblStyle w:val="27"/>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631"/>
              <w:gridCol w:w="1084"/>
              <w:gridCol w:w="1195"/>
              <w:gridCol w:w="1302"/>
              <w:gridCol w:w="1333"/>
            </w:tblGrid>
            <w:tr w14:paraId="353D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38" w:type="dxa"/>
                  <w:vMerge w:val="restart"/>
                  <w:noWrap w:val="0"/>
                  <w:vAlign w:val="center"/>
                </w:tcPr>
                <w:p w14:paraId="52E795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标准名称</w:t>
                  </w:r>
                </w:p>
              </w:tc>
              <w:tc>
                <w:tcPr>
                  <w:tcW w:w="1631" w:type="dxa"/>
                  <w:vMerge w:val="restart"/>
                  <w:noWrap w:val="0"/>
                  <w:vAlign w:val="center"/>
                </w:tcPr>
                <w:p w14:paraId="709ED9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炉窑类别</w:t>
                  </w:r>
                </w:p>
              </w:tc>
              <w:tc>
                <w:tcPr>
                  <w:tcW w:w="1084" w:type="dxa"/>
                  <w:vMerge w:val="restart"/>
                  <w:noWrap w:val="0"/>
                  <w:vAlign w:val="center"/>
                </w:tcPr>
                <w:p w14:paraId="3CC34C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标准级别</w:t>
                  </w:r>
                </w:p>
              </w:tc>
              <w:tc>
                <w:tcPr>
                  <w:tcW w:w="3830" w:type="dxa"/>
                  <w:gridSpan w:val="3"/>
                  <w:noWrap w:val="0"/>
                  <w:vAlign w:val="center"/>
                </w:tcPr>
                <w:p w14:paraId="5044F4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排放限值</w:t>
                  </w:r>
                </w:p>
              </w:tc>
            </w:tr>
            <w:tr w14:paraId="68BD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838" w:type="dxa"/>
                  <w:vMerge w:val="continue"/>
                  <w:noWrap w:val="0"/>
                  <w:vAlign w:val="top"/>
                </w:tcPr>
                <w:p w14:paraId="1E353C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p>
              </w:tc>
              <w:tc>
                <w:tcPr>
                  <w:tcW w:w="1631" w:type="dxa"/>
                  <w:vMerge w:val="continue"/>
                  <w:noWrap w:val="0"/>
                  <w:vAlign w:val="top"/>
                </w:tcPr>
                <w:p w14:paraId="725E95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p>
              </w:tc>
              <w:tc>
                <w:tcPr>
                  <w:tcW w:w="1084" w:type="dxa"/>
                  <w:vMerge w:val="continue"/>
                  <w:noWrap w:val="0"/>
                  <w:vAlign w:val="top"/>
                </w:tcPr>
                <w:p w14:paraId="23BC84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p>
              </w:tc>
              <w:tc>
                <w:tcPr>
                  <w:tcW w:w="1195" w:type="dxa"/>
                  <w:noWrap w:val="0"/>
                  <w:vAlign w:val="center"/>
                </w:tcPr>
                <w:p w14:paraId="143FDA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烟</w:t>
                  </w:r>
                  <w:r>
                    <w:rPr>
                      <w:rFonts w:hint="default" w:ascii="Times New Roman" w:hAnsi="Times New Roman" w:eastAsia="宋体" w:cs="Times New Roman"/>
                      <w:color w:val="auto"/>
                      <w:szCs w:val="21"/>
                      <w:highlight w:val="none"/>
                      <w:lang w:eastAsia="zh-CN"/>
                    </w:rPr>
                    <w:t>（粉）</w:t>
                  </w:r>
                  <w:r>
                    <w:rPr>
                      <w:rFonts w:hint="default" w:ascii="Times New Roman" w:hAnsi="Times New Roman" w:eastAsia="宋体" w:cs="Times New Roman"/>
                      <w:color w:val="auto"/>
                      <w:szCs w:val="21"/>
                      <w:highlight w:val="none"/>
                    </w:rPr>
                    <w:t>尘浓度（mg/m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w:t>
                  </w:r>
                </w:p>
              </w:tc>
              <w:tc>
                <w:tcPr>
                  <w:tcW w:w="1302" w:type="dxa"/>
                  <w:noWrap w:val="0"/>
                  <w:vAlign w:val="center"/>
                </w:tcPr>
                <w:p w14:paraId="63D312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二氧化硫</w:t>
                  </w:r>
                </w:p>
                <w:p w14:paraId="5A70AB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（mg/m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w:t>
                  </w:r>
                </w:p>
              </w:tc>
              <w:tc>
                <w:tcPr>
                  <w:tcW w:w="1333" w:type="dxa"/>
                  <w:noWrap w:val="0"/>
                  <w:vAlign w:val="center"/>
                </w:tcPr>
                <w:p w14:paraId="5787F4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烟气黑度</w:t>
                  </w:r>
                </w:p>
                <w:p w14:paraId="1537AA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（林格曼级）</w:t>
                  </w:r>
                </w:p>
              </w:tc>
            </w:tr>
            <w:tr w14:paraId="3EFC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8" w:type="dxa"/>
                  <w:vMerge w:val="restart"/>
                  <w:noWrap w:val="0"/>
                  <w:vAlign w:val="center"/>
                </w:tcPr>
                <w:p w14:paraId="3636E2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工业炉窑大气污染物排放标准（GB9078-1996）</w:t>
                  </w:r>
                </w:p>
              </w:tc>
              <w:tc>
                <w:tcPr>
                  <w:tcW w:w="1631" w:type="dxa"/>
                  <w:noWrap w:val="0"/>
                  <w:vAlign w:val="center"/>
                </w:tcPr>
                <w:p w14:paraId="0BD4D2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干燥炉、窑</w:t>
                  </w:r>
                </w:p>
              </w:tc>
              <w:tc>
                <w:tcPr>
                  <w:tcW w:w="1084" w:type="dxa"/>
                  <w:noWrap w:val="0"/>
                  <w:vAlign w:val="center"/>
                </w:tcPr>
                <w:p w14:paraId="4A3E23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表2、二级</w:t>
                  </w:r>
                </w:p>
              </w:tc>
              <w:tc>
                <w:tcPr>
                  <w:tcW w:w="1195" w:type="dxa"/>
                  <w:noWrap w:val="0"/>
                  <w:vAlign w:val="center"/>
                </w:tcPr>
                <w:p w14:paraId="40E879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w:t>
                  </w:r>
                </w:p>
              </w:tc>
              <w:tc>
                <w:tcPr>
                  <w:tcW w:w="1302" w:type="dxa"/>
                  <w:noWrap w:val="0"/>
                  <w:vAlign w:val="center"/>
                </w:tcPr>
                <w:p w14:paraId="3D1932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333" w:type="dxa"/>
                  <w:noWrap w:val="0"/>
                  <w:vAlign w:val="center"/>
                </w:tcPr>
                <w:p w14:paraId="130A78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r>
            <w:tr w14:paraId="29CD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8" w:type="dxa"/>
                  <w:vMerge w:val="continue"/>
                  <w:noWrap w:val="0"/>
                  <w:vAlign w:val="center"/>
                </w:tcPr>
                <w:p w14:paraId="38CF3E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p>
              </w:tc>
              <w:tc>
                <w:tcPr>
                  <w:tcW w:w="1631" w:type="dxa"/>
                  <w:noWrap w:val="0"/>
                  <w:vAlign w:val="center"/>
                </w:tcPr>
                <w:p w14:paraId="1F9537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燃煤（油）炉窑</w:t>
                  </w:r>
                </w:p>
              </w:tc>
              <w:tc>
                <w:tcPr>
                  <w:tcW w:w="1084" w:type="dxa"/>
                  <w:noWrap w:val="0"/>
                  <w:vAlign w:val="center"/>
                </w:tcPr>
                <w:p w14:paraId="4B3CBF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表4、二级</w:t>
                  </w:r>
                </w:p>
              </w:tc>
              <w:tc>
                <w:tcPr>
                  <w:tcW w:w="1195" w:type="dxa"/>
                  <w:noWrap w:val="0"/>
                  <w:vAlign w:val="center"/>
                </w:tcPr>
                <w:p w14:paraId="614004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302" w:type="dxa"/>
                  <w:noWrap w:val="0"/>
                  <w:vAlign w:val="center"/>
                </w:tcPr>
                <w:p w14:paraId="41B510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850</w:t>
                  </w:r>
                </w:p>
              </w:tc>
              <w:tc>
                <w:tcPr>
                  <w:tcW w:w="1333" w:type="dxa"/>
                  <w:noWrap w:val="0"/>
                  <w:vAlign w:val="center"/>
                </w:tcPr>
                <w:p w14:paraId="71F443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bl>
          <w:p w14:paraId="20C16AF2">
            <w:pPr>
              <w:adjustRightInd w:val="0"/>
              <w:snapToGrid w:val="0"/>
              <w:spacing w:before="156" w:beforeLines="50" w:line="360" w:lineRule="auto"/>
              <w:ind w:firstLine="480" w:firstLineChars="200"/>
              <w:rPr>
                <w:rFonts w:hint="default" w:ascii="Times New Roman" w:hAnsi="Times New Roman" w:eastAsia="宋体" w:cs="Times New Roman"/>
                <w:b/>
                <w:color w:val="auto"/>
                <w:highlight w:val="none"/>
                <w:lang w:val="zh-CN" w:eastAsia="zh-CN"/>
              </w:rPr>
            </w:pPr>
            <w:r>
              <w:rPr>
                <w:rFonts w:hint="eastAsia"/>
                <w:color w:val="auto"/>
                <w:sz w:val="24"/>
                <w:highlight w:val="none"/>
              </w:rPr>
              <w:t>外排的氮氧化物执行《大气污染物综合排放标准》（GB16297-1996）中表2标准（对应排气筒高度的排放速率采用内插法计算）：</w:t>
            </w:r>
          </w:p>
          <w:p w14:paraId="6E21718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highlight w:val="none"/>
              </w:rPr>
            </w:pPr>
            <w:r>
              <w:rPr>
                <w:rFonts w:hint="eastAsia" w:cs="Times New Roman"/>
                <w:b/>
                <w:color w:val="auto"/>
                <w:highlight w:val="none"/>
                <w:lang w:val="zh-CN" w:eastAsia="zh-CN"/>
              </w:rPr>
              <w:t>表</w:t>
            </w:r>
            <w:r>
              <w:rPr>
                <w:rFonts w:hint="eastAsia" w:cs="Times New Roman"/>
                <w:b/>
                <w:color w:val="auto"/>
                <w:highlight w:val="none"/>
                <w:lang w:val="en-US" w:eastAsia="zh-CN"/>
              </w:rPr>
              <w:t xml:space="preserve">3-8  </w:t>
            </w:r>
            <w:r>
              <w:rPr>
                <w:rFonts w:hint="default" w:ascii="Times New Roman" w:hAnsi="Times New Roman" w:eastAsia="宋体" w:cs="Times New Roman"/>
                <w:b/>
                <w:color w:val="auto"/>
                <w:highlight w:val="none"/>
                <w:lang w:val="zh-CN" w:eastAsia="zh-CN"/>
              </w:rPr>
              <w:t>大气污染物综合排放标准</w:t>
            </w:r>
            <w:r>
              <w:rPr>
                <w:rFonts w:hint="default" w:ascii="Times New Roman" w:hAnsi="Times New Roman" w:eastAsia="宋体" w:cs="Times New Roman"/>
                <w:b/>
                <w:color w:val="auto"/>
                <w:highlight w:val="none"/>
              </w:rPr>
              <w:t xml:space="preserve">  </w:t>
            </w:r>
            <w:r>
              <w:rPr>
                <w:rFonts w:hint="default" w:ascii="Times New Roman" w:hAnsi="Times New Roman" w:cs="Times New Roman"/>
                <w:b/>
                <w:color w:val="auto"/>
                <w:highlight w:val="none"/>
              </w:rPr>
              <w:t>单位：mg/m</w:t>
            </w:r>
            <w:r>
              <w:rPr>
                <w:rFonts w:hint="default" w:ascii="Times New Roman" w:hAnsi="Times New Roman" w:cs="Times New Roman"/>
                <w:b/>
                <w:color w:val="auto"/>
                <w:highlight w:val="none"/>
                <w:vertAlign w:val="superscript"/>
              </w:rPr>
              <w:t>3</w:t>
            </w:r>
          </w:p>
          <w:tbl>
            <w:tblPr>
              <w:tblStyle w:val="27"/>
              <w:tblW w:w="8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705"/>
              <w:gridCol w:w="753"/>
              <w:gridCol w:w="961"/>
              <w:gridCol w:w="1485"/>
              <w:gridCol w:w="2361"/>
            </w:tblGrid>
            <w:tr w14:paraId="0503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5" w:type="dxa"/>
                  <w:vMerge w:val="restart"/>
                  <w:noWrap w:val="0"/>
                  <w:vAlign w:val="center"/>
                </w:tcPr>
                <w:p w14:paraId="7C632488">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w:t>
                  </w:r>
                </w:p>
              </w:tc>
              <w:tc>
                <w:tcPr>
                  <w:tcW w:w="1705" w:type="dxa"/>
                  <w:vMerge w:val="restart"/>
                  <w:noWrap w:val="0"/>
                  <w:vAlign w:val="center"/>
                </w:tcPr>
                <w:p w14:paraId="68EEEF02">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最高允许排放浓度（mg/m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w:t>
                  </w:r>
                </w:p>
              </w:tc>
              <w:tc>
                <w:tcPr>
                  <w:tcW w:w="1714" w:type="dxa"/>
                  <w:gridSpan w:val="2"/>
                  <w:noWrap w:val="0"/>
                  <w:vAlign w:val="center"/>
                </w:tcPr>
                <w:p w14:paraId="3F449DB4">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最高允许排放速率（kg/h）</w:t>
                  </w:r>
                </w:p>
              </w:tc>
              <w:tc>
                <w:tcPr>
                  <w:tcW w:w="1485" w:type="dxa"/>
                  <w:vMerge w:val="restart"/>
                  <w:noWrap w:val="0"/>
                  <w:vAlign w:val="center"/>
                </w:tcPr>
                <w:p w14:paraId="0A3298B5">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eastAsia" w:cs="Times New Roman"/>
                      <w:b/>
                      <w:bCs/>
                      <w:color w:val="auto"/>
                      <w:highlight w:val="none"/>
                      <w:lang w:eastAsia="zh-CN"/>
                    </w:rPr>
                    <w:t>无组织</w:t>
                  </w:r>
                  <w:r>
                    <w:rPr>
                      <w:rFonts w:hint="default" w:ascii="Times New Roman" w:hAnsi="Times New Roman" w:cs="Times New Roman"/>
                      <w:b/>
                      <w:bCs/>
                      <w:color w:val="auto"/>
                      <w:highlight w:val="none"/>
                    </w:rPr>
                    <w:t>排放</w:t>
                  </w:r>
                  <w:r>
                    <w:rPr>
                      <w:rFonts w:hint="eastAsia" w:cs="Times New Roman"/>
                      <w:b/>
                      <w:bCs/>
                      <w:color w:val="auto"/>
                      <w:highlight w:val="none"/>
                      <w:lang w:eastAsia="zh-CN"/>
                    </w:rPr>
                    <w:t>监控</w:t>
                  </w:r>
                  <w:r>
                    <w:rPr>
                      <w:rFonts w:hint="default" w:ascii="Times New Roman" w:hAnsi="Times New Roman" w:cs="Times New Roman"/>
                      <w:b/>
                      <w:bCs/>
                      <w:color w:val="auto"/>
                      <w:highlight w:val="none"/>
                    </w:rPr>
                    <w:t>浓度</w:t>
                  </w:r>
                  <w:r>
                    <w:rPr>
                      <w:rFonts w:hint="eastAsia" w:cs="Times New Roman"/>
                      <w:b/>
                      <w:bCs/>
                      <w:color w:val="auto"/>
                      <w:highlight w:val="none"/>
                      <w:lang w:eastAsia="zh-CN"/>
                    </w:rPr>
                    <w:t>限值</w:t>
                  </w:r>
                  <w:r>
                    <w:rPr>
                      <w:rFonts w:hint="default" w:ascii="Times New Roman" w:hAnsi="Times New Roman" w:cs="Times New Roman"/>
                      <w:b/>
                      <w:bCs/>
                      <w:color w:val="auto"/>
                      <w:highlight w:val="none"/>
                    </w:rPr>
                    <w:t>（mg/m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w:t>
                  </w:r>
                </w:p>
              </w:tc>
              <w:tc>
                <w:tcPr>
                  <w:tcW w:w="2361" w:type="dxa"/>
                  <w:vMerge w:val="restart"/>
                  <w:noWrap w:val="0"/>
                  <w:vAlign w:val="center"/>
                </w:tcPr>
                <w:p w14:paraId="191125C1">
                  <w:pPr>
                    <w:keepNext w:val="0"/>
                    <w:keepLines w:val="0"/>
                    <w:suppressLineNumbers w:val="0"/>
                    <w:spacing w:before="0" w:beforeAutospacing="0" w:after="0" w:afterAutospacing="0" w:line="110" w:lineRule="atLeast"/>
                    <w:ind w:left="0" w:right="0"/>
                    <w:jc w:val="center"/>
                    <w:textAlignment w:val="baseline"/>
                    <w:rPr>
                      <w:rFonts w:hint="eastAsia" w:cs="Times New Roman"/>
                      <w:b/>
                      <w:bCs/>
                      <w:color w:val="auto"/>
                      <w:highlight w:val="none"/>
                      <w:lang w:eastAsia="zh-CN"/>
                    </w:rPr>
                  </w:pPr>
                  <w:r>
                    <w:rPr>
                      <w:rFonts w:hint="default" w:ascii="Times New Roman" w:eastAsia="宋体" w:cs="Times New Roman"/>
                      <w:b/>
                      <w:bCs/>
                      <w:color w:val="auto"/>
                      <w:sz w:val="21"/>
                      <w:szCs w:val="21"/>
                      <w:highlight w:val="none"/>
                    </w:rPr>
                    <w:t>执行标准</w:t>
                  </w:r>
                </w:p>
              </w:tc>
            </w:tr>
            <w:tr w14:paraId="24E5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5" w:type="dxa"/>
                  <w:vMerge w:val="continue"/>
                  <w:noWrap w:val="0"/>
                  <w:vAlign w:val="center"/>
                </w:tcPr>
                <w:p w14:paraId="5907931A">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p>
              </w:tc>
              <w:tc>
                <w:tcPr>
                  <w:tcW w:w="1705" w:type="dxa"/>
                  <w:vMerge w:val="continue"/>
                  <w:noWrap w:val="0"/>
                  <w:vAlign w:val="center"/>
                </w:tcPr>
                <w:p w14:paraId="2BCF1E89">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p>
              </w:tc>
              <w:tc>
                <w:tcPr>
                  <w:tcW w:w="753" w:type="dxa"/>
                  <w:noWrap w:val="0"/>
                  <w:vAlign w:val="center"/>
                </w:tcPr>
                <w:p w14:paraId="2181B743">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排气筒高度m</w:t>
                  </w:r>
                </w:p>
              </w:tc>
              <w:tc>
                <w:tcPr>
                  <w:tcW w:w="961" w:type="dxa"/>
                  <w:noWrap w:val="0"/>
                  <w:vAlign w:val="center"/>
                </w:tcPr>
                <w:p w14:paraId="55247271">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二级</w:t>
                  </w:r>
                </w:p>
              </w:tc>
              <w:tc>
                <w:tcPr>
                  <w:tcW w:w="1485" w:type="dxa"/>
                  <w:vMerge w:val="continue"/>
                  <w:noWrap w:val="0"/>
                  <w:vAlign w:val="center"/>
                </w:tcPr>
                <w:p w14:paraId="28CEFBF7">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p>
              </w:tc>
              <w:tc>
                <w:tcPr>
                  <w:tcW w:w="2361" w:type="dxa"/>
                  <w:vMerge w:val="continue"/>
                  <w:noWrap w:val="0"/>
                  <w:vAlign w:val="center"/>
                </w:tcPr>
                <w:p w14:paraId="266E6695">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p>
              </w:tc>
            </w:tr>
            <w:tr w14:paraId="5879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exact"/>
                <w:jc w:val="center"/>
              </w:trPr>
              <w:tc>
                <w:tcPr>
                  <w:tcW w:w="1115" w:type="dxa"/>
                  <w:noWrap w:val="0"/>
                  <w:vAlign w:val="center"/>
                </w:tcPr>
                <w:p w14:paraId="757846CD">
                  <w:pPr>
                    <w:keepNext w:val="0"/>
                    <w:keepLines w:val="0"/>
                    <w:suppressLineNumbers w:val="0"/>
                    <w:spacing w:before="0" w:beforeAutospacing="0" w:after="0" w:afterAutospacing="0" w:line="110" w:lineRule="atLeast"/>
                    <w:ind w:left="0" w:leftChars="0" w:right="0" w:rightChars="0"/>
                    <w:jc w:val="center"/>
                    <w:textAlignment w:val="baseline"/>
                    <w:rPr>
                      <w:rFonts w:hint="default" w:ascii="Times New Roman" w:hAnsi="Times New Roman" w:cs="Times New Roman"/>
                      <w:color w:val="auto"/>
                      <w:highlight w:val="none"/>
                    </w:rPr>
                  </w:pPr>
                  <w:r>
                    <w:rPr>
                      <w:rFonts w:hint="eastAsia" w:cs="Times New Roman"/>
                      <w:color w:val="auto"/>
                      <w:highlight w:val="none"/>
                      <w:lang w:val="en-US" w:eastAsia="zh-CN"/>
                    </w:rPr>
                    <w:t>NOx</w:t>
                  </w:r>
                </w:p>
              </w:tc>
              <w:tc>
                <w:tcPr>
                  <w:tcW w:w="1705" w:type="dxa"/>
                  <w:noWrap w:val="0"/>
                  <w:vAlign w:val="center"/>
                </w:tcPr>
                <w:p w14:paraId="0B4DBCC7">
                  <w:pPr>
                    <w:keepNext w:val="0"/>
                    <w:keepLines w:val="0"/>
                    <w:suppressLineNumbers w:val="0"/>
                    <w:spacing w:before="0" w:beforeAutospacing="0" w:after="0" w:afterAutospacing="0" w:line="110" w:lineRule="atLeast"/>
                    <w:ind w:left="0" w:leftChars="0" w:right="0" w:rightChars="0"/>
                    <w:jc w:val="center"/>
                    <w:textAlignment w:val="baseline"/>
                    <w:rPr>
                      <w:rFonts w:hint="default" w:ascii="Times New Roman" w:hAnsi="Times New Roman" w:cs="Times New Roman"/>
                      <w:color w:val="auto"/>
                      <w:highlight w:val="none"/>
                    </w:rPr>
                  </w:pPr>
                  <w:r>
                    <w:rPr>
                      <w:rFonts w:hint="eastAsia" w:cs="Times New Roman"/>
                      <w:color w:val="auto"/>
                      <w:highlight w:val="none"/>
                      <w:lang w:val="en-US" w:eastAsia="zh-CN"/>
                    </w:rPr>
                    <w:t>240</w:t>
                  </w:r>
                </w:p>
              </w:tc>
              <w:tc>
                <w:tcPr>
                  <w:tcW w:w="753" w:type="dxa"/>
                  <w:noWrap w:val="0"/>
                  <w:vAlign w:val="center"/>
                </w:tcPr>
                <w:p w14:paraId="436429DB">
                  <w:pPr>
                    <w:keepNext w:val="0"/>
                    <w:keepLines w:val="0"/>
                    <w:suppressLineNumbers w:val="0"/>
                    <w:spacing w:before="0" w:beforeAutospacing="0" w:after="0" w:afterAutospacing="0" w:line="110" w:lineRule="atLeast"/>
                    <w:ind w:left="0" w:leftChars="0" w:right="0" w:rightChars="0"/>
                    <w:jc w:val="center"/>
                    <w:textAlignment w:val="baseline"/>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25</w:t>
                  </w:r>
                </w:p>
              </w:tc>
              <w:tc>
                <w:tcPr>
                  <w:tcW w:w="961" w:type="dxa"/>
                  <w:noWrap w:val="0"/>
                  <w:vAlign w:val="center"/>
                </w:tcPr>
                <w:p w14:paraId="5979AFEA">
                  <w:pPr>
                    <w:keepNext w:val="0"/>
                    <w:keepLines w:val="0"/>
                    <w:suppressLineNumbers w:val="0"/>
                    <w:spacing w:before="0" w:beforeAutospacing="0" w:after="0" w:afterAutospacing="0" w:line="110" w:lineRule="atLeast"/>
                    <w:ind w:left="0" w:leftChars="0" w:right="0" w:rightChars="0"/>
                    <w:jc w:val="center"/>
                    <w:textAlignment w:val="baseline"/>
                    <w:rPr>
                      <w:rFonts w:hint="default" w:ascii="Times New Roman" w:hAnsi="Times New Roman" w:cs="Times New Roman"/>
                      <w:color w:val="auto"/>
                      <w:highlight w:val="none"/>
                      <w:lang w:val="en-US"/>
                    </w:rPr>
                  </w:pPr>
                  <w:r>
                    <w:rPr>
                      <w:rFonts w:hint="eastAsia" w:cs="Times New Roman"/>
                      <w:color w:val="auto"/>
                      <w:highlight w:val="none"/>
                      <w:lang w:val="en-US" w:eastAsia="zh-CN"/>
                    </w:rPr>
                    <w:t>2.85</w:t>
                  </w:r>
                </w:p>
              </w:tc>
              <w:tc>
                <w:tcPr>
                  <w:tcW w:w="1485" w:type="dxa"/>
                  <w:noWrap w:val="0"/>
                  <w:vAlign w:val="center"/>
                </w:tcPr>
                <w:p w14:paraId="1C48B33A">
                  <w:pPr>
                    <w:keepNext w:val="0"/>
                    <w:keepLines w:val="0"/>
                    <w:suppressLineNumbers w:val="0"/>
                    <w:spacing w:before="0" w:beforeAutospacing="0" w:after="0" w:afterAutospacing="0" w:line="110" w:lineRule="atLeast"/>
                    <w:ind w:left="0" w:leftChars="0" w:right="0" w:rightChars="0"/>
                    <w:jc w:val="center"/>
                    <w:textAlignment w:val="baseline"/>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0.12</w:t>
                  </w:r>
                </w:p>
              </w:tc>
              <w:tc>
                <w:tcPr>
                  <w:tcW w:w="2361" w:type="dxa"/>
                  <w:noWrap w:val="0"/>
                  <w:vAlign w:val="center"/>
                </w:tcPr>
                <w:p w14:paraId="7F3AF666">
                  <w:pPr>
                    <w:keepNext w:val="0"/>
                    <w:keepLines w:val="0"/>
                    <w:suppressLineNumbers w:val="0"/>
                    <w:spacing w:before="0" w:beforeAutospacing="0" w:after="0" w:afterAutospacing="0" w:line="110" w:lineRule="atLeast"/>
                    <w:ind w:left="0" w:right="0"/>
                    <w:jc w:val="center"/>
                    <w:textAlignment w:val="baseline"/>
                    <w:rPr>
                      <w:rFonts w:hint="eastAsia" w:cs="Times New Roman"/>
                      <w:color w:val="auto"/>
                      <w:highlight w:val="none"/>
                      <w:lang w:val="en-US" w:eastAsia="zh-CN"/>
                    </w:rPr>
                  </w:pPr>
                  <w:r>
                    <w:rPr>
                      <w:rFonts w:hint="default" w:ascii="Times New Roman" w:eastAsia="宋体" w:cs="Times New Roman"/>
                      <w:color w:val="auto"/>
                      <w:sz w:val="21"/>
                      <w:szCs w:val="21"/>
                      <w:highlight w:val="none"/>
                    </w:rPr>
                    <w:t>《大气污染物综合排放标准》（GB16297-1996）表2中二级标准</w:t>
                  </w:r>
                </w:p>
              </w:tc>
            </w:tr>
          </w:tbl>
          <w:p w14:paraId="5DD62F7F">
            <w:pPr>
              <w:adjustRightInd w:val="0"/>
              <w:snapToGrid w:val="0"/>
              <w:spacing w:before="156" w:beforeLines="50" w:line="360" w:lineRule="auto"/>
              <w:ind w:firstLine="480" w:firstLineChars="200"/>
              <w:rPr>
                <w:color w:val="auto"/>
                <w:sz w:val="24"/>
                <w:highlight w:val="none"/>
              </w:rPr>
            </w:pPr>
            <w:r>
              <w:rPr>
                <w:rFonts w:hint="default" w:ascii="Times New Roman" w:hAnsi="Times New Roman" w:eastAsia="宋体" w:cs="Times New Roman"/>
                <w:color w:val="auto"/>
                <w:sz w:val="24"/>
                <w:highlight w:val="none"/>
                <w:lang w:val="en-US" w:eastAsia="zh-CN"/>
              </w:rPr>
              <w:t>③</w:t>
            </w:r>
            <w:r>
              <w:rPr>
                <w:rFonts w:hint="eastAsia"/>
                <w:color w:val="auto"/>
                <w:sz w:val="24"/>
                <w:highlight w:val="none"/>
              </w:rPr>
              <w:t>由于采用SNCR喷</w:t>
            </w:r>
            <w:r>
              <w:rPr>
                <w:rFonts w:hint="eastAsia"/>
                <w:color w:val="auto"/>
                <w:sz w:val="24"/>
                <w:highlight w:val="none"/>
                <w:lang w:eastAsia="zh-CN"/>
              </w:rPr>
              <w:t>氨水</w:t>
            </w:r>
            <w:r>
              <w:rPr>
                <w:rFonts w:hint="eastAsia"/>
                <w:color w:val="auto"/>
                <w:sz w:val="24"/>
                <w:highlight w:val="none"/>
              </w:rPr>
              <w:t>脱硝，将有“氨逃逸”现象发生。外排烟气中的NH</w:t>
            </w:r>
            <w:r>
              <w:rPr>
                <w:rFonts w:hint="eastAsia"/>
                <w:color w:val="auto"/>
                <w:sz w:val="24"/>
                <w:highlight w:val="none"/>
                <w:vertAlign w:val="subscript"/>
              </w:rPr>
              <w:t>3</w:t>
            </w:r>
            <w:r>
              <w:rPr>
                <w:rFonts w:hint="eastAsia"/>
                <w:color w:val="auto"/>
                <w:sz w:val="24"/>
                <w:highlight w:val="none"/>
              </w:rPr>
              <w:t>执行《恶臭污染物排放标准》（GB14554-93）表2标准限值及《火电厂烟气脱硝工程技术规范选择性非催化还原法》（HJ563-2010）氨逃逸浓度控制要求。</w:t>
            </w:r>
            <w:r>
              <w:rPr>
                <w:color w:val="auto"/>
                <w:sz w:val="24"/>
                <w:highlight w:val="none"/>
              </w:rPr>
              <w:t xml:space="preserve"> </w:t>
            </w:r>
          </w:p>
          <w:p w14:paraId="097AB2A7">
            <w:pPr>
              <w:adjustRightInd w:val="0"/>
              <w:snapToGrid w:val="0"/>
              <w:spacing w:line="360" w:lineRule="auto"/>
              <w:jc w:val="center"/>
              <w:rPr>
                <w:b/>
                <w:color w:val="auto"/>
                <w:szCs w:val="21"/>
                <w:highlight w:val="none"/>
              </w:rPr>
            </w:pPr>
            <w:r>
              <w:rPr>
                <w:b/>
                <w:color w:val="auto"/>
                <w:szCs w:val="21"/>
                <w:highlight w:val="none"/>
              </w:rPr>
              <w:t>表</w:t>
            </w:r>
            <w:r>
              <w:rPr>
                <w:rFonts w:hint="eastAsia"/>
                <w:b/>
                <w:color w:val="auto"/>
                <w:szCs w:val="21"/>
                <w:highlight w:val="none"/>
                <w:lang w:val="en-US" w:eastAsia="zh-CN"/>
              </w:rPr>
              <w:t>3</w:t>
            </w:r>
            <w:r>
              <w:rPr>
                <w:b/>
                <w:color w:val="auto"/>
                <w:szCs w:val="21"/>
                <w:highlight w:val="none"/>
              </w:rPr>
              <w:t>-</w:t>
            </w:r>
            <w:r>
              <w:rPr>
                <w:rFonts w:hint="eastAsia"/>
                <w:b/>
                <w:color w:val="auto"/>
                <w:szCs w:val="21"/>
                <w:highlight w:val="none"/>
                <w:lang w:val="en-US" w:eastAsia="zh-CN"/>
              </w:rPr>
              <w:t>9</w:t>
            </w:r>
            <w:r>
              <w:rPr>
                <w:b/>
                <w:color w:val="auto"/>
                <w:szCs w:val="21"/>
                <w:highlight w:val="none"/>
              </w:rPr>
              <w:t xml:space="preserve">  </w:t>
            </w:r>
            <w:r>
              <w:rPr>
                <w:rFonts w:hint="eastAsia"/>
                <w:b/>
                <w:color w:val="auto"/>
                <w:szCs w:val="21"/>
                <w:highlight w:val="none"/>
              </w:rPr>
              <w:t>NH</w:t>
            </w:r>
            <w:r>
              <w:rPr>
                <w:rFonts w:hint="eastAsia"/>
                <w:b/>
                <w:color w:val="auto"/>
                <w:szCs w:val="21"/>
                <w:highlight w:val="none"/>
                <w:vertAlign w:val="subscript"/>
              </w:rPr>
              <w:t>3</w:t>
            </w:r>
            <w:r>
              <w:rPr>
                <w:rFonts w:hint="eastAsia"/>
                <w:b/>
                <w:color w:val="auto"/>
                <w:szCs w:val="21"/>
                <w:highlight w:val="none"/>
              </w:rPr>
              <w:t>排放标准</w:t>
            </w:r>
          </w:p>
          <w:tbl>
            <w:tblPr>
              <w:tblStyle w:val="28"/>
              <w:tblW w:w="836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2271"/>
              <w:gridCol w:w="2054"/>
              <w:gridCol w:w="2132"/>
            </w:tblGrid>
            <w:tr w14:paraId="440D58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340" w:hRule="atLeast"/>
              </w:trPr>
              <w:tc>
                <w:tcPr>
                  <w:tcW w:w="1906" w:type="dxa"/>
                  <w:vAlign w:val="center"/>
                </w:tcPr>
                <w:p w14:paraId="03F10E8C">
                  <w:pPr>
                    <w:jc w:val="center"/>
                    <w:rPr>
                      <w:b/>
                      <w:color w:val="auto"/>
                      <w:szCs w:val="21"/>
                      <w:highlight w:val="none"/>
                    </w:rPr>
                  </w:pPr>
                  <w:r>
                    <w:rPr>
                      <w:rFonts w:hint="eastAsia"/>
                      <w:b/>
                      <w:color w:val="auto"/>
                      <w:szCs w:val="21"/>
                      <w:highlight w:val="none"/>
                    </w:rPr>
                    <w:t>污染物</w:t>
                  </w:r>
                </w:p>
              </w:tc>
              <w:tc>
                <w:tcPr>
                  <w:tcW w:w="2271" w:type="dxa"/>
                  <w:vAlign w:val="center"/>
                </w:tcPr>
                <w:p w14:paraId="3DD6F61A">
                  <w:pPr>
                    <w:jc w:val="center"/>
                    <w:rPr>
                      <w:b/>
                      <w:color w:val="auto"/>
                      <w:szCs w:val="21"/>
                      <w:highlight w:val="none"/>
                    </w:rPr>
                  </w:pPr>
                  <w:r>
                    <w:rPr>
                      <w:rFonts w:hint="eastAsia"/>
                      <w:b/>
                      <w:color w:val="auto"/>
                      <w:szCs w:val="21"/>
                      <w:highlight w:val="none"/>
                    </w:rPr>
                    <w:t>排气筒高度（m）</w:t>
                  </w:r>
                </w:p>
              </w:tc>
              <w:tc>
                <w:tcPr>
                  <w:tcW w:w="2054" w:type="dxa"/>
                  <w:vAlign w:val="center"/>
                </w:tcPr>
                <w:p w14:paraId="5D5FAD29">
                  <w:pPr>
                    <w:jc w:val="center"/>
                    <w:rPr>
                      <w:b/>
                      <w:color w:val="auto"/>
                      <w:szCs w:val="21"/>
                      <w:highlight w:val="none"/>
                    </w:rPr>
                  </w:pPr>
                  <w:r>
                    <w:rPr>
                      <w:rFonts w:hint="eastAsia"/>
                      <w:b/>
                      <w:color w:val="auto"/>
                      <w:szCs w:val="21"/>
                      <w:highlight w:val="none"/>
                    </w:rPr>
                    <w:t>排放量（k</w:t>
                  </w:r>
                  <w:r>
                    <w:rPr>
                      <w:b/>
                      <w:color w:val="auto"/>
                      <w:szCs w:val="21"/>
                      <w:highlight w:val="none"/>
                    </w:rPr>
                    <w:t>g/h</w:t>
                  </w:r>
                  <w:r>
                    <w:rPr>
                      <w:rFonts w:hint="eastAsia"/>
                      <w:b/>
                      <w:color w:val="auto"/>
                      <w:szCs w:val="21"/>
                      <w:highlight w:val="none"/>
                    </w:rPr>
                    <w:t>）</w:t>
                  </w:r>
                </w:p>
              </w:tc>
              <w:tc>
                <w:tcPr>
                  <w:tcW w:w="2132" w:type="dxa"/>
                </w:tcPr>
                <w:p w14:paraId="0991FD78">
                  <w:pPr>
                    <w:jc w:val="center"/>
                    <w:rPr>
                      <w:b/>
                      <w:color w:val="auto"/>
                      <w:szCs w:val="21"/>
                      <w:highlight w:val="none"/>
                    </w:rPr>
                  </w:pPr>
                  <w:r>
                    <w:rPr>
                      <w:rFonts w:hint="eastAsia"/>
                      <w:b/>
                      <w:color w:val="auto"/>
                      <w:szCs w:val="21"/>
                      <w:highlight w:val="none"/>
                    </w:rPr>
                    <w:t>排放浓度（m</w:t>
                  </w:r>
                  <w:r>
                    <w:rPr>
                      <w:b/>
                      <w:color w:val="auto"/>
                      <w:szCs w:val="21"/>
                      <w:highlight w:val="none"/>
                    </w:rPr>
                    <w:t>g/m</w:t>
                  </w:r>
                  <w:r>
                    <w:rPr>
                      <w:b/>
                      <w:color w:val="auto"/>
                      <w:szCs w:val="21"/>
                      <w:highlight w:val="none"/>
                      <w:vertAlign w:val="superscript"/>
                    </w:rPr>
                    <w:t>3</w:t>
                  </w:r>
                  <w:r>
                    <w:rPr>
                      <w:rFonts w:hint="eastAsia"/>
                      <w:b/>
                      <w:color w:val="auto"/>
                      <w:szCs w:val="21"/>
                      <w:highlight w:val="none"/>
                    </w:rPr>
                    <w:t>）</w:t>
                  </w:r>
                </w:p>
              </w:tc>
            </w:tr>
            <w:tr w14:paraId="722D6E7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06" w:type="dxa"/>
                  <w:vAlign w:val="center"/>
                </w:tcPr>
                <w:p w14:paraId="065741F2">
                  <w:pPr>
                    <w:jc w:val="center"/>
                    <w:rPr>
                      <w:color w:val="auto"/>
                      <w:szCs w:val="21"/>
                      <w:highlight w:val="none"/>
                    </w:rPr>
                  </w:pPr>
                  <w:r>
                    <w:rPr>
                      <w:rFonts w:hint="eastAsia"/>
                      <w:color w:val="auto"/>
                      <w:szCs w:val="21"/>
                      <w:highlight w:val="none"/>
                    </w:rPr>
                    <w:t>N</w:t>
                  </w:r>
                  <w:r>
                    <w:rPr>
                      <w:color w:val="auto"/>
                      <w:szCs w:val="21"/>
                      <w:highlight w:val="none"/>
                    </w:rPr>
                    <w:t>H</w:t>
                  </w:r>
                  <w:r>
                    <w:rPr>
                      <w:color w:val="auto"/>
                      <w:szCs w:val="21"/>
                      <w:highlight w:val="none"/>
                      <w:vertAlign w:val="subscript"/>
                    </w:rPr>
                    <w:t>3</w:t>
                  </w:r>
                </w:p>
              </w:tc>
              <w:tc>
                <w:tcPr>
                  <w:tcW w:w="2271" w:type="dxa"/>
                  <w:vAlign w:val="center"/>
                </w:tcPr>
                <w:p w14:paraId="23FDA1CF">
                  <w:pPr>
                    <w:jc w:val="center"/>
                    <w:rPr>
                      <w:rFonts w:hint="default" w:eastAsia="宋体"/>
                      <w:color w:val="auto"/>
                      <w:szCs w:val="21"/>
                      <w:highlight w:val="none"/>
                      <w:lang w:val="en-US" w:eastAsia="zh-CN"/>
                    </w:rPr>
                  </w:pPr>
                  <w:r>
                    <w:rPr>
                      <w:rFonts w:hint="eastAsia"/>
                      <w:color w:val="auto"/>
                      <w:szCs w:val="21"/>
                      <w:highlight w:val="none"/>
                      <w:lang w:val="en-US" w:eastAsia="zh-CN"/>
                    </w:rPr>
                    <w:t>25</w:t>
                  </w:r>
                </w:p>
              </w:tc>
              <w:tc>
                <w:tcPr>
                  <w:tcW w:w="2054" w:type="dxa"/>
                  <w:vAlign w:val="center"/>
                </w:tcPr>
                <w:p w14:paraId="2E1A87D9">
                  <w:pPr>
                    <w:jc w:val="center"/>
                    <w:rPr>
                      <w:rFonts w:hint="default" w:eastAsia="宋体"/>
                      <w:color w:val="auto"/>
                      <w:szCs w:val="21"/>
                      <w:highlight w:val="none"/>
                      <w:lang w:val="en-US" w:eastAsia="zh-CN"/>
                    </w:rPr>
                  </w:pPr>
                  <w:r>
                    <w:rPr>
                      <w:rFonts w:hint="eastAsia"/>
                      <w:color w:val="auto"/>
                      <w:szCs w:val="21"/>
                      <w:highlight w:val="none"/>
                      <w:lang w:val="en-US" w:eastAsia="zh-CN"/>
                    </w:rPr>
                    <w:t>14</w:t>
                  </w:r>
                </w:p>
              </w:tc>
              <w:tc>
                <w:tcPr>
                  <w:tcW w:w="2132" w:type="dxa"/>
                  <w:vAlign w:val="center"/>
                </w:tcPr>
                <w:p w14:paraId="7C0AF171">
                  <w:pPr>
                    <w:jc w:val="center"/>
                    <w:rPr>
                      <w:color w:val="auto"/>
                      <w:szCs w:val="21"/>
                      <w:highlight w:val="none"/>
                    </w:rPr>
                  </w:pPr>
                  <w:r>
                    <w:rPr>
                      <w:color w:val="auto"/>
                      <w:szCs w:val="21"/>
                      <w:highlight w:val="none"/>
                    </w:rPr>
                    <w:t>8.0</w:t>
                  </w:r>
                </w:p>
              </w:tc>
            </w:tr>
          </w:tbl>
          <w:p w14:paraId="024F3852">
            <w:pPr>
              <w:pStyle w:val="11"/>
              <w:adjustRightInd w:val="0"/>
              <w:spacing w:before="0" w:after="0" w:line="360" w:lineRule="auto"/>
              <w:ind w:right="0"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rPr>
              <w:t>项目运营期</w:t>
            </w:r>
            <w:r>
              <w:rPr>
                <w:rFonts w:hint="default" w:ascii="Times New Roman" w:hAnsi="Times New Roman" w:eastAsia="宋体" w:cs="Times New Roman"/>
                <w:color w:val="auto"/>
                <w:sz w:val="24"/>
                <w:highlight w:val="none"/>
                <w:lang w:val="en-US" w:eastAsia="zh-CN"/>
              </w:rPr>
              <w:t>化粪池及污水处理设施会有</w:t>
            </w:r>
            <w:r>
              <w:rPr>
                <w:rFonts w:hint="default" w:ascii="Times New Roman" w:hAnsi="Times New Roman" w:eastAsia="宋体" w:cs="Times New Roman"/>
                <w:color w:val="auto"/>
                <w:sz w:val="24"/>
                <w:highlight w:val="none"/>
              </w:rPr>
              <w:t>异味</w:t>
            </w:r>
            <w:r>
              <w:rPr>
                <w:rFonts w:hint="default" w:ascii="Times New Roman" w:hAnsi="Times New Roman" w:eastAsia="宋体" w:cs="Times New Roman"/>
                <w:color w:val="auto"/>
                <w:sz w:val="24"/>
                <w:highlight w:val="none"/>
                <w:lang w:val="en-US" w:eastAsia="zh-CN"/>
              </w:rPr>
              <w:t>产生</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氨水罐有氨气溢出，</w:t>
            </w:r>
            <w:r>
              <w:rPr>
                <w:rFonts w:hint="default" w:ascii="Times New Roman" w:hAnsi="Times New Roman" w:eastAsia="宋体" w:cs="Times New Roman"/>
                <w:color w:val="auto"/>
                <w:sz w:val="24"/>
                <w:highlight w:val="none"/>
              </w:rPr>
              <w:t>均为无组织排放源，</w:t>
            </w:r>
            <w:r>
              <w:rPr>
                <w:rFonts w:hint="default" w:ascii="Times New Roman" w:hAnsi="Times New Roman" w:eastAsia="宋体" w:cs="Times New Roman"/>
                <w:color w:val="auto"/>
                <w:sz w:val="24"/>
                <w:szCs w:val="24"/>
                <w:highlight w:val="none"/>
                <w:lang w:val="en-US" w:eastAsia="zh-CN"/>
              </w:rPr>
              <w:t>因此</w:t>
            </w:r>
            <w:r>
              <w:rPr>
                <w:rFonts w:hint="default" w:ascii="Times New Roman" w:hAnsi="Times New Roman" w:eastAsia="宋体" w:cs="Times New Roman"/>
                <w:color w:val="auto"/>
                <w:sz w:val="24"/>
                <w:szCs w:val="24"/>
                <w:highlight w:val="none"/>
                <w:lang w:val="zh-CN" w:eastAsia="zh-CN"/>
              </w:rPr>
              <w:t>无组织</w:t>
            </w:r>
            <w:r>
              <w:rPr>
                <w:rFonts w:hint="default" w:ascii="Times New Roman" w:hAnsi="Times New Roman" w:eastAsia="宋体" w:cs="Times New Roman"/>
                <w:color w:val="auto"/>
                <w:sz w:val="24"/>
                <w:szCs w:val="24"/>
                <w:highlight w:val="none"/>
                <w:lang w:val="en-US" w:eastAsia="zh-CN"/>
              </w:rPr>
              <w:t>臭气</w:t>
            </w:r>
            <w:r>
              <w:rPr>
                <w:rFonts w:hint="eastAsia" w:cs="Times New Roman"/>
                <w:color w:val="auto"/>
                <w:sz w:val="24"/>
                <w:szCs w:val="24"/>
                <w:highlight w:val="none"/>
                <w:lang w:val="en-US" w:eastAsia="zh-CN"/>
              </w:rPr>
              <w:t>、氨</w:t>
            </w:r>
            <w:r>
              <w:rPr>
                <w:rFonts w:hint="default" w:ascii="Times New Roman" w:hAnsi="Times New Roman" w:eastAsia="宋体" w:cs="Times New Roman"/>
                <w:color w:val="auto"/>
                <w:sz w:val="24"/>
                <w:szCs w:val="24"/>
                <w:highlight w:val="none"/>
                <w:lang w:val="zh-CN" w:eastAsia="zh-CN"/>
              </w:rPr>
              <w:t>排放执行《恶臭污染物排放标准》（GB14554-93）表1</w:t>
            </w:r>
            <w:r>
              <w:rPr>
                <w:rFonts w:hint="default" w:ascii="Times New Roman" w:hAnsi="Times New Roman" w:eastAsia="宋体" w:cs="Times New Roman"/>
                <w:color w:val="auto"/>
                <w:sz w:val="24"/>
                <w:szCs w:val="24"/>
                <w:highlight w:val="none"/>
                <w:lang w:val="en-US" w:eastAsia="zh-CN"/>
              </w:rPr>
              <w:t>中二级新建</w:t>
            </w:r>
            <w:r>
              <w:rPr>
                <w:rFonts w:hint="default" w:ascii="Times New Roman" w:hAnsi="Times New Roman" w:eastAsia="宋体" w:cs="Times New Roman"/>
                <w:color w:val="auto"/>
                <w:sz w:val="24"/>
                <w:szCs w:val="24"/>
                <w:highlight w:val="none"/>
                <w:lang w:val="zh-CN" w:eastAsia="zh-CN"/>
              </w:rPr>
              <w:t>企业厂界排放标准要求</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排放执行标准值详见表</w:t>
            </w:r>
            <w:r>
              <w:rPr>
                <w:rFonts w:hint="default" w:ascii="Times New Roman" w:hAnsi="Times New Roman" w:eastAsia="宋体" w:cs="Times New Roman"/>
                <w:color w:val="auto"/>
                <w:sz w:val="24"/>
                <w:highlight w:val="none"/>
                <w:lang w:val="en-US" w:eastAsia="zh-CN"/>
              </w:rPr>
              <w:t>3-10</w:t>
            </w:r>
            <w:r>
              <w:rPr>
                <w:rFonts w:hint="default" w:ascii="Times New Roman" w:hAnsi="Times New Roman" w:eastAsia="宋体" w:cs="Times New Roman"/>
                <w:color w:val="auto"/>
                <w:sz w:val="24"/>
                <w:highlight w:val="none"/>
              </w:rPr>
              <w:t>。</w:t>
            </w:r>
          </w:p>
          <w:p w14:paraId="6529A5EC">
            <w:pPr>
              <w:pStyle w:val="52"/>
              <w:shd w:val="clear"/>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3-10</w:t>
            </w:r>
            <w:r>
              <w:rPr>
                <w:rFonts w:hint="default" w:ascii="Times New Roman" w:hAnsi="Times New Roman" w:eastAsia="宋体" w:cs="Times New Roman"/>
                <w:b/>
                <w:color w:val="auto"/>
                <w:sz w:val="21"/>
                <w:szCs w:val="21"/>
                <w:highlight w:val="none"/>
              </w:rPr>
              <w:t xml:space="preserve">  恶臭污染物厂界标准值</w:t>
            </w:r>
          </w:p>
          <w:tbl>
            <w:tblPr>
              <w:tblStyle w:val="27"/>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2033"/>
              <w:gridCol w:w="1379"/>
              <w:gridCol w:w="3207"/>
            </w:tblGrid>
            <w:tr w14:paraId="7B01B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14:paraId="323F4B2D">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控制项目</w:t>
                  </w:r>
                </w:p>
              </w:tc>
              <w:tc>
                <w:tcPr>
                  <w:tcW w:w="2033" w:type="dxa"/>
                  <w:tcBorders>
                    <w:top w:val="single" w:color="auto" w:sz="4" w:space="0"/>
                    <w:left w:val="single" w:color="auto" w:sz="4" w:space="0"/>
                    <w:bottom w:val="single" w:color="auto" w:sz="4" w:space="0"/>
                    <w:right w:val="single" w:color="auto" w:sz="4" w:space="0"/>
                  </w:tcBorders>
                  <w:vAlign w:val="center"/>
                </w:tcPr>
                <w:p w14:paraId="6C1E00BE">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1379" w:type="dxa"/>
                  <w:tcBorders>
                    <w:top w:val="single" w:color="auto" w:sz="4" w:space="0"/>
                    <w:left w:val="single" w:color="auto" w:sz="4" w:space="0"/>
                    <w:bottom w:val="single" w:color="auto" w:sz="4" w:space="0"/>
                    <w:right w:val="single" w:color="auto" w:sz="4" w:space="0"/>
                  </w:tcBorders>
                  <w:vAlign w:val="center"/>
                </w:tcPr>
                <w:p w14:paraId="3BBAE21E">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标准限值</w:t>
                  </w:r>
                </w:p>
              </w:tc>
              <w:tc>
                <w:tcPr>
                  <w:tcW w:w="3207" w:type="dxa"/>
                  <w:tcBorders>
                    <w:top w:val="single" w:color="auto" w:sz="4" w:space="0"/>
                    <w:left w:val="single" w:color="auto" w:sz="4" w:space="0"/>
                    <w:bottom w:val="single" w:color="auto" w:sz="4" w:space="0"/>
                    <w:right w:val="single" w:color="auto" w:sz="4" w:space="0"/>
                  </w:tcBorders>
                  <w:vAlign w:val="center"/>
                </w:tcPr>
                <w:p w14:paraId="2EAD1B4B">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依据</w:t>
                  </w:r>
                </w:p>
              </w:tc>
            </w:tr>
            <w:tr w14:paraId="54D5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14:paraId="432F5A5A">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臭气浓度</w:t>
                  </w:r>
                </w:p>
              </w:tc>
              <w:tc>
                <w:tcPr>
                  <w:tcW w:w="2033" w:type="dxa"/>
                  <w:tcBorders>
                    <w:top w:val="single" w:color="auto" w:sz="4" w:space="0"/>
                    <w:left w:val="single" w:color="auto" w:sz="4" w:space="0"/>
                    <w:bottom w:val="single" w:color="auto" w:sz="4" w:space="0"/>
                    <w:right w:val="single" w:color="auto" w:sz="4" w:space="0"/>
                  </w:tcBorders>
                  <w:vAlign w:val="center"/>
                </w:tcPr>
                <w:p w14:paraId="599E233E">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无量纲</w:t>
                  </w:r>
                </w:p>
              </w:tc>
              <w:tc>
                <w:tcPr>
                  <w:tcW w:w="1379" w:type="dxa"/>
                  <w:tcBorders>
                    <w:top w:val="single" w:color="auto" w:sz="4" w:space="0"/>
                    <w:left w:val="single" w:color="auto" w:sz="4" w:space="0"/>
                    <w:bottom w:val="single" w:color="auto" w:sz="4" w:space="0"/>
                    <w:right w:val="single" w:color="auto" w:sz="4" w:space="0"/>
                  </w:tcBorders>
                  <w:vAlign w:val="center"/>
                </w:tcPr>
                <w:p w14:paraId="725534FB">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w:t>
                  </w:r>
                </w:p>
              </w:tc>
              <w:tc>
                <w:tcPr>
                  <w:tcW w:w="3207" w:type="dxa"/>
                  <w:vMerge w:val="restart"/>
                  <w:tcBorders>
                    <w:top w:val="single" w:color="auto" w:sz="4" w:space="0"/>
                    <w:left w:val="single" w:color="auto" w:sz="4" w:space="0"/>
                    <w:right w:val="single" w:color="auto" w:sz="4" w:space="0"/>
                  </w:tcBorders>
                  <w:vAlign w:val="center"/>
                </w:tcPr>
                <w:p w14:paraId="1BC9578A">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（GB14554-93）中二级标准</w:t>
                  </w:r>
                </w:p>
              </w:tc>
            </w:tr>
            <w:tr w14:paraId="3BEC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900" w:type="dxa"/>
                  <w:tcBorders>
                    <w:top w:val="single" w:color="auto" w:sz="4" w:space="0"/>
                    <w:left w:val="single" w:color="auto" w:sz="4" w:space="0"/>
                    <w:right w:val="single" w:color="auto" w:sz="4" w:space="0"/>
                  </w:tcBorders>
                  <w:vAlign w:val="center"/>
                </w:tcPr>
                <w:p w14:paraId="2427AAE5">
                  <w:pPr>
                    <w:shd w:val="clear"/>
                    <w:jc w:val="center"/>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氨</w:t>
                  </w:r>
                </w:p>
              </w:tc>
              <w:tc>
                <w:tcPr>
                  <w:tcW w:w="2033" w:type="dxa"/>
                  <w:tcBorders>
                    <w:top w:val="single" w:color="auto" w:sz="4" w:space="0"/>
                    <w:left w:val="single" w:color="auto" w:sz="4" w:space="0"/>
                    <w:right w:val="single" w:color="auto" w:sz="4" w:space="0"/>
                  </w:tcBorders>
                  <w:vAlign w:val="center"/>
                </w:tcPr>
                <w:p w14:paraId="6FA7E663">
                  <w:pPr>
                    <w:shd w:val="clear"/>
                    <w:jc w:val="center"/>
                    <w:rPr>
                      <w:rFonts w:hint="default" w:ascii="Times New Roman" w:hAnsi="Times New Roman" w:eastAsia="宋体" w:cs="Times New Roman"/>
                      <w:bCs/>
                      <w:color w:val="auto"/>
                      <w:szCs w:val="21"/>
                      <w:highlight w:val="none"/>
                      <w:lang w:val="en-US" w:eastAsia="zh-CN"/>
                    </w:rPr>
                  </w:pPr>
                  <w:r>
                    <w:rPr>
                      <w:rFonts w:hint="eastAsia"/>
                      <w:b w:val="0"/>
                      <w:bCs/>
                      <w:color w:val="auto"/>
                      <w:szCs w:val="21"/>
                      <w:highlight w:val="none"/>
                    </w:rPr>
                    <w:t>m</w:t>
                  </w:r>
                  <w:r>
                    <w:rPr>
                      <w:b w:val="0"/>
                      <w:bCs/>
                      <w:color w:val="auto"/>
                      <w:szCs w:val="21"/>
                      <w:highlight w:val="none"/>
                    </w:rPr>
                    <w:t>g/m</w:t>
                  </w:r>
                  <w:r>
                    <w:rPr>
                      <w:b w:val="0"/>
                      <w:bCs/>
                      <w:color w:val="auto"/>
                      <w:szCs w:val="21"/>
                      <w:highlight w:val="none"/>
                      <w:vertAlign w:val="superscript"/>
                    </w:rPr>
                    <w:t>3</w:t>
                  </w:r>
                </w:p>
              </w:tc>
              <w:tc>
                <w:tcPr>
                  <w:tcW w:w="1379" w:type="dxa"/>
                  <w:tcBorders>
                    <w:top w:val="single" w:color="auto" w:sz="4" w:space="0"/>
                    <w:left w:val="single" w:color="auto" w:sz="4" w:space="0"/>
                    <w:bottom w:val="single" w:color="auto" w:sz="4" w:space="0"/>
                    <w:right w:val="single" w:color="auto" w:sz="4" w:space="0"/>
                  </w:tcBorders>
                  <w:vAlign w:val="center"/>
                </w:tcPr>
                <w:p w14:paraId="1294A1AD">
                  <w:pPr>
                    <w:shd w:val="clear"/>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1.5</w:t>
                  </w:r>
                </w:p>
              </w:tc>
              <w:tc>
                <w:tcPr>
                  <w:tcW w:w="3207" w:type="dxa"/>
                  <w:vMerge w:val="continue"/>
                  <w:tcBorders>
                    <w:left w:val="single" w:color="auto" w:sz="4" w:space="0"/>
                    <w:right w:val="single" w:color="auto" w:sz="4" w:space="0"/>
                  </w:tcBorders>
                  <w:vAlign w:val="center"/>
                </w:tcPr>
                <w:p w14:paraId="29E4C8A1">
                  <w:pPr>
                    <w:shd w:val="clear"/>
                    <w:jc w:val="center"/>
                    <w:rPr>
                      <w:rFonts w:hint="default" w:ascii="Times New Roman" w:hAnsi="Times New Roman" w:eastAsia="宋体" w:cs="Times New Roman"/>
                      <w:bCs/>
                      <w:color w:val="auto"/>
                      <w:szCs w:val="21"/>
                      <w:highlight w:val="none"/>
                    </w:rPr>
                  </w:pPr>
                </w:p>
              </w:tc>
            </w:tr>
          </w:tbl>
          <w:p w14:paraId="7C464C7B">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outlineLvl w:val="9"/>
              <w:rPr>
                <w:rFonts w:hint="eastAsia" w:eastAsia="宋体" w:cs="Times New Roman"/>
                <w:color w:val="auto"/>
                <w:sz w:val="24"/>
                <w:highlight w:val="none"/>
                <w:lang w:val="en-US" w:eastAsia="zh-CN"/>
              </w:rPr>
            </w:pPr>
            <w:r>
              <w:rPr>
                <w:rFonts w:hint="eastAsia" w:cs="Times New Roman"/>
                <w:color w:val="auto"/>
                <w:sz w:val="24"/>
                <w:highlight w:val="none"/>
                <w:lang w:val="en-US" w:eastAsia="zh-CN"/>
              </w:rPr>
              <w:t>⑤</w:t>
            </w:r>
            <w:r>
              <w:rPr>
                <w:rFonts w:hint="eastAsia" w:cs="Times New Roman"/>
                <w:color w:val="auto"/>
                <w:sz w:val="24"/>
                <w:highlight w:val="none"/>
                <w:lang w:eastAsia="zh-CN"/>
              </w:rPr>
              <w:t>石灰石粉储罐</w:t>
            </w:r>
            <w:r>
              <w:rPr>
                <w:rFonts w:hint="eastAsia" w:ascii="Times New Roman" w:hAnsi="Times New Roman" w:eastAsia="宋体" w:cs="Times New Roman"/>
                <w:color w:val="auto"/>
                <w:sz w:val="24"/>
                <w:highlight w:val="none"/>
                <w:lang w:eastAsia="zh-CN"/>
              </w:rPr>
              <w:t>废气</w:t>
            </w:r>
          </w:p>
          <w:p w14:paraId="46D1281A">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eastAsia" w:cs="Times New Roman"/>
                <w:b/>
                <w:color w:val="auto"/>
                <w:highlight w:val="none"/>
                <w:lang w:val="zh-CN" w:eastAsia="zh-CN"/>
              </w:rPr>
            </w:pPr>
            <w:r>
              <w:rPr>
                <w:rFonts w:hint="eastAsia" w:ascii="Times New Roman" w:hAnsi="Times New Roman" w:cs="Times New Roman"/>
                <w:color w:val="auto"/>
                <w:sz w:val="24"/>
                <w:szCs w:val="24"/>
                <w:highlight w:val="none"/>
                <w:shd w:val="clear" w:color="auto" w:fill="auto"/>
                <w:lang w:val="zh-CN" w:eastAsia="zh-CN"/>
              </w:rPr>
              <w:t>石灰石粉储罐呼吸口粉尘执行</w:t>
            </w:r>
            <w:r>
              <w:rPr>
                <w:rFonts w:hint="default" w:ascii="Times New Roman" w:hAnsi="Times New Roman" w:cs="Times New Roman"/>
                <w:color w:val="auto"/>
                <w:sz w:val="24"/>
                <w:szCs w:val="24"/>
                <w:highlight w:val="none"/>
                <w:shd w:val="clear" w:color="auto" w:fill="auto"/>
                <w:lang w:val="zh-CN" w:eastAsia="zh-CN"/>
              </w:rPr>
              <w:t>《大气污染物综合排放标准》（GB16297-1996）表2中二级标准，标准值见表</w:t>
            </w:r>
            <w:r>
              <w:rPr>
                <w:rFonts w:hint="eastAsia" w:ascii="Times New Roman" w:hAnsi="Times New Roman" w:cs="Times New Roman"/>
                <w:color w:val="auto"/>
                <w:sz w:val="24"/>
                <w:szCs w:val="24"/>
                <w:highlight w:val="none"/>
                <w:shd w:val="clear" w:color="auto" w:fill="auto"/>
                <w:lang w:val="en-US" w:eastAsia="zh-CN"/>
              </w:rPr>
              <w:t>3</w:t>
            </w:r>
            <w:r>
              <w:rPr>
                <w:rFonts w:hint="default" w:ascii="Times New Roman" w:hAnsi="Times New Roman" w:cs="Times New Roman"/>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11</w:t>
            </w:r>
            <w:r>
              <w:rPr>
                <w:rFonts w:hint="default" w:ascii="Times New Roman" w:hAnsi="Times New Roman" w:eastAsia="宋体" w:cs="Times New Roman"/>
                <w:color w:val="auto"/>
                <w:sz w:val="24"/>
                <w:highlight w:val="none"/>
              </w:rPr>
              <w:t>。</w:t>
            </w:r>
          </w:p>
          <w:p w14:paraId="22AC90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highlight w:val="none"/>
              </w:rPr>
            </w:pPr>
            <w:r>
              <w:rPr>
                <w:rFonts w:hint="eastAsia" w:cs="Times New Roman"/>
                <w:b/>
                <w:color w:val="auto"/>
                <w:highlight w:val="none"/>
                <w:lang w:val="zh-CN" w:eastAsia="zh-CN"/>
              </w:rPr>
              <w:t>表</w:t>
            </w:r>
            <w:r>
              <w:rPr>
                <w:rFonts w:hint="eastAsia" w:cs="Times New Roman"/>
                <w:b/>
                <w:color w:val="auto"/>
                <w:highlight w:val="none"/>
                <w:lang w:val="en-US" w:eastAsia="zh-CN"/>
              </w:rPr>
              <w:t xml:space="preserve">3-11  </w:t>
            </w:r>
            <w:r>
              <w:rPr>
                <w:rFonts w:hint="default" w:ascii="Times New Roman" w:hAnsi="Times New Roman" w:eastAsia="宋体" w:cs="Times New Roman"/>
                <w:b/>
                <w:color w:val="auto"/>
                <w:highlight w:val="none"/>
                <w:lang w:val="zh-CN" w:eastAsia="zh-CN"/>
              </w:rPr>
              <w:t>大气污染物综合排放标准</w:t>
            </w:r>
            <w:r>
              <w:rPr>
                <w:rFonts w:hint="default" w:ascii="Times New Roman" w:hAnsi="Times New Roman" w:eastAsia="宋体" w:cs="Times New Roman"/>
                <w:b/>
                <w:color w:val="auto"/>
                <w:highlight w:val="none"/>
              </w:rPr>
              <w:t xml:space="preserve">  </w:t>
            </w:r>
            <w:r>
              <w:rPr>
                <w:rFonts w:hint="default" w:ascii="Times New Roman" w:hAnsi="Times New Roman" w:cs="Times New Roman"/>
                <w:b/>
                <w:color w:val="auto"/>
                <w:highlight w:val="none"/>
              </w:rPr>
              <w:t>单位：mg/m</w:t>
            </w:r>
            <w:r>
              <w:rPr>
                <w:rFonts w:hint="default" w:ascii="Times New Roman" w:hAnsi="Times New Roman" w:cs="Times New Roman"/>
                <w:b/>
                <w:color w:val="auto"/>
                <w:highlight w:val="none"/>
                <w:vertAlign w:val="superscript"/>
              </w:rPr>
              <w:t>3</w:t>
            </w:r>
          </w:p>
          <w:tbl>
            <w:tblPr>
              <w:tblStyle w:val="27"/>
              <w:tblW w:w="8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746"/>
              <w:gridCol w:w="793"/>
              <w:gridCol w:w="758"/>
              <w:gridCol w:w="1526"/>
              <w:gridCol w:w="2400"/>
            </w:tblGrid>
            <w:tr w14:paraId="36DF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restart"/>
                  <w:noWrap w:val="0"/>
                  <w:vAlign w:val="center"/>
                </w:tcPr>
                <w:p w14:paraId="1A43C30E">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w:t>
                  </w:r>
                </w:p>
              </w:tc>
              <w:tc>
                <w:tcPr>
                  <w:tcW w:w="1746" w:type="dxa"/>
                  <w:vMerge w:val="restart"/>
                  <w:noWrap w:val="0"/>
                  <w:vAlign w:val="center"/>
                </w:tcPr>
                <w:p w14:paraId="02E6E592">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最高允许排放浓度（mg/m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w:t>
                  </w:r>
                </w:p>
              </w:tc>
              <w:tc>
                <w:tcPr>
                  <w:tcW w:w="1551" w:type="dxa"/>
                  <w:gridSpan w:val="2"/>
                  <w:noWrap w:val="0"/>
                  <w:vAlign w:val="center"/>
                </w:tcPr>
                <w:p w14:paraId="43B5955B">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最高允许排放速率（kg/h）</w:t>
                  </w:r>
                </w:p>
              </w:tc>
              <w:tc>
                <w:tcPr>
                  <w:tcW w:w="1526" w:type="dxa"/>
                  <w:vMerge w:val="restart"/>
                  <w:noWrap w:val="0"/>
                  <w:vAlign w:val="center"/>
                </w:tcPr>
                <w:p w14:paraId="5968A7A5">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eastAsia" w:cs="Times New Roman"/>
                      <w:b/>
                      <w:bCs/>
                      <w:color w:val="auto"/>
                      <w:highlight w:val="none"/>
                      <w:lang w:eastAsia="zh-CN"/>
                    </w:rPr>
                    <w:t>无组织</w:t>
                  </w:r>
                  <w:r>
                    <w:rPr>
                      <w:rFonts w:hint="default" w:ascii="Times New Roman" w:hAnsi="Times New Roman" w:cs="Times New Roman"/>
                      <w:b/>
                      <w:bCs/>
                      <w:color w:val="auto"/>
                      <w:highlight w:val="none"/>
                    </w:rPr>
                    <w:t>排放</w:t>
                  </w:r>
                  <w:r>
                    <w:rPr>
                      <w:rFonts w:hint="eastAsia" w:cs="Times New Roman"/>
                      <w:b/>
                      <w:bCs/>
                      <w:color w:val="auto"/>
                      <w:highlight w:val="none"/>
                      <w:lang w:eastAsia="zh-CN"/>
                    </w:rPr>
                    <w:t>监控</w:t>
                  </w:r>
                  <w:r>
                    <w:rPr>
                      <w:rFonts w:hint="default" w:ascii="Times New Roman" w:hAnsi="Times New Roman" w:cs="Times New Roman"/>
                      <w:b/>
                      <w:bCs/>
                      <w:color w:val="auto"/>
                      <w:highlight w:val="none"/>
                    </w:rPr>
                    <w:t>浓度</w:t>
                  </w:r>
                  <w:r>
                    <w:rPr>
                      <w:rFonts w:hint="eastAsia" w:cs="Times New Roman"/>
                      <w:b/>
                      <w:bCs/>
                      <w:color w:val="auto"/>
                      <w:highlight w:val="none"/>
                      <w:lang w:eastAsia="zh-CN"/>
                    </w:rPr>
                    <w:t>限值</w:t>
                  </w:r>
                  <w:r>
                    <w:rPr>
                      <w:rFonts w:hint="default" w:ascii="Times New Roman" w:hAnsi="Times New Roman" w:cs="Times New Roman"/>
                      <w:b/>
                      <w:bCs/>
                      <w:color w:val="auto"/>
                      <w:highlight w:val="none"/>
                    </w:rPr>
                    <w:t>（mg/m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w:t>
                  </w:r>
                </w:p>
              </w:tc>
              <w:tc>
                <w:tcPr>
                  <w:tcW w:w="2400" w:type="dxa"/>
                  <w:vMerge w:val="restart"/>
                  <w:noWrap w:val="0"/>
                  <w:vAlign w:val="center"/>
                </w:tcPr>
                <w:p w14:paraId="241EE215">
                  <w:pPr>
                    <w:keepNext w:val="0"/>
                    <w:keepLines w:val="0"/>
                    <w:suppressLineNumbers w:val="0"/>
                    <w:spacing w:before="0" w:beforeAutospacing="0" w:after="0" w:afterAutospacing="0" w:line="110" w:lineRule="atLeast"/>
                    <w:ind w:left="0" w:right="0"/>
                    <w:jc w:val="center"/>
                    <w:textAlignment w:val="baseline"/>
                    <w:rPr>
                      <w:rFonts w:hint="eastAsia" w:cs="Times New Roman"/>
                      <w:b/>
                      <w:bCs/>
                      <w:color w:val="auto"/>
                      <w:highlight w:val="none"/>
                      <w:lang w:eastAsia="zh-CN"/>
                    </w:rPr>
                  </w:pPr>
                  <w:r>
                    <w:rPr>
                      <w:rFonts w:hint="default" w:ascii="Times New Roman" w:eastAsia="宋体" w:cs="Times New Roman"/>
                      <w:b/>
                      <w:bCs/>
                      <w:color w:val="auto"/>
                      <w:sz w:val="21"/>
                      <w:szCs w:val="21"/>
                      <w:highlight w:val="none"/>
                    </w:rPr>
                    <w:t>执行标准</w:t>
                  </w:r>
                </w:p>
              </w:tc>
            </w:tr>
            <w:tr w14:paraId="497D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noWrap w:val="0"/>
                  <w:vAlign w:val="center"/>
                </w:tcPr>
                <w:p w14:paraId="1C9F1ECC">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p>
              </w:tc>
              <w:tc>
                <w:tcPr>
                  <w:tcW w:w="1746" w:type="dxa"/>
                  <w:vMerge w:val="continue"/>
                  <w:noWrap w:val="0"/>
                  <w:vAlign w:val="center"/>
                </w:tcPr>
                <w:p w14:paraId="4FFAE31D">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p>
              </w:tc>
              <w:tc>
                <w:tcPr>
                  <w:tcW w:w="793" w:type="dxa"/>
                  <w:noWrap w:val="0"/>
                  <w:vAlign w:val="center"/>
                </w:tcPr>
                <w:p w14:paraId="7E9CB27A">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排气筒高度m</w:t>
                  </w:r>
                </w:p>
              </w:tc>
              <w:tc>
                <w:tcPr>
                  <w:tcW w:w="758" w:type="dxa"/>
                  <w:noWrap w:val="0"/>
                  <w:vAlign w:val="center"/>
                </w:tcPr>
                <w:p w14:paraId="6518C684">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二级</w:t>
                  </w:r>
                </w:p>
              </w:tc>
              <w:tc>
                <w:tcPr>
                  <w:tcW w:w="1526" w:type="dxa"/>
                  <w:vMerge w:val="continue"/>
                  <w:noWrap w:val="0"/>
                  <w:vAlign w:val="center"/>
                </w:tcPr>
                <w:p w14:paraId="109F3780">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p>
              </w:tc>
              <w:tc>
                <w:tcPr>
                  <w:tcW w:w="2400" w:type="dxa"/>
                  <w:vMerge w:val="continue"/>
                  <w:noWrap w:val="0"/>
                  <w:vAlign w:val="center"/>
                </w:tcPr>
                <w:p w14:paraId="3442E4F2">
                  <w:pPr>
                    <w:keepNext w:val="0"/>
                    <w:keepLines w:val="0"/>
                    <w:suppressLineNumbers w:val="0"/>
                    <w:spacing w:before="0" w:beforeAutospacing="0" w:after="0" w:afterAutospacing="0" w:line="110" w:lineRule="atLeast"/>
                    <w:ind w:left="0" w:right="0"/>
                    <w:jc w:val="center"/>
                    <w:textAlignment w:val="baseline"/>
                    <w:rPr>
                      <w:rFonts w:hint="default" w:ascii="Times New Roman" w:hAnsi="Times New Roman" w:cs="Times New Roman"/>
                      <w:b/>
                      <w:bCs/>
                      <w:color w:val="auto"/>
                      <w:highlight w:val="none"/>
                    </w:rPr>
                  </w:pPr>
                </w:p>
              </w:tc>
            </w:tr>
            <w:tr w14:paraId="2A9F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exact"/>
                <w:jc w:val="center"/>
              </w:trPr>
              <w:tc>
                <w:tcPr>
                  <w:tcW w:w="1157" w:type="dxa"/>
                  <w:noWrap w:val="0"/>
                  <w:vAlign w:val="center"/>
                </w:tcPr>
                <w:p w14:paraId="78C6D4CE">
                  <w:pPr>
                    <w:keepNext w:val="0"/>
                    <w:keepLines w:val="0"/>
                    <w:suppressLineNumbers w:val="0"/>
                    <w:spacing w:before="0" w:beforeAutospacing="0" w:after="0" w:afterAutospacing="0" w:line="110" w:lineRule="atLeast"/>
                    <w:ind w:left="0" w:leftChars="0" w:right="0" w:rightChars="0"/>
                    <w:jc w:val="center"/>
                    <w:textAlignment w:val="baseline"/>
                    <w:rPr>
                      <w:rFonts w:hint="default" w:ascii="Times New Roman" w:hAnsi="Times New Roman" w:cs="Times New Roman"/>
                      <w:color w:val="auto"/>
                      <w:highlight w:val="none"/>
                    </w:rPr>
                  </w:pPr>
                  <w:r>
                    <w:rPr>
                      <w:rFonts w:hint="eastAsia" w:cs="Times New Roman"/>
                      <w:color w:val="auto"/>
                      <w:highlight w:val="none"/>
                      <w:lang w:val="en-US" w:eastAsia="zh-CN"/>
                    </w:rPr>
                    <w:t>颗粒物</w:t>
                  </w:r>
                </w:p>
              </w:tc>
              <w:tc>
                <w:tcPr>
                  <w:tcW w:w="1746" w:type="dxa"/>
                  <w:noWrap w:val="0"/>
                  <w:vAlign w:val="center"/>
                </w:tcPr>
                <w:p w14:paraId="38AA307A">
                  <w:pPr>
                    <w:keepNext w:val="0"/>
                    <w:keepLines w:val="0"/>
                    <w:suppressLineNumbers w:val="0"/>
                    <w:spacing w:before="0" w:beforeAutospacing="0" w:after="0" w:afterAutospacing="0" w:line="110" w:lineRule="atLeast"/>
                    <w:ind w:left="0" w:leftChars="0" w:right="0" w:rightChars="0"/>
                    <w:jc w:val="center"/>
                    <w:textAlignment w:val="baseline"/>
                    <w:rPr>
                      <w:rFonts w:hint="default" w:ascii="Times New Roman" w:hAnsi="Times New Roman" w:cs="Times New Roman"/>
                      <w:color w:val="auto"/>
                      <w:highlight w:val="none"/>
                      <w:lang w:val="en-US"/>
                    </w:rPr>
                  </w:pPr>
                  <w:r>
                    <w:rPr>
                      <w:rFonts w:hint="eastAsia" w:cs="Times New Roman"/>
                      <w:color w:val="auto"/>
                      <w:highlight w:val="none"/>
                      <w:lang w:val="en-US" w:eastAsia="zh-CN"/>
                    </w:rPr>
                    <w:t>120</w:t>
                  </w:r>
                </w:p>
              </w:tc>
              <w:tc>
                <w:tcPr>
                  <w:tcW w:w="793" w:type="dxa"/>
                  <w:noWrap w:val="0"/>
                  <w:vAlign w:val="center"/>
                </w:tcPr>
                <w:p w14:paraId="5D93412F">
                  <w:pPr>
                    <w:keepNext w:val="0"/>
                    <w:keepLines w:val="0"/>
                    <w:suppressLineNumbers w:val="0"/>
                    <w:spacing w:before="0" w:beforeAutospacing="0" w:after="0" w:afterAutospacing="0" w:line="110" w:lineRule="atLeast"/>
                    <w:ind w:left="0" w:leftChars="0" w:right="0" w:rightChars="0"/>
                    <w:jc w:val="center"/>
                    <w:textAlignment w:val="baseline"/>
                    <w:rPr>
                      <w:rFonts w:hint="default" w:ascii="Times New Roman" w:hAnsi="Times New Roman" w:cs="Times New Roman"/>
                      <w:color w:val="auto"/>
                      <w:highlight w:val="none"/>
                      <w:lang w:val="en-US"/>
                    </w:rPr>
                  </w:pPr>
                  <w:r>
                    <w:rPr>
                      <w:rFonts w:hint="eastAsia" w:cs="Times New Roman"/>
                      <w:color w:val="auto"/>
                      <w:highlight w:val="none"/>
                      <w:lang w:val="en-US" w:eastAsia="zh-CN"/>
                    </w:rPr>
                    <w:t>15</w:t>
                  </w:r>
                </w:p>
              </w:tc>
              <w:tc>
                <w:tcPr>
                  <w:tcW w:w="758" w:type="dxa"/>
                  <w:noWrap w:val="0"/>
                  <w:vAlign w:val="center"/>
                </w:tcPr>
                <w:p w14:paraId="10EB88F4">
                  <w:pPr>
                    <w:keepNext w:val="0"/>
                    <w:keepLines w:val="0"/>
                    <w:suppressLineNumbers w:val="0"/>
                    <w:spacing w:before="0" w:beforeAutospacing="0" w:after="0" w:afterAutospacing="0" w:line="110" w:lineRule="atLeast"/>
                    <w:ind w:left="0" w:leftChars="0" w:right="0" w:rightChars="0"/>
                    <w:jc w:val="center"/>
                    <w:textAlignment w:val="baseline"/>
                    <w:rPr>
                      <w:rFonts w:hint="default" w:ascii="Times New Roman" w:hAnsi="Times New Roman" w:cs="Times New Roman"/>
                      <w:color w:val="auto"/>
                      <w:highlight w:val="none"/>
                      <w:lang w:val="en-US"/>
                    </w:rPr>
                  </w:pPr>
                  <w:r>
                    <w:rPr>
                      <w:rFonts w:hint="eastAsia" w:cs="Times New Roman"/>
                      <w:color w:val="auto"/>
                      <w:highlight w:val="none"/>
                      <w:lang w:val="en-US" w:eastAsia="zh-CN"/>
                    </w:rPr>
                    <w:t>3.5</w:t>
                  </w:r>
                </w:p>
              </w:tc>
              <w:tc>
                <w:tcPr>
                  <w:tcW w:w="1526" w:type="dxa"/>
                  <w:noWrap w:val="0"/>
                  <w:vAlign w:val="center"/>
                </w:tcPr>
                <w:p w14:paraId="051E85E5">
                  <w:pPr>
                    <w:keepNext w:val="0"/>
                    <w:keepLines w:val="0"/>
                    <w:suppressLineNumbers w:val="0"/>
                    <w:spacing w:before="0" w:beforeAutospacing="0" w:after="0" w:afterAutospacing="0" w:line="110" w:lineRule="atLeast"/>
                    <w:ind w:left="0" w:leftChars="0" w:right="0" w:rightChars="0"/>
                    <w:jc w:val="center"/>
                    <w:textAlignment w:val="baseline"/>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w:t>
                  </w:r>
                </w:p>
              </w:tc>
              <w:tc>
                <w:tcPr>
                  <w:tcW w:w="2400" w:type="dxa"/>
                  <w:noWrap w:val="0"/>
                  <w:vAlign w:val="center"/>
                </w:tcPr>
                <w:p w14:paraId="29DAA27F">
                  <w:pPr>
                    <w:keepNext w:val="0"/>
                    <w:keepLines w:val="0"/>
                    <w:suppressLineNumbers w:val="0"/>
                    <w:spacing w:before="0" w:beforeAutospacing="0" w:after="0" w:afterAutospacing="0" w:line="110" w:lineRule="atLeast"/>
                    <w:ind w:left="0" w:right="0"/>
                    <w:jc w:val="center"/>
                    <w:textAlignment w:val="baseline"/>
                    <w:rPr>
                      <w:rFonts w:hint="eastAsia" w:cs="Times New Roman"/>
                      <w:color w:val="auto"/>
                      <w:highlight w:val="none"/>
                      <w:lang w:val="en-US" w:eastAsia="zh-CN"/>
                    </w:rPr>
                  </w:pPr>
                  <w:r>
                    <w:rPr>
                      <w:rFonts w:hint="default" w:ascii="Times New Roman" w:eastAsia="宋体" w:cs="Times New Roman"/>
                      <w:color w:val="auto"/>
                      <w:sz w:val="21"/>
                      <w:szCs w:val="21"/>
                      <w:highlight w:val="none"/>
                    </w:rPr>
                    <w:t>《大气污染物综合排放标准》（GB16297-1996）表2中二级标准</w:t>
                  </w:r>
                </w:p>
              </w:tc>
            </w:tr>
          </w:tbl>
          <w:p w14:paraId="08DDF163">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14:paraId="1B467934">
            <w:pPr>
              <w:adjustRightInd w:val="0"/>
              <w:snapToGrid w:val="0"/>
              <w:spacing w:line="360" w:lineRule="auto"/>
              <w:ind w:firstLine="480" w:firstLineChars="200"/>
              <w:rPr>
                <w:rFonts w:hint="eastAsia" w:eastAsia="宋体" w:cs="Times New Roman"/>
                <w:b/>
                <w:bCs/>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项目</w:t>
            </w:r>
            <w:r>
              <w:rPr>
                <w:rFonts w:hint="default" w:ascii="Times New Roman" w:hAnsi="Times New Roman" w:eastAsia="宋体" w:cs="Times New Roman"/>
                <w:snapToGrid w:val="0"/>
                <w:color w:val="auto"/>
                <w:sz w:val="24"/>
                <w:highlight w:val="none"/>
              </w:rPr>
              <w:t>废水主要为设备</w:t>
            </w:r>
            <w:r>
              <w:rPr>
                <w:rFonts w:hint="eastAsia" w:cs="Times New Roman"/>
                <w:snapToGrid w:val="0"/>
                <w:color w:val="auto"/>
                <w:sz w:val="24"/>
                <w:highlight w:val="none"/>
                <w:lang w:eastAsia="zh-CN"/>
              </w:rPr>
              <w:t>冷却</w:t>
            </w:r>
            <w:r>
              <w:rPr>
                <w:rFonts w:hint="default" w:ascii="Times New Roman" w:hAnsi="Times New Roman" w:eastAsia="宋体" w:cs="Times New Roman"/>
                <w:snapToGrid w:val="0"/>
                <w:color w:val="auto"/>
                <w:sz w:val="24"/>
                <w:highlight w:val="none"/>
              </w:rPr>
              <w:t>废水</w:t>
            </w:r>
            <w:r>
              <w:rPr>
                <w:rFonts w:hint="eastAsia" w:ascii="Times New Roman" w:hAnsi="Times New Roman" w:eastAsia="宋体" w:cs="Times New Roman"/>
                <w:color w:val="auto"/>
                <w:sz w:val="24"/>
                <w:highlight w:val="none"/>
                <w:lang w:eastAsia="zh-CN"/>
              </w:rPr>
              <w:t>、化验废水、初期雨水</w:t>
            </w:r>
            <w:r>
              <w:rPr>
                <w:rFonts w:hint="default" w:ascii="Times New Roman" w:hAnsi="Times New Roman" w:eastAsia="宋体" w:cs="Times New Roman"/>
                <w:snapToGrid w:val="0"/>
                <w:color w:val="auto"/>
                <w:sz w:val="24"/>
                <w:highlight w:val="none"/>
              </w:rPr>
              <w:t>及办公生活污水</w:t>
            </w:r>
            <w:r>
              <w:rPr>
                <w:rFonts w:hint="eastAsia" w:ascii="Times New Roman" w:hAnsi="Times New Roman" w:cs="Times New Roman"/>
                <w:snapToGrid w:val="0"/>
                <w:color w:val="auto"/>
                <w:sz w:val="24"/>
                <w:highlight w:val="none"/>
                <w:lang w:eastAsia="zh-CN"/>
              </w:rPr>
              <w:t>。</w:t>
            </w:r>
            <w:r>
              <w:rPr>
                <w:rFonts w:hint="eastAsia" w:cs="Times New Roman"/>
                <w:caps w:val="0"/>
                <w:snapToGrid w:val="0"/>
                <w:color w:val="auto"/>
                <w:spacing w:val="0"/>
                <w:w w:val="100"/>
                <w:kern w:val="2"/>
                <w:position w:val="0"/>
                <w:sz w:val="24"/>
                <w:szCs w:val="24"/>
                <w:highlight w:val="none"/>
                <w:lang w:val="en-US" w:eastAsia="zh-CN" w:bidi="ar-SA"/>
              </w:rPr>
              <w:t>设备冷却废水</w:t>
            </w:r>
            <w:r>
              <w:rPr>
                <w:rFonts w:hint="default" w:ascii="Times New Roman" w:hAnsi="Times New Roman" w:eastAsia="宋体" w:cs="Times New Roman"/>
                <w:bCs/>
                <w:color w:val="auto"/>
                <w:kern w:val="2"/>
                <w:sz w:val="24"/>
                <w:szCs w:val="24"/>
                <w:highlight w:val="none"/>
                <w:lang w:val="en-US" w:eastAsia="zh-CN" w:bidi="ar-SA"/>
              </w:rPr>
              <w:t>经循环冷却</w:t>
            </w:r>
            <w:r>
              <w:rPr>
                <w:rFonts w:hint="default" w:ascii="Times New Roman" w:hAnsi="Times New Roman" w:eastAsia="宋体" w:cs="Times New Roman"/>
                <w:color w:val="auto"/>
                <w:sz w:val="24"/>
                <w:highlight w:val="none"/>
              </w:rPr>
              <w:t>池冷却后循环使用不外排</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w:t>
            </w:r>
            <w:r>
              <w:rPr>
                <w:rFonts w:hint="eastAsia"/>
                <w:color w:val="auto"/>
                <w:sz w:val="24"/>
                <w:highlight w:val="none"/>
              </w:rPr>
              <w:t>化验后的</w:t>
            </w:r>
            <w:r>
              <w:rPr>
                <w:color w:val="auto"/>
                <w:sz w:val="24"/>
                <w:highlight w:val="none"/>
              </w:rPr>
              <w:t>容器</w:t>
            </w:r>
            <w:r>
              <w:rPr>
                <w:rFonts w:hint="eastAsia"/>
                <w:color w:val="auto"/>
                <w:sz w:val="24"/>
                <w:highlight w:val="none"/>
              </w:rPr>
              <w:t>清洗废水通过投加絮凝剂、加入酸碱中和剂等</w:t>
            </w:r>
            <w:r>
              <w:rPr>
                <w:color w:val="auto"/>
                <w:sz w:val="24"/>
                <w:highlight w:val="none"/>
              </w:rPr>
              <w:t>方式</w:t>
            </w:r>
            <w:r>
              <w:rPr>
                <w:rFonts w:hint="eastAsia"/>
                <w:color w:val="auto"/>
                <w:sz w:val="24"/>
                <w:highlight w:val="none"/>
              </w:rPr>
              <w:t>对</w:t>
            </w:r>
            <w:r>
              <w:rPr>
                <w:color w:val="auto"/>
                <w:sz w:val="24"/>
                <w:highlight w:val="none"/>
              </w:rPr>
              <w:t>废水</w:t>
            </w:r>
            <w:r>
              <w:rPr>
                <w:rFonts w:hint="eastAsia"/>
                <w:color w:val="auto"/>
                <w:sz w:val="24"/>
                <w:highlight w:val="none"/>
              </w:rPr>
              <w:t>进行</w:t>
            </w:r>
            <w:r>
              <w:rPr>
                <w:color w:val="auto"/>
                <w:sz w:val="24"/>
                <w:highlight w:val="none"/>
              </w:rPr>
              <w:t>沉淀</w:t>
            </w:r>
            <w:r>
              <w:rPr>
                <w:rFonts w:hint="eastAsia"/>
                <w:color w:val="auto"/>
                <w:sz w:val="24"/>
                <w:highlight w:val="none"/>
              </w:rPr>
              <w:t>、</w:t>
            </w:r>
            <w:r>
              <w:rPr>
                <w:color w:val="auto"/>
                <w:sz w:val="24"/>
                <w:highlight w:val="none"/>
              </w:rPr>
              <w:t>中和</w:t>
            </w:r>
            <w:r>
              <w:rPr>
                <w:rFonts w:hint="eastAsia"/>
                <w:color w:val="auto"/>
                <w:sz w:val="24"/>
                <w:highlight w:val="none"/>
              </w:rPr>
              <w:t>等</w:t>
            </w:r>
            <w:r>
              <w:rPr>
                <w:color w:val="auto"/>
                <w:sz w:val="24"/>
                <w:highlight w:val="none"/>
              </w:rPr>
              <w:t>简易</w:t>
            </w:r>
            <w:r>
              <w:rPr>
                <w:rFonts w:hint="eastAsia"/>
                <w:color w:val="auto"/>
                <w:sz w:val="24"/>
                <w:highlight w:val="none"/>
              </w:rPr>
              <w:t>处理</w:t>
            </w:r>
            <w:r>
              <w:rPr>
                <w:color w:val="auto"/>
                <w:sz w:val="24"/>
                <w:highlight w:val="none"/>
              </w:rPr>
              <w:t>，</w:t>
            </w:r>
            <w:r>
              <w:rPr>
                <w:rFonts w:hint="eastAsia"/>
                <w:color w:val="auto"/>
                <w:sz w:val="24"/>
                <w:highlight w:val="none"/>
              </w:rPr>
              <w:t>处理后的废水排入厂内</w:t>
            </w:r>
            <w:r>
              <w:rPr>
                <w:color w:val="auto"/>
                <w:sz w:val="24"/>
                <w:highlight w:val="none"/>
              </w:rPr>
              <w:t>拟建</w:t>
            </w:r>
            <w:r>
              <w:rPr>
                <w:rFonts w:hint="eastAsia"/>
                <w:color w:val="auto"/>
                <w:sz w:val="24"/>
                <w:highlight w:val="none"/>
              </w:rPr>
              <w:t>的</w:t>
            </w:r>
            <w:r>
              <w:rPr>
                <w:rFonts w:hint="eastAsia"/>
                <w:color w:val="auto"/>
                <w:sz w:val="24"/>
                <w:highlight w:val="none"/>
                <w:lang w:eastAsia="zh-CN"/>
              </w:rPr>
              <w:t>污水</w:t>
            </w:r>
            <w:r>
              <w:rPr>
                <w:rFonts w:hint="eastAsia"/>
                <w:color w:val="auto"/>
                <w:sz w:val="24"/>
                <w:highlight w:val="none"/>
              </w:rPr>
              <w:t>处理站统一</w:t>
            </w:r>
            <w:r>
              <w:rPr>
                <w:color w:val="auto"/>
                <w:sz w:val="24"/>
                <w:highlight w:val="none"/>
              </w:rPr>
              <w:t>处置</w:t>
            </w:r>
            <w:r>
              <w:rPr>
                <w:rFonts w:hint="eastAsia"/>
                <w:color w:val="auto"/>
                <w:sz w:val="24"/>
                <w:highlight w:val="none"/>
                <w:lang w:eastAsia="zh-CN"/>
              </w:rPr>
              <w:t>；</w:t>
            </w:r>
            <w:r>
              <w:rPr>
                <w:rFonts w:hint="default" w:ascii="Times New Roman" w:hAnsi="Times New Roman" w:eastAsia="宋体" w:cs="Times New Roman"/>
                <w:color w:val="auto"/>
                <w:sz w:val="24"/>
                <w:highlight w:val="none"/>
              </w:rPr>
              <w:t>初期雨水</w:t>
            </w:r>
            <w:r>
              <w:rPr>
                <w:rFonts w:hint="eastAsia" w:ascii="Times New Roman" w:hAnsi="Times New Roman" w:eastAsia="宋体" w:cs="Times New Roman"/>
                <w:color w:val="auto"/>
                <w:sz w:val="24"/>
                <w:highlight w:val="none"/>
                <w:lang w:eastAsia="zh-CN"/>
              </w:rPr>
              <w:t>经沉淀</w:t>
            </w:r>
            <w:r>
              <w:rPr>
                <w:rFonts w:hint="default" w:ascii="Times New Roman" w:hAnsi="Times New Roman" w:eastAsia="宋体" w:cs="Times New Roman"/>
                <w:color w:val="auto"/>
                <w:sz w:val="24"/>
                <w:highlight w:val="none"/>
              </w:rPr>
              <w:t>处理后回用</w:t>
            </w:r>
            <w:r>
              <w:rPr>
                <w:rFonts w:hint="default" w:ascii="Times New Roman" w:hAnsi="Times New Roman" w:eastAsia="宋体" w:cs="Times New Roman"/>
                <w:color w:val="auto"/>
                <w:sz w:val="24"/>
                <w:highlight w:val="none"/>
                <w:lang w:val="en-US" w:eastAsia="zh-CN"/>
              </w:rPr>
              <w:t>于</w:t>
            </w:r>
            <w:r>
              <w:rPr>
                <w:rFonts w:hint="eastAsia" w:ascii="Times New Roman" w:hAnsi="Times New Roman" w:eastAsia="宋体" w:cs="Times New Roman"/>
                <w:color w:val="auto"/>
                <w:sz w:val="24"/>
                <w:highlight w:val="none"/>
                <w:lang w:eastAsia="zh-CN"/>
              </w:rPr>
              <w:t>厂区洒水抑尘</w:t>
            </w:r>
            <w:r>
              <w:rPr>
                <w:rFonts w:hint="default" w:ascii="Times New Roman" w:hAnsi="Times New Roman" w:eastAsia="宋体" w:cs="Times New Roman"/>
                <w:color w:val="auto"/>
                <w:sz w:val="24"/>
                <w:highlight w:val="none"/>
              </w:rPr>
              <w:t>，不外排</w:t>
            </w:r>
            <w:r>
              <w:rPr>
                <w:rFonts w:hint="eastAsia" w:ascii="Times New Roman" w:hAnsi="Times New Roman" w:eastAsia="宋体" w:cs="Times New Roman"/>
                <w:color w:val="auto"/>
                <w:sz w:val="24"/>
                <w:highlight w:val="none"/>
                <w:lang w:eastAsia="zh-CN"/>
              </w:rPr>
              <w:t>；</w:t>
            </w:r>
          </w:p>
          <w:p w14:paraId="684EF1F1">
            <w:pPr>
              <w:pStyle w:val="82"/>
              <w:keepNext w:val="0"/>
              <w:keepLines w:val="0"/>
              <w:pageBreakBefore w:val="0"/>
              <w:widowControl w:val="0"/>
              <w:kinsoku/>
              <w:wordWrap/>
              <w:overflowPunct/>
              <w:topLinePunct w:val="0"/>
              <w:autoSpaceDE/>
              <w:autoSpaceDN/>
              <w:bidi w:val="0"/>
              <w:spacing w:beforeLines="0" w:afterLines="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办公生活污水</w:t>
            </w:r>
            <w:r>
              <w:rPr>
                <w:rFonts w:hint="eastAsia" w:cs="Times New Roman"/>
                <w:caps w:val="0"/>
                <w:snapToGrid w:val="0"/>
                <w:color w:val="auto"/>
                <w:spacing w:val="0"/>
                <w:w w:val="100"/>
                <w:kern w:val="2"/>
                <w:position w:val="0"/>
                <w:sz w:val="24"/>
                <w:szCs w:val="24"/>
                <w:highlight w:val="none"/>
                <w:lang w:val="en-US" w:eastAsia="zh-CN" w:bidi="ar-SA"/>
              </w:rPr>
              <w:t>排入</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化粪</w:t>
            </w:r>
            <w:r>
              <w:rPr>
                <w:rFonts w:hint="eastAsia" w:cs="Times New Roman"/>
                <w:caps w:val="0"/>
                <w:snapToGrid w:val="0"/>
                <w:color w:val="auto"/>
                <w:spacing w:val="0"/>
                <w:w w:val="100"/>
                <w:kern w:val="2"/>
                <w:position w:val="0"/>
                <w:sz w:val="24"/>
                <w:szCs w:val="24"/>
                <w:highlight w:val="none"/>
                <w:lang w:val="en-US" w:eastAsia="zh-CN" w:bidi="ar-SA"/>
              </w:rPr>
              <w:t>池处理后同化验废水一并进入</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地埋式一体化污水处理站处理达《城市污水再生利用 城市杂用水水质》（GB/T18920-2020）中的城市绿化、道路清扫、消防、建筑施工标准后，用于项目区内绿化及道路场地洒水降尘，不外排。</w:t>
            </w:r>
            <w:r>
              <w:rPr>
                <w:rFonts w:hint="default" w:ascii="Times New Roman" w:hAnsi="Times New Roman" w:eastAsia="宋体" w:cs="Times New Roman"/>
                <w:color w:val="auto"/>
                <w:sz w:val="24"/>
                <w:szCs w:val="24"/>
                <w:highlight w:val="none"/>
                <w:lang w:val="en-US" w:eastAsia="zh-CN"/>
              </w:rPr>
              <w:t>生活污水执行标准值见表3-1</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p>
          <w:p w14:paraId="25429ACF">
            <w:pPr>
              <w:shd w:val="clear" w:color="auto" w:fill="auto"/>
              <w:spacing w:line="240" w:lineRule="auto"/>
              <w:ind w:firstLine="0" w:firstLineChars="0"/>
              <w:jc w:val="center"/>
              <w:rPr>
                <w:rFonts w:hint="default" w:ascii="Times New Roman" w:hAnsi="Times New Roman" w:eastAsia="宋体" w:cs="Times New Roman"/>
                <w:b/>
                <w:bCs/>
                <w:color w:val="auto"/>
                <w:sz w:val="21"/>
                <w:szCs w:val="21"/>
                <w:highlight w:val="none"/>
                <w:lang w:val="en-US" w:bidi="ar"/>
              </w:rPr>
            </w:pPr>
            <w:r>
              <w:rPr>
                <w:rFonts w:hint="default" w:ascii="Times New Roman" w:hAnsi="Times New Roman" w:eastAsia="宋体" w:cs="Times New Roman"/>
                <w:b/>
                <w:bCs/>
                <w:color w:val="auto"/>
                <w:sz w:val="21"/>
                <w:szCs w:val="21"/>
                <w:highlight w:val="none"/>
                <w:lang w:bidi="ar"/>
              </w:rPr>
              <w:t>表</w:t>
            </w:r>
            <w:r>
              <w:rPr>
                <w:rFonts w:hint="default" w:ascii="Times New Roman" w:hAnsi="Times New Roman" w:eastAsia="宋体" w:cs="Times New Roman"/>
                <w:b/>
                <w:bCs/>
                <w:color w:val="auto"/>
                <w:sz w:val="21"/>
                <w:szCs w:val="21"/>
                <w:highlight w:val="none"/>
                <w:lang w:val="en-US" w:eastAsia="zh-CN" w:bidi="ar"/>
              </w:rPr>
              <w:t>3-1</w:t>
            </w:r>
            <w:r>
              <w:rPr>
                <w:rFonts w:hint="eastAsia" w:cs="Times New Roman"/>
                <w:b/>
                <w:bCs/>
                <w:color w:val="auto"/>
                <w:sz w:val="21"/>
                <w:szCs w:val="21"/>
                <w:highlight w:val="none"/>
                <w:lang w:val="en-US" w:eastAsia="zh-CN" w:bidi="ar"/>
              </w:rPr>
              <w:t>2</w:t>
            </w:r>
            <w:r>
              <w:rPr>
                <w:rFonts w:hint="default" w:ascii="Times New Roman" w:hAnsi="Times New Roman" w:eastAsia="宋体" w:cs="Times New Roman"/>
                <w:b/>
                <w:bCs/>
                <w:color w:val="auto"/>
                <w:sz w:val="21"/>
                <w:szCs w:val="21"/>
                <w:highlight w:val="none"/>
                <w:lang w:val="en-US" w:eastAsia="zh-CN" w:bidi="ar"/>
              </w:rPr>
              <w:t xml:space="preserve">  城市污水再生利用 城市杂用水水质</w:t>
            </w:r>
          </w:p>
          <w:tbl>
            <w:tblPr>
              <w:tblStyle w:val="27"/>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3"/>
              <w:gridCol w:w="4210"/>
            </w:tblGrid>
            <w:tr w14:paraId="5A90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5EFD53CE">
                  <w:pPr>
                    <w:pStyle w:val="48"/>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项目</w:t>
                  </w:r>
                </w:p>
              </w:tc>
              <w:tc>
                <w:tcPr>
                  <w:tcW w:w="4210" w:type="dxa"/>
                  <w:vAlign w:val="center"/>
                </w:tcPr>
                <w:p w14:paraId="7D92520D">
                  <w:pPr>
                    <w:pStyle w:val="48"/>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城市绿化、道路清扫、消防、建筑施工</w:t>
                  </w:r>
                </w:p>
              </w:tc>
            </w:tr>
            <w:tr w14:paraId="4CA3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718E4D1F">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w:t>
                  </w:r>
                </w:p>
              </w:tc>
              <w:tc>
                <w:tcPr>
                  <w:tcW w:w="4210" w:type="dxa"/>
                  <w:vAlign w:val="center"/>
                </w:tcPr>
                <w:p w14:paraId="61C33C66">
                  <w:pPr>
                    <w:pStyle w:val="48"/>
                    <w:shd w:val="clear" w:color="auto" w:fill="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6.0~9.0</w:t>
                  </w:r>
                </w:p>
              </w:tc>
            </w:tr>
            <w:tr w14:paraId="4F3D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00DE35ED">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色度≤</w:t>
                  </w:r>
                </w:p>
              </w:tc>
              <w:tc>
                <w:tcPr>
                  <w:tcW w:w="4210" w:type="dxa"/>
                  <w:vAlign w:val="center"/>
                </w:tcPr>
                <w:p w14:paraId="3246732C">
                  <w:pPr>
                    <w:pStyle w:val="48"/>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r>
            <w:tr w14:paraId="631A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0749F438">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嗅</w:t>
                  </w:r>
                </w:p>
              </w:tc>
              <w:tc>
                <w:tcPr>
                  <w:tcW w:w="4210" w:type="dxa"/>
                  <w:vAlign w:val="center"/>
                </w:tcPr>
                <w:p w14:paraId="394911CC">
                  <w:pPr>
                    <w:pStyle w:val="48"/>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无不快感</w:t>
                  </w:r>
                </w:p>
              </w:tc>
            </w:tr>
            <w:tr w14:paraId="38066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555B2F91">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浊度/NTU≤</w:t>
                  </w:r>
                </w:p>
              </w:tc>
              <w:tc>
                <w:tcPr>
                  <w:tcW w:w="4210" w:type="dxa"/>
                  <w:vAlign w:val="center"/>
                </w:tcPr>
                <w:p w14:paraId="4B4C75C7">
                  <w:pPr>
                    <w:pStyle w:val="48"/>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14:paraId="3030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02D6C3C9">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）/（mg/L）≤</w:t>
                  </w:r>
                </w:p>
              </w:tc>
              <w:tc>
                <w:tcPr>
                  <w:tcW w:w="4210" w:type="dxa"/>
                  <w:vAlign w:val="center"/>
                </w:tcPr>
                <w:p w14:paraId="349ED2B4">
                  <w:pPr>
                    <w:pStyle w:val="48"/>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14:paraId="6162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14:paraId="75C55A8B">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氨氮/（mg/L）≤</w:t>
                  </w:r>
                </w:p>
              </w:tc>
              <w:tc>
                <w:tcPr>
                  <w:tcW w:w="4210" w:type="dxa"/>
                  <w:vAlign w:val="center"/>
                </w:tcPr>
                <w:p w14:paraId="0671ACCB">
                  <w:pPr>
                    <w:pStyle w:val="48"/>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r>
            <w:tr w14:paraId="1563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14:paraId="65EDF542">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阴离子表面活性剂/（mg/L）≤</w:t>
                  </w:r>
                </w:p>
              </w:tc>
              <w:tc>
                <w:tcPr>
                  <w:tcW w:w="4210" w:type="dxa"/>
                  <w:vAlign w:val="center"/>
                </w:tcPr>
                <w:p w14:paraId="666E3857">
                  <w:pPr>
                    <w:pStyle w:val="48"/>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r>
            <w:tr w14:paraId="379D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14:paraId="653139C3">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溶解性总固体/（mg/L）≤</w:t>
                  </w:r>
                </w:p>
              </w:tc>
              <w:tc>
                <w:tcPr>
                  <w:tcW w:w="4210" w:type="dxa"/>
                  <w:vAlign w:val="center"/>
                </w:tcPr>
                <w:p w14:paraId="22932198">
                  <w:pPr>
                    <w:pStyle w:val="48"/>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1000（2000）</w:t>
                  </w:r>
                  <w:r>
                    <w:rPr>
                      <w:rFonts w:hint="default" w:ascii="Times New Roman" w:hAnsi="Times New Roman" w:eastAsia="宋体" w:cs="Times New Roman"/>
                      <w:color w:val="auto"/>
                      <w:sz w:val="21"/>
                      <w:szCs w:val="21"/>
                      <w:highlight w:val="none"/>
                      <w:vertAlign w:val="superscript"/>
                      <w:lang w:val="en-US" w:eastAsia="zh-CN"/>
                    </w:rPr>
                    <w:t>a</w:t>
                  </w:r>
                </w:p>
              </w:tc>
            </w:tr>
            <w:tr w14:paraId="03C2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14:paraId="29F2CB55">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溶解氧/（mg/L）≤</w:t>
                  </w:r>
                </w:p>
              </w:tc>
              <w:tc>
                <w:tcPr>
                  <w:tcW w:w="4210" w:type="dxa"/>
                  <w:vAlign w:val="center"/>
                </w:tcPr>
                <w:p w14:paraId="6C04EBB7">
                  <w:pPr>
                    <w:pStyle w:val="48"/>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r w14:paraId="6BF5B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14:paraId="3E900CEA">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总氯/（mg/L）≤</w:t>
                  </w:r>
                </w:p>
              </w:tc>
              <w:tc>
                <w:tcPr>
                  <w:tcW w:w="4210" w:type="dxa"/>
                  <w:vAlign w:val="center"/>
                </w:tcPr>
                <w:p w14:paraId="6E19B326">
                  <w:pPr>
                    <w:pStyle w:val="48"/>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1.0（出厂），0.2</w:t>
                  </w:r>
                  <w:r>
                    <w:rPr>
                      <w:rFonts w:hint="default" w:ascii="Times New Roman" w:hAnsi="Times New Roman" w:eastAsia="宋体" w:cs="Times New Roman"/>
                      <w:color w:val="auto"/>
                      <w:sz w:val="21"/>
                      <w:szCs w:val="21"/>
                      <w:highlight w:val="none"/>
                      <w:vertAlign w:val="superscript"/>
                      <w:lang w:val="en-US" w:eastAsia="zh-CN"/>
                    </w:rPr>
                    <w:t>b</w:t>
                  </w:r>
                  <w:r>
                    <w:rPr>
                      <w:rFonts w:hint="default" w:ascii="Times New Roman" w:hAnsi="Times New Roman" w:eastAsia="宋体" w:cs="Times New Roman"/>
                      <w:color w:val="auto"/>
                      <w:sz w:val="21"/>
                      <w:szCs w:val="21"/>
                      <w:highlight w:val="none"/>
                      <w:lang w:val="en-US" w:eastAsia="zh-CN"/>
                    </w:rPr>
                    <w:t>（管网末端）</w:t>
                  </w:r>
                </w:p>
              </w:tc>
            </w:tr>
            <w:tr w14:paraId="0D18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413" w:type="dxa"/>
                  <w:gridSpan w:val="2"/>
                  <w:vAlign w:val="center"/>
                </w:tcPr>
                <w:p w14:paraId="2BC26815">
                  <w:pPr>
                    <w:pStyle w:val="48"/>
                    <w:shd w:val="clear" w:color="auto" w:fill="auto"/>
                    <w:ind w:firstLine="0" w:firstLineChar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 括号内指标值为沿海及本地水源中溶解性固体含量较高的区域的指标。</w:t>
                  </w:r>
                </w:p>
                <w:p w14:paraId="4B61F3EB">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 用于城市绿化时，不应超过2.5mg/L。</w:t>
                  </w:r>
                </w:p>
              </w:tc>
            </w:tr>
          </w:tbl>
          <w:p w14:paraId="6FE0D0D5">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w:t>
            </w:r>
          </w:p>
          <w:p w14:paraId="0C8DE309">
            <w:pPr>
              <w:adjustRightInd w:val="0"/>
              <w:snapToGrid w:val="0"/>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14:paraId="7BB759E7">
            <w:pPr>
              <w:keepNext w:val="0"/>
              <w:keepLines w:val="0"/>
              <w:pageBreakBefore w:val="0"/>
              <w:kinsoku/>
              <w:wordWrap/>
              <w:overflowPunct/>
              <w:topLinePunct w:val="0"/>
              <w:autoSpaceDE/>
              <w:autoSpaceDN/>
              <w:bidi w:val="0"/>
              <w:adjustRightInd w:val="0"/>
              <w:snapToGrid w:val="0"/>
              <w:spacing w:line="348"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项目施工期噪声执行</w:t>
            </w:r>
            <w:r>
              <w:rPr>
                <w:rFonts w:hint="default" w:ascii="Times New Roman" w:hAnsi="Times New Roman" w:eastAsia="宋体" w:cs="Times New Roman"/>
                <w:color w:val="auto"/>
                <w:kern w:val="0"/>
                <w:sz w:val="24"/>
                <w:highlight w:val="none"/>
              </w:rPr>
              <w:t>《建筑施工场界环境噪声排放标准》</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GB12523-2011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标准限值见表</w:t>
            </w:r>
            <w:r>
              <w:rPr>
                <w:rFonts w:hint="default" w:ascii="Times New Roman" w:hAnsi="Times New Roman" w:eastAsia="宋体" w:cs="Times New Roman"/>
                <w:color w:val="auto"/>
                <w:kern w:val="0"/>
                <w:sz w:val="24"/>
                <w:highlight w:val="none"/>
                <w:lang w:val="en-US" w:eastAsia="zh-CN"/>
              </w:rPr>
              <w:t>3-1</w:t>
            </w:r>
            <w:r>
              <w:rPr>
                <w:rFonts w:hint="eastAsia"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rPr>
              <w:t>。</w:t>
            </w:r>
          </w:p>
          <w:p w14:paraId="2B372B1B">
            <w:pPr>
              <w:adjustRightInd w:val="0"/>
              <w:snapToGrid w:val="0"/>
              <w:jc w:val="center"/>
              <w:textAlignment w:val="baseline"/>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3-1</w:t>
            </w:r>
            <w:r>
              <w:rPr>
                <w:rFonts w:hint="eastAsia" w:cs="Times New Roman"/>
                <w:b/>
                <w:bCs/>
                <w:color w:val="auto"/>
                <w:highlight w:val="none"/>
                <w:lang w:val="en-US" w:eastAsia="zh-CN"/>
              </w:rPr>
              <w:t>3</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color w:val="auto"/>
                <w:highlight w:val="none"/>
              </w:rPr>
              <w:t>建筑施工场界环境噪声排放标准   单位：dB</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rPr>
              <w:t>A</w:t>
            </w:r>
            <w:r>
              <w:rPr>
                <w:rFonts w:hint="default" w:ascii="Times New Roman" w:hAnsi="Times New Roman" w:eastAsia="宋体" w:cs="Times New Roman"/>
                <w:b/>
                <w:color w:val="auto"/>
                <w:highlight w:val="none"/>
                <w:lang w:eastAsia="zh-CN"/>
              </w:rPr>
              <w:t>）</w:t>
            </w:r>
          </w:p>
          <w:tbl>
            <w:tblPr>
              <w:tblStyle w:val="27"/>
              <w:tblW w:w="838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620"/>
              <w:gridCol w:w="1440"/>
              <w:gridCol w:w="3752"/>
            </w:tblGrid>
            <w:tr w14:paraId="3F22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68" w:type="dxa"/>
                  <w:noWrap w:val="0"/>
                  <w:vAlign w:val="center"/>
                </w:tcPr>
                <w:p w14:paraId="005C652A">
                  <w:pPr>
                    <w:pStyle w:val="26"/>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环境要素</w:t>
                  </w:r>
                </w:p>
              </w:tc>
              <w:tc>
                <w:tcPr>
                  <w:tcW w:w="3060" w:type="dxa"/>
                  <w:gridSpan w:val="2"/>
                  <w:noWrap w:val="0"/>
                  <w:vAlign w:val="center"/>
                </w:tcPr>
                <w:p w14:paraId="1B56445F">
                  <w:pPr>
                    <w:pStyle w:val="26"/>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标准值</w:t>
                  </w:r>
                </w:p>
              </w:tc>
              <w:tc>
                <w:tcPr>
                  <w:tcW w:w="3752" w:type="dxa"/>
                  <w:noWrap w:val="0"/>
                  <w:vAlign w:val="center"/>
                </w:tcPr>
                <w:p w14:paraId="1197B6C5">
                  <w:pPr>
                    <w:pStyle w:val="26"/>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标准来源</w:t>
                  </w:r>
                </w:p>
              </w:tc>
            </w:tr>
            <w:tr w14:paraId="5A1B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68" w:type="dxa"/>
                  <w:vMerge w:val="restart"/>
                  <w:noWrap w:val="0"/>
                  <w:vAlign w:val="center"/>
                </w:tcPr>
                <w:p w14:paraId="73F3D655">
                  <w:pPr>
                    <w:pStyle w:val="26"/>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噪声</w:t>
                  </w:r>
                </w:p>
              </w:tc>
              <w:tc>
                <w:tcPr>
                  <w:tcW w:w="1620" w:type="dxa"/>
                  <w:noWrap w:val="0"/>
                  <w:vAlign w:val="center"/>
                </w:tcPr>
                <w:p w14:paraId="1D67A5EE">
                  <w:pPr>
                    <w:pStyle w:val="26"/>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昼间</w:t>
                  </w:r>
                </w:p>
              </w:tc>
              <w:tc>
                <w:tcPr>
                  <w:tcW w:w="1440" w:type="dxa"/>
                  <w:noWrap w:val="0"/>
                  <w:vAlign w:val="center"/>
                </w:tcPr>
                <w:p w14:paraId="40BB3C33">
                  <w:pPr>
                    <w:pStyle w:val="26"/>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夜间</w:t>
                  </w:r>
                </w:p>
              </w:tc>
              <w:tc>
                <w:tcPr>
                  <w:tcW w:w="3752" w:type="dxa"/>
                  <w:vMerge w:val="restart"/>
                  <w:noWrap w:val="0"/>
                  <w:vAlign w:val="center"/>
                </w:tcPr>
                <w:p w14:paraId="0EC0C6FD">
                  <w:pPr>
                    <w:pStyle w:val="26"/>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《建筑施工场界环境噪声排放标准》（</w:t>
                  </w:r>
                  <w:r>
                    <w:rPr>
                      <w:rFonts w:hint="default" w:ascii="Times New Roman" w:hAnsi="Times New Roman" w:eastAsia="宋体" w:cs="Times New Roman"/>
                      <w:bCs/>
                      <w:color w:val="auto"/>
                      <w:kern w:val="0"/>
                      <w:highlight w:val="none"/>
                    </w:rPr>
                    <w:t>GB125</w:t>
                  </w:r>
                  <w:r>
                    <w:rPr>
                      <w:rFonts w:hint="eastAsia" w:cs="Times New Roman"/>
                      <w:bCs/>
                      <w:color w:val="auto"/>
                      <w:kern w:val="0"/>
                      <w:highlight w:val="none"/>
                      <w:lang w:val="en-US" w:eastAsia="zh-CN"/>
                    </w:rPr>
                    <w:t>2</w:t>
                  </w:r>
                  <w:r>
                    <w:rPr>
                      <w:rFonts w:hint="default" w:ascii="Times New Roman" w:hAnsi="Times New Roman" w:eastAsia="宋体" w:cs="Times New Roman"/>
                      <w:bCs/>
                      <w:color w:val="auto"/>
                      <w:kern w:val="0"/>
                      <w:highlight w:val="none"/>
                    </w:rPr>
                    <w:t>3－2011</w:t>
                  </w:r>
                  <w:r>
                    <w:rPr>
                      <w:rFonts w:hint="default" w:ascii="Times New Roman" w:hAnsi="Times New Roman" w:eastAsia="宋体" w:cs="Times New Roman"/>
                      <w:bCs/>
                      <w:color w:val="auto"/>
                      <w:highlight w:val="none"/>
                    </w:rPr>
                    <w:t>）表1中排放限值</w:t>
                  </w:r>
                </w:p>
              </w:tc>
            </w:tr>
            <w:tr w14:paraId="7BD4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68" w:type="dxa"/>
                  <w:vMerge w:val="continue"/>
                  <w:noWrap w:val="0"/>
                  <w:vAlign w:val="center"/>
                </w:tcPr>
                <w:p w14:paraId="7D24EEA6">
                  <w:pPr>
                    <w:pStyle w:val="26"/>
                    <w:spacing w:after="0"/>
                    <w:ind w:left="0" w:leftChars="0" w:firstLine="0" w:firstLineChars="0"/>
                    <w:jc w:val="center"/>
                    <w:rPr>
                      <w:rFonts w:hint="default" w:ascii="Times New Roman" w:hAnsi="Times New Roman" w:eastAsia="宋体" w:cs="Times New Roman"/>
                      <w:bCs/>
                      <w:color w:val="auto"/>
                      <w:highlight w:val="none"/>
                    </w:rPr>
                  </w:pPr>
                </w:p>
              </w:tc>
              <w:tc>
                <w:tcPr>
                  <w:tcW w:w="1620" w:type="dxa"/>
                  <w:noWrap w:val="0"/>
                  <w:vAlign w:val="center"/>
                </w:tcPr>
                <w:p w14:paraId="174D003C">
                  <w:pPr>
                    <w:pStyle w:val="26"/>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70</w:t>
                  </w:r>
                </w:p>
              </w:tc>
              <w:tc>
                <w:tcPr>
                  <w:tcW w:w="1440" w:type="dxa"/>
                  <w:noWrap w:val="0"/>
                  <w:vAlign w:val="center"/>
                </w:tcPr>
                <w:p w14:paraId="0E75C579">
                  <w:pPr>
                    <w:pStyle w:val="26"/>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55</w:t>
                  </w:r>
                </w:p>
              </w:tc>
              <w:tc>
                <w:tcPr>
                  <w:tcW w:w="3752" w:type="dxa"/>
                  <w:vMerge w:val="continue"/>
                  <w:noWrap w:val="0"/>
                  <w:vAlign w:val="center"/>
                </w:tcPr>
                <w:p w14:paraId="6E18F6B0">
                  <w:pPr>
                    <w:pStyle w:val="26"/>
                    <w:spacing w:after="0"/>
                    <w:ind w:left="0" w:leftChars="0" w:firstLine="0" w:firstLineChars="0"/>
                    <w:jc w:val="center"/>
                    <w:rPr>
                      <w:rFonts w:hint="default" w:ascii="Times New Roman" w:hAnsi="Times New Roman" w:eastAsia="宋体" w:cs="Times New Roman"/>
                      <w:bCs/>
                      <w:color w:val="auto"/>
                      <w:sz w:val="24"/>
                      <w:highlight w:val="none"/>
                    </w:rPr>
                  </w:pPr>
                </w:p>
              </w:tc>
            </w:tr>
          </w:tbl>
          <w:p w14:paraId="167525FC">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14:paraId="7CB355BF">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营运期</w:t>
            </w:r>
            <w:r>
              <w:rPr>
                <w:rFonts w:hint="default" w:ascii="Times New Roman" w:hAnsi="Times New Roman" w:eastAsia="宋体" w:cs="Times New Roman"/>
                <w:color w:val="auto"/>
                <w:sz w:val="24"/>
                <w:highlight w:val="none"/>
                <w:lang w:val="en-US" w:eastAsia="zh-CN"/>
              </w:rPr>
              <w:t>南</w:t>
            </w:r>
            <w:r>
              <w:rPr>
                <w:rFonts w:hint="eastAsia" w:eastAsia="宋体" w:cs="Times New Roman"/>
                <w:color w:val="auto"/>
                <w:sz w:val="24"/>
                <w:highlight w:val="none"/>
                <w:lang w:val="en-US" w:eastAsia="zh-CN"/>
              </w:rPr>
              <w:t>、西、北</w:t>
            </w:r>
            <w:r>
              <w:rPr>
                <w:rFonts w:hint="default" w:ascii="Times New Roman" w:hAnsi="Times New Roman" w:eastAsia="宋体" w:cs="Times New Roman"/>
                <w:color w:val="auto"/>
                <w:sz w:val="24"/>
                <w:highlight w:val="none"/>
                <w:lang w:val="en-US" w:eastAsia="zh-CN"/>
              </w:rPr>
              <w:t>厂界</w:t>
            </w:r>
            <w:r>
              <w:rPr>
                <w:rFonts w:hint="default" w:ascii="Times New Roman" w:hAnsi="Times New Roman" w:eastAsia="宋体" w:cs="Times New Roman"/>
                <w:color w:val="auto"/>
                <w:sz w:val="24"/>
                <w:highlight w:val="none"/>
              </w:rPr>
              <w:t>噪声排放执行《工业企业厂界环境噪声排放标准》（GB12348-2008）</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类标准，</w:t>
            </w:r>
            <w:r>
              <w:rPr>
                <w:rFonts w:hint="eastAsia" w:eastAsia="宋体" w:cs="Times New Roman"/>
                <w:color w:val="auto"/>
                <w:sz w:val="24"/>
                <w:highlight w:val="none"/>
                <w:lang w:eastAsia="zh-CN"/>
              </w:rPr>
              <w:t>东</w:t>
            </w:r>
            <w:r>
              <w:rPr>
                <w:rFonts w:hint="default" w:ascii="Times New Roman" w:hAnsi="Times New Roman" w:eastAsia="宋体" w:cs="Times New Roman"/>
                <w:color w:val="auto"/>
                <w:sz w:val="24"/>
                <w:highlight w:val="none"/>
                <w:lang w:val="en-US" w:eastAsia="zh-CN" w:bidi="ar"/>
              </w:rPr>
              <w:t>侧</w:t>
            </w:r>
            <w:r>
              <w:rPr>
                <w:rFonts w:hint="default" w:ascii="Times New Roman" w:hAnsi="Times New Roman" w:eastAsia="宋体" w:cs="Times New Roman"/>
                <w:color w:val="auto"/>
                <w:sz w:val="24"/>
                <w:szCs w:val="24"/>
                <w:highlight w:val="none"/>
              </w:rPr>
              <w:t>35±5m范围</w:t>
            </w:r>
            <w:r>
              <w:rPr>
                <w:rFonts w:hint="default"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sz w:val="24"/>
                <w:highlight w:val="none"/>
              </w:rPr>
              <w:t>执行《工业企业厂界环境噪声排放标准》（GB12348</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2008）4类标准。</w:t>
            </w:r>
            <w:r>
              <w:rPr>
                <w:rFonts w:hint="default" w:ascii="Times New Roman" w:hAnsi="Times New Roman" w:eastAsia="宋体" w:cs="Times New Roman"/>
                <w:color w:val="auto"/>
                <w:kern w:val="2"/>
                <w:sz w:val="24"/>
                <w:highlight w:val="none"/>
              </w:rPr>
              <w:t>标准限</w:t>
            </w:r>
            <w:r>
              <w:rPr>
                <w:rFonts w:hint="default" w:ascii="Times New Roman" w:hAnsi="Times New Roman" w:eastAsia="宋体" w:cs="Times New Roman"/>
                <w:color w:val="auto"/>
                <w:kern w:val="0"/>
                <w:sz w:val="24"/>
                <w:highlight w:val="none"/>
              </w:rPr>
              <w:t>值</w:t>
            </w:r>
            <w:r>
              <w:rPr>
                <w:rFonts w:hint="default" w:ascii="Times New Roman" w:hAnsi="Times New Roman" w:eastAsia="宋体" w:cs="Times New Roman"/>
                <w:color w:val="auto"/>
                <w:sz w:val="24"/>
                <w:highlight w:val="none"/>
              </w:rPr>
              <w:t>详见表</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-1</w:t>
            </w:r>
            <w:r>
              <w:rPr>
                <w:rFonts w:hint="eastAsia"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14:paraId="1381241A">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表</w:t>
            </w:r>
            <w:r>
              <w:rPr>
                <w:rFonts w:hint="default" w:ascii="Times New Roman" w:hAnsi="Times New Roman" w:eastAsia="宋体" w:cs="Times New Roman"/>
                <w:b/>
                <w:color w:val="auto"/>
                <w:kern w:val="21"/>
                <w:szCs w:val="21"/>
                <w:highlight w:val="none"/>
                <w:lang w:val="en-US" w:eastAsia="zh-CN"/>
              </w:rPr>
              <w:t>3</w:t>
            </w:r>
            <w:r>
              <w:rPr>
                <w:rFonts w:hint="default" w:ascii="Times New Roman" w:hAnsi="Times New Roman" w:eastAsia="宋体" w:cs="Times New Roman"/>
                <w:b/>
                <w:color w:val="auto"/>
                <w:kern w:val="21"/>
                <w:szCs w:val="21"/>
                <w:highlight w:val="none"/>
              </w:rPr>
              <w:t>-</w:t>
            </w:r>
            <w:r>
              <w:rPr>
                <w:rFonts w:hint="default" w:ascii="Times New Roman" w:hAnsi="Times New Roman" w:eastAsia="宋体" w:cs="Times New Roman"/>
                <w:b/>
                <w:color w:val="auto"/>
                <w:kern w:val="21"/>
                <w:szCs w:val="21"/>
                <w:highlight w:val="none"/>
                <w:lang w:val="en-US" w:eastAsia="zh-CN"/>
              </w:rPr>
              <w:t>1</w:t>
            </w:r>
            <w:r>
              <w:rPr>
                <w:rFonts w:hint="eastAsia" w:eastAsia="宋体" w:cs="Times New Roman"/>
                <w:b/>
                <w:color w:val="auto"/>
                <w:kern w:val="21"/>
                <w:szCs w:val="21"/>
                <w:highlight w:val="none"/>
                <w:lang w:val="en-US" w:eastAsia="zh-CN"/>
              </w:rPr>
              <w:t>4</w:t>
            </w:r>
            <w:r>
              <w:rPr>
                <w:rFonts w:hint="default" w:ascii="Times New Roman" w:hAnsi="Times New Roman" w:eastAsia="宋体" w:cs="Times New Roman"/>
                <w:b/>
                <w:color w:val="auto"/>
                <w:kern w:val="21"/>
                <w:szCs w:val="21"/>
                <w:highlight w:val="none"/>
                <w:lang w:val="en-US" w:eastAsia="zh-CN"/>
              </w:rPr>
              <w:t xml:space="preserve">  </w:t>
            </w:r>
            <w:r>
              <w:rPr>
                <w:rFonts w:hint="default" w:ascii="Times New Roman" w:hAnsi="Times New Roman" w:eastAsia="宋体" w:cs="Times New Roman"/>
                <w:b/>
                <w:color w:val="auto"/>
                <w:kern w:val="21"/>
                <w:szCs w:val="21"/>
                <w:highlight w:val="none"/>
              </w:rPr>
              <w:t>工业企业厂界环境噪声排放标准   单位：dB（A）</w:t>
            </w:r>
          </w:p>
          <w:tbl>
            <w:tblPr>
              <w:tblStyle w:val="27"/>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3"/>
              <w:gridCol w:w="2329"/>
              <w:gridCol w:w="1412"/>
            </w:tblGrid>
            <w:tr w14:paraId="2565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Merge w:val="restart"/>
                  <w:vAlign w:val="center"/>
                </w:tcPr>
                <w:p w14:paraId="2C12CA0F">
                  <w:pPr>
                    <w:tabs>
                      <w:tab w:val="left" w:pos="0"/>
                    </w:tabs>
                    <w:adjustRightInd w:val="0"/>
                    <w:snapToGrid w:val="0"/>
                    <w:jc w:val="center"/>
                    <w:rPr>
                      <w:rFonts w:hint="default" w:ascii="Times New Roman" w:hAnsi="Times New Roman" w:eastAsia="宋体" w:cs="Times New Roman"/>
                      <w:b/>
                      <w:color w:val="auto"/>
                      <w:kern w:val="21"/>
                      <w:szCs w:val="21"/>
                      <w:highlight w:val="none"/>
                      <w:lang w:val="en-US" w:eastAsia="zh-CN"/>
                    </w:rPr>
                  </w:pPr>
                  <w:r>
                    <w:rPr>
                      <w:rFonts w:hint="default" w:ascii="Times New Roman" w:hAnsi="Times New Roman" w:eastAsia="宋体" w:cs="Times New Roman"/>
                      <w:b/>
                      <w:color w:val="auto"/>
                      <w:kern w:val="21"/>
                      <w:szCs w:val="21"/>
                      <w:highlight w:val="none"/>
                      <w:lang w:val="en-US" w:eastAsia="zh-CN"/>
                    </w:rPr>
                    <w:t>类别</w:t>
                  </w:r>
                </w:p>
              </w:tc>
              <w:tc>
                <w:tcPr>
                  <w:tcW w:w="3741" w:type="dxa"/>
                  <w:gridSpan w:val="2"/>
                  <w:vAlign w:val="center"/>
                </w:tcPr>
                <w:p w14:paraId="279FF448">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时段</w:t>
                  </w:r>
                </w:p>
              </w:tc>
            </w:tr>
            <w:tr w14:paraId="5FF4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Merge w:val="continue"/>
                  <w:vAlign w:val="center"/>
                </w:tcPr>
                <w:p w14:paraId="38083ABD">
                  <w:pPr>
                    <w:tabs>
                      <w:tab w:val="left" w:pos="0"/>
                    </w:tabs>
                    <w:adjustRightInd w:val="0"/>
                    <w:snapToGrid w:val="0"/>
                    <w:jc w:val="center"/>
                    <w:rPr>
                      <w:rFonts w:hint="default" w:ascii="Times New Roman" w:hAnsi="Times New Roman" w:eastAsia="宋体" w:cs="Times New Roman"/>
                      <w:b/>
                      <w:color w:val="auto"/>
                      <w:kern w:val="21"/>
                      <w:szCs w:val="21"/>
                      <w:highlight w:val="none"/>
                    </w:rPr>
                  </w:pPr>
                </w:p>
              </w:tc>
              <w:tc>
                <w:tcPr>
                  <w:tcW w:w="2329" w:type="dxa"/>
                  <w:vAlign w:val="center"/>
                </w:tcPr>
                <w:p w14:paraId="65C935AD">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昼间</w:t>
                  </w:r>
                </w:p>
              </w:tc>
              <w:tc>
                <w:tcPr>
                  <w:tcW w:w="1412" w:type="dxa"/>
                  <w:vAlign w:val="center"/>
                </w:tcPr>
                <w:p w14:paraId="4306FF32">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夜间</w:t>
                  </w:r>
                </w:p>
              </w:tc>
            </w:tr>
            <w:tr w14:paraId="0709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Align w:val="center"/>
                </w:tcPr>
                <w:p w14:paraId="2FE71D69">
                  <w:pPr>
                    <w:tabs>
                      <w:tab w:val="left" w:pos="0"/>
                    </w:tabs>
                    <w:adjustRightInd w:val="0"/>
                    <w:snapToGrid w:val="0"/>
                    <w:jc w:val="center"/>
                    <w:rPr>
                      <w:rFonts w:hint="default" w:ascii="Times New Roman" w:hAnsi="Times New Roman" w:eastAsia="宋体" w:cs="Times New Roman"/>
                      <w:bCs/>
                      <w:color w:val="auto"/>
                      <w:kern w:val="21"/>
                      <w:szCs w:val="21"/>
                      <w:highlight w:val="none"/>
                      <w:lang w:eastAsia="zh-CN"/>
                    </w:rPr>
                  </w:pPr>
                  <w:r>
                    <w:rPr>
                      <w:rFonts w:hint="default" w:ascii="Times New Roman" w:hAnsi="Times New Roman" w:eastAsia="宋体" w:cs="Times New Roman"/>
                      <w:bCs/>
                      <w:color w:val="auto"/>
                      <w:kern w:val="21"/>
                      <w:szCs w:val="21"/>
                      <w:highlight w:val="none"/>
                      <w:lang w:val="en-US" w:eastAsia="zh-CN"/>
                    </w:rPr>
                    <w:t>3</w:t>
                  </w:r>
                  <w:r>
                    <w:rPr>
                      <w:rFonts w:hint="default" w:ascii="Times New Roman" w:hAnsi="Times New Roman" w:eastAsia="宋体" w:cs="Times New Roman"/>
                      <w:bCs/>
                      <w:color w:val="auto"/>
                      <w:kern w:val="21"/>
                      <w:szCs w:val="21"/>
                      <w:highlight w:val="none"/>
                    </w:rPr>
                    <w:t>类</w:t>
                  </w:r>
                  <w:r>
                    <w:rPr>
                      <w:rFonts w:hint="default" w:ascii="Times New Roman" w:hAnsi="Times New Roman" w:eastAsia="宋体" w:cs="Times New Roman"/>
                      <w:bCs/>
                      <w:color w:val="auto"/>
                      <w:kern w:val="21"/>
                      <w:szCs w:val="21"/>
                      <w:highlight w:val="none"/>
                      <w:lang w:eastAsia="zh-CN"/>
                    </w:rPr>
                    <w:t>（</w:t>
                  </w:r>
                  <w:r>
                    <w:rPr>
                      <w:rFonts w:hint="eastAsia" w:eastAsia="宋体" w:cs="Times New Roman"/>
                      <w:color w:val="auto"/>
                      <w:sz w:val="21"/>
                      <w:szCs w:val="21"/>
                      <w:highlight w:val="none"/>
                      <w:lang w:val="en-US" w:eastAsia="zh-CN"/>
                    </w:rPr>
                    <w:t>南、西、北</w:t>
                  </w:r>
                  <w:r>
                    <w:rPr>
                      <w:rFonts w:hint="default" w:ascii="Times New Roman" w:hAnsi="Times New Roman" w:eastAsia="宋体" w:cs="Times New Roman"/>
                      <w:color w:val="auto"/>
                      <w:sz w:val="21"/>
                      <w:szCs w:val="21"/>
                      <w:highlight w:val="none"/>
                      <w:lang w:val="en-US" w:eastAsia="zh-CN"/>
                    </w:rPr>
                    <w:t>厂界</w:t>
                  </w:r>
                  <w:r>
                    <w:rPr>
                      <w:rFonts w:hint="default" w:ascii="Times New Roman" w:hAnsi="Times New Roman" w:eastAsia="宋体" w:cs="Times New Roman"/>
                      <w:bCs/>
                      <w:color w:val="auto"/>
                      <w:kern w:val="21"/>
                      <w:szCs w:val="21"/>
                      <w:highlight w:val="none"/>
                      <w:lang w:eastAsia="zh-CN"/>
                    </w:rPr>
                    <w:t>）</w:t>
                  </w:r>
                </w:p>
              </w:tc>
              <w:tc>
                <w:tcPr>
                  <w:tcW w:w="2329" w:type="dxa"/>
                  <w:vAlign w:val="center"/>
                </w:tcPr>
                <w:p w14:paraId="57609B66">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65</w:t>
                  </w:r>
                </w:p>
              </w:tc>
              <w:tc>
                <w:tcPr>
                  <w:tcW w:w="1412" w:type="dxa"/>
                  <w:vAlign w:val="center"/>
                </w:tcPr>
                <w:p w14:paraId="335BF0A7">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55</w:t>
                  </w:r>
                </w:p>
              </w:tc>
            </w:tr>
            <w:tr w14:paraId="62B5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Align w:val="center"/>
                </w:tcPr>
                <w:p w14:paraId="220E5E8F">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4类（</w:t>
                  </w:r>
                  <w:r>
                    <w:rPr>
                      <w:rFonts w:hint="eastAsia" w:eastAsia="宋体" w:cs="Times New Roman"/>
                      <w:color w:val="auto"/>
                      <w:sz w:val="21"/>
                      <w:szCs w:val="21"/>
                      <w:highlight w:val="none"/>
                      <w:lang w:val="en-US" w:eastAsia="zh-CN" w:bidi="ar"/>
                    </w:rPr>
                    <w:t>东</w:t>
                  </w:r>
                  <w:r>
                    <w:rPr>
                      <w:rFonts w:hint="default" w:ascii="Times New Roman" w:hAnsi="Times New Roman" w:eastAsia="宋体" w:cs="Times New Roman"/>
                      <w:color w:val="auto"/>
                      <w:sz w:val="21"/>
                      <w:szCs w:val="21"/>
                      <w:highlight w:val="none"/>
                      <w:lang w:val="en-US" w:eastAsia="zh-CN" w:bidi="ar"/>
                    </w:rPr>
                    <w:t>侧</w:t>
                  </w:r>
                  <w:r>
                    <w:rPr>
                      <w:rFonts w:hint="default" w:ascii="Times New Roman" w:hAnsi="Times New Roman" w:eastAsia="宋体" w:cs="Times New Roman"/>
                      <w:color w:val="auto"/>
                      <w:sz w:val="21"/>
                      <w:szCs w:val="21"/>
                      <w:highlight w:val="none"/>
                    </w:rPr>
                    <w:t>35±5m范围</w:t>
                  </w:r>
                  <w:r>
                    <w:rPr>
                      <w:rFonts w:hint="default" w:ascii="Times New Roman" w:hAnsi="Times New Roman" w:eastAsia="宋体" w:cs="Times New Roman"/>
                      <w:color w:val="auto"/>
                      <w:sz w:val="21"/>
                      <w:szCs w:val="21"/>
                      <w:highlight w:val="none"/>
                      <w:lang w:val="en-US" w:eastAsia="zh-CN"/>
                    </w:rPr>
                    <w:t>内</w:t>
                  </w:r>
                  <w:r>
                    <w:rPr>
                      <w:rFonts w:hint="default" w:ascii="Times New Roman" w:hAnsi="Times New Roman" w:eastAsia="宋体" w:cs="Times New Roman"/>
                      <w:bCs/>
                      <w:color w:val="auto"/>
                      <w:kern w:val="21"/>
                      <w:szCs w:val="21"/>
                      <w:highlight w:val="none"/>
                      <w:lang w:val="en-US" w:eastAsia="zh-CN"/>
                    </w:rPr>
                    <w:t>）</w:t>
                  </w:r>
                </w:p>
              </w:tc>
              <w:tc>
                <w:tcPr>
                  <w:tcW w:w="2329" w:type="dxa"/>
                  <w:vAlign w:val="center"/>
                </w:tcPr>
                <w:p w14:paraId="5DAAD31B">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70</w:t>
                  </w:r>
                </w:p>
              </w:tc>
              <w:tc>
                <w:tcPr>
                  <w:tcW w:w="1412" w:type="dxa"/>
                  <w:vAlign w:val="center"/>
                </w:tcPr>
                <w:p w14:paraId="4D0840CC">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55</w:t>
                  </w:r>
                </w:p>
              </w:tc>
            </w:tr>
          </w:tbl>
          <w:p w14:paraId="6F354FE3">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4、固废</w:t>
            </w:r>
          </w:p>
          <w:p w14:paraId="27C63B60">
            <w:pPr>
              <w:pStyle w:val="16"/>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 w:val="24"/>
                <w:highlight w:val="none"/>
                <w:lang w:val="zh-CN"/>
              </w:rPr>
              <w:t>项目运营</w:t>
            </w:r>
            <w:r>
              <w:rPr>
                <w:rFonts w:hint="default" w:ascii="Times New Roman" w:hAnsi="Times New Roman" w:eastAsia="宋体" w:cs="Times New Roman"/>
                <w:color w:val="auto"/>
                <w:sz w:val="24"/>
                <w:highlight w:val="none"/>
                <w:lang w:val="en-US" w:eastAsia="zh-CN"/>
              </w:rPr>
              <w:t>期</w:t>
            </w:r>
            <w:r>
              <w:rPr>
                <w:rFonts w:hint="default" w:ascii="Times New Roman" w:hAnsi="Times New Roman" w:eastAsia="宋体" w:cs="Times New Roman"/>
                <w:color w:val="auto"/>
                <w:sz w:val="24"/>
                <w:highlight w:val="none"/>
                <w:lang w:val="zh-CN"/>
              </w:rPr>
              <w:t>产生的一般固体废物</w:t>
            </w:r>
            <w:r>
              <w:rPr>
                <w:rFonts w:hint="default" w:ascii="Times New Roman" w:hAnsi="Times New Roman" w:eastAsia="宋体" w:cs="Times New Roman"/>
                <w:color w:val="auto"/>
                <w:sz w:val="24"/>
                <w:highlight w:val="none"/>
                <w:lang w:val="en-US" w:eastAsia="zh-CN"/>
              </w:rPr>
              <w:t>贮存和处置</w:t>
            </w:r>
            <w:r>
              <w:rPr>
                <w:rFonts w:hint="default" w:ascii="Times New Roman" w:hAnsi="Times New Roman" w:eastAsia="宋体" w:cs="Times New Roman"/>
                <w:color w:val="auto"/>
                <w:sz w:val="24"/>
                <w:highlight w:val="none"/>
                <w:lang w:val="zh-CN"/>
              </w:rPr>
              <w:t>执行《一般工业固体废物贮存和填埋污染控制标准》（GB18599-20</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zh-CN"/>
              </w:rPr>
              <w:t>）；危险废物贮存执行</w:t>
            </w:r>
            <w:r>
              <w:rPr>
                <w:rFonts w:hint="eastAsia"/>
                <w:color w:val="auto"/>
                <w:sz w:val="24"/>
                <w:highlight w:val="none"/>
                <w:lang w:eastAsia="zh-CN"/>
              </w:rPr>
              <w:t>《</w:t>
            </w:r>
            <w:r>
              <w:rPr>
                <w:rFonts w:hint="default" w:ascii="Times New Roman" w:hAnsi="Times New Roman" w:eastAsia="宋体" w:cs="Times New Roman"/>
                <w:color w:val="auto"/>
                <w:spacing w:val="-8"/>
                <w:sz w:val="24"/>
                <w:szCs w:val="24"/>
                <w:highlight w:val="none"/>
              </w:rPr>
              <w:t>危险废物贮存污染控制标准》</w:t>
            </w:r>
            <w:r>
              <w:rPr>
                <w:rFonts w:hint="default" w:ascii="Times New Roman" w:hAnsi="Times New Roman" w:eastAsia="宋体" w:cs="Times New Roman"/>
                <w:color w:val="auto"/>
                <w:sz w:val="24"/>
                <w:szCs w:val="24"/>
                <w:highlight w:val="none"/>
              </w:rPr>
              <w:t xml:space="preserve">（GB </w:t>
            </w:r>
            <w:r>
              <w:rPr>
                <w:rFonts w:hint="default" w:ascii="Times New Roman" w:hAnsi="Times New Roman" w:eastAsia="宋体" w:cs="Times New Roman"/>
                <w:color w:val="auto"/>
                <w:spacing w:val="-3"/>
                <w:sz w:val="24"/>
                <w:szCs w:val="24"/>
                <w:highlight w:val="none"/>
              </w:rPr>
              <w:t>18597-20</w:t>
            </w:r>
            <w:r>
              <w:rPr>
                <w:rFonts w:hint="eastAsia" w:ascii="Times New Roman" w:hAnsi="Times New Roman" w:cs="Times New Roman"/>
                <w:color w:val="auto"/>
                <w:spacing w:val="-3"/>
                <w:sz w:val="24"/>
                <w:szCs w:val="24"/>
                <w:highlight w:val="none"/>
                <w:lang w:val="en-US" w:eastAsia="zh-CN"/>
              </w:rPr>
              <w:t>23代替GB 18597-2001</w:t>
            </w:r>
            <w:r>
              <w:rPr>
                <w:rFonts w:hint="default" w:ascii="Times New Roman" w:hAnsi="Times New Roman" w:eastAsia="宋体" w:cs="Times New Roman"/>
                <w:color w:val="auto"/>
                <w:spacing w:val="-3"/>
                <w:sz w:val="24"/>
                <w:szCs w:val="24"/>
                <w:highlight w:val="none"/>
              </w:rPr>
              <w:t>）</w:t>
            </w:r>
            <w:r>
              <w:rPr>
                <w:rFonts w:hint="eastAsia" w:ascii="Times New Roman" w:hAnsi="Times New Roman" w:cs="Times New Roman"/>
                <w:color w:val="auto"/>
                <w:sz w:val="24"/>
                <w:highlight w:val="none"/>
                <w:lang w:val="zh-CN"/>
              </w:rPr>
              <w:t>、</w:t>
            </w:r>
            <w:r>
              <w:rPr>
                <w:color w:val="auto"/>
                <w:sz w:val="24"/>
                <w:highlight w:val="none"/>
              </w:rPr>
              <w:t>《危险废物污染防治技术政策》和《危险废物转移联单管理办法》中的有关规定</w:t>
            </w:r>
            <w:r>
              <w:rPr>
                <w:rFonts w:hint="default" w:ascii="Times New Roman" w:hAnsi="Times New Roman" w:eastAsia="宋体" w:cs="Times New Roman"/>
                <w:color w:val="auto"/>
                <w:sz w:val="24"/>
                <w:highlight w:val="none"/>
                <w:lang w:val="zh-CN"/>
              </w:rPr>
              <w:t>。</w:t>
            </w:r>
          </w:p>
        </w:tc>
      </w:tr>
      <w:tr w14:paraId="14687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2" w:type="dxa"/>
            <w:vAlign w:val="center"/>
          </w:tcPr>
          <w:p w14:paraId="56AD81A1">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14:paraId="66ECAFF8">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14:paraId="2D79702F">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指标</w:t>
            </w:r>
          </w:p>
        </w:tc>
        <w:tc>
          <w:tcPr>
            <w:tcW w:w="8609" w:type="dxa"/>
            <w:vAlign w:val="center"/>
          </w:tcPr>
          <w:p w14:paraId="7A8F47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lang w:val="zh-CN"/>
              </w:rPr>
              <w:t>结合工程分析，本项目总量控制指标建议如下：</w:t>
            </w:r>
          </w:p>
          <w:p w14:paraId="39E80A7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废气</w:t>
            </w:r>
          </w:p>
          <w:p w14:paraId="25299F98">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①有组织排放情况</w:t>
            </w:r>
          </w:p>
          <w:p w14:paraId="1EB93142">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废气量：</w:t>
            </w:r>
            <w:r>
              <w:rPr>
                <w:rFonts w:hint="eastAsia" w:cs="Times New Roman"/>
                <w:b w:val="0"/>
                <w:bCs w:val="0"/>
                <w:color w:val="auto"/>
                <w:kern w:val="0"/>
                <w:sz w:val="24"/>
                <w:szCs w:val="24"/>
                <w:highlight w:val="none"/>
                <w:lang w:val="en-US" w:eastAsia="zh-CN"/>
              </w:rPr>
              <w:t>93505.0637</w:t>
            </w:r>
            <w:r>
              <w:rPr>
                <w:rFonts w:hint="default" w:ascii="Times New Roman" w:hAnsi="Times New Roman" w:eastAsia="宋体" w:cs="Times New Roman"/>
                <w:b w:val="0"/>
                <w:bCs w:val="0"/>
                <w:color w:val="auto"/>
                <w:kern w:val="0"/>
                <w:sz w:val="24"/>
                <w:szCs w:val="24"/>
                <w:highlight w:val="none"/>
                <w:lang w:val="en-US" w:eastAsia="zh-CN"/>
              </w:rPr>
              <w:t>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有组织颗粒物排放量为</w:t>
            </w:r>
            <w:r>
              <w:rPr>
                <w:rFonts w:hint="eastAsia" w:cs="Times New Roman"/>
                <w:bCs/>
                <w:color w:val="auto"/>
                <w:sz w:val="24"/>
                <w:szCs w:val="24"/>
                <w:highlight w:val="none"/>
                <w:lang w:val="en-US" w:eastAsia="zh-CN"/>
              </w:rPr>
              <w:t>0.9734</w:t>
            </w:r>
            <w:r>
              <w:rPr>
                <w:rFonts w:hint="default" w:ascii="Times New Roman" w:hAnsi="Times New Roman" w:eastAsia="宋体" w:cs="Times New Roman"/>
                <w:bCs/>
                <w:color w:val="auto"/>
                <w:sz w:val="24"/>
                <w:szCs w:val="24"/>
                <w:highlight w:val="none"/>
                <w:lang w:val="en-US" w:eastAsia="zh-CN"/>
              </w:rPr>
              <w:t>t/a，</w:t>
            </w:r>
            <w:r>
              <w:rPr>
                <w:rFonts w:hint="eastAsia" w:cs="Times New Roman"/>
                <w:bCs/>
                <w:color w:val="auto"/>
                <w:sz w:val="24"/>
                <w:szCs w:val="24"/>
                <w:highlight w:val="none"/>
                <w:lang w:val="en-US" w:eastAsia="zh-CN"/>
              </w:rPr>
              <w:t>二氧化硫</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eastAsia" w:cs="Times New Roman"/>
                <w:color w:val="auto"/>
                <w:sz w:val="24"/>
                <w:szCs w:val="24"/>
                <w:highlight w:val="none"/>
                <w:lang w:val="en-US" w:eastAsia="zh-CN"/>
              </w:rPr>
              <w:t>8.3679</w:t>
            </w:r>
            <w:r>
              <w:rPr>
                <w:rFonts w:hint="default"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，氮氧化物</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eastAsia" w:cs="Times New Roman"/>
                <w:color w:val="auto"/>
                <w:sz w:val="24"/>
                <w:szCs w:val="24"/>
                <w:highlight w:val="none"/>
                <w:lang w:val="en-US" w:eastAsia="zh-CN"/>
              </w:rPr>
              <w:t>9.2977</w:t>
            </w:r>
            <w:r>
              <w:rPr>
                <w:rFonts w:hint="default"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kern w:val="0"/>
                <w:sz w:val="24"/>
                <w:szCs w:val="24"/>
                <w:highlight w:val="none"/>
                <w:lang w:val="en-US" w:eastAsia="zh-CN"/>
              </w:rPr>
              <w:t>氨</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eastAsia" w:cs="Times New Roman"/>
                <w:color w:val="auto"/>
                <w:sz w:val="24"/>
                <w:szCs w:val="24"/>
                <w:highlight w:val="none"/>
                <w:lang w:val="en-US" w:eastAsia="zh-CN"/>
              </w:rPr>
              <w:t>0.2895</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rPr>
              <w:t>。</w:t>
            </w:r>
          </w:p>
          <w:p w14:paraId="70967057">
            <w:pPr>
              <w:pStyle w:val="6"/>
              <w:keepNext w:val="0"/>
              <w:keepLines w:val="0"/>
              <w:pageBreakBefore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②无组织排放情况</w:t>
            </w:r>
          </w:p>
          <w:p w14:paraId="0CC44053">
            <w:pPr>
              <w:pStyle w:val="6"/>
              <w:keepNext w:val="0"/>
              <w:keepLines w:val="0"/>
              <w:pageBreakBefore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无组织颗粒物排放量为</w:t>
            </w:r>
            <w:r>
              <w:rPr>
                <w:rFonts w:hint="eastAsia" w:cs="Times New Roman"/>
                <w:b w:val="0"/>
                <w:bCs w:val="0"/>
                <w:color w:val="auto"/>
                <w:kern w:val="0"/>
                <w:sz w:val="24"/>
                <w:szCs w:val="24"/>
                <w:highlight w:val="none"/>
                <w:lang w:val="en-US" w:eastAsia="zh-CN"/>
              </w:rPr>
              <w:t>4.3161</w:t>
            </w:r>
            <w:r>
              <w:rPr>
                <w:rFonts w:hint="default" w:ascii="Times New Roman" w:hAnsi="Times New Roman" w:eastAsia="宋体" w:cs="Times New Roman"/>
                <w:b w:val="0"/>
                <w:bCs w:val="0"/>
                <w:color w:val="auto"/>
                <w:kern w:val="0"/>
                <w:sz w:val="24"/>
                <w:szCs w:val="24"/>
                <w:highlight w:val="none"/>
                <w:lang w:val="en-US" w:eastAsia="zh-CN"/>
              </w:rPr>
              <w:t>t/a，</w:t>
            </w:r>
            <w:r>
              <w:rPr>
                <w:rFonts w:hint="eastAsia" w:ascii="Times New Roman" w:hAnsi="Times New Roman" w:eastAsia="宋体" w:cs="Times New Roman"/>
                <w:b w:val="0"/>
                <w:bCs w:val="0"/>
                <w:color w:val="auto"/>
                <w:kern w:val="0"/>
                <w:sz w:val="24"/>
                <w:szCs w:val="24"/>
                <w:highlight w:val="none"/>
                <w:lang w:val="en-US" w:eastAsia="zh-CN"/>
              </w:rPr>
              <w:t>氨</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eastAsia" w:cs="Times New Roman"/>
                <w:i w:val="0"/>
                <w:iCs w:val="0"/>
                <w:color w:val="auto"/>
                <w:kern w:val="0"/>
                <w:sz w:val="24"/>
                <w:szCs w:val="24"/>
                <w:highlight w:val="none"/>
                <w:u w:val="none"/>
                <w:lang w:val="en-US" w:eastAsia="zh-CN" w:bidi="ar"/>
              </w:rPr>
              <w:t>0.000001234</w:t>
            </w:r>
            <w:r>
              <w:rPr>
                <w:rFonts w:hint="default" w:ascii="Times New Roman" w:hAnsi="Times New Roman" w:eastAsia="宋体" w:cs="Times New Roman"/>
                <w:b w:val="0"/>
                <w:bCs w:val="0"/>
                <w:color w:val="auto"/>
                <w:kern w:val="0"/>
                <w:sz w:val="24"/>
                <w:szCs w:val="24"/>
                <w:highlight w:val="none"/>
                <w:lang w:val="en-US" w:eastAsia="zh-CN"/>
              </w:rPr>
              <w:t>t/a。</w:t>
            </w:r>
          </w:p>
          <w:p w14:paraId="42CE071D">
            <w:pPr>
              <w:pStyle w:val="6"/>
              <w:keepNext w:val="0"/>
              <w:keepLines w:val="0"/>
              <w:pageBreakBefore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③全厂排放总量情况（有组织排放</w:t>
            </w:r>
            <w:r>
              <w:rPr>
                <w:rFonts w:hint="default" w:ascii="Times New Roman" w:hAnsi="Times New Roman" w:eastAsia="宋体" w:cs="Times New Roman"/>
                <w:b w:val="0"/>
                <w:bCs/>
                <w:color w:val="auto"/>
                <w:kern w:val="0"/>
                <w:sz w:val="24"/>
                <w:szCs w:val="24"/>
                <w:highlight w:val="none"/>
                <w:lang w:val="en-US" w:eastAsia="zh-CN"/>
              </w:rPr>
              <w:t>+无组织排放废气</w:t>
            </w:r>
            <w:r>
              <w:rPr>
                <w:rFonts w:hint="default" w:ascii="Times New Roman" w:hAnsi="Times New Roman" w:eastAsia="宋体" w:cs="Times New Roman"/>
                <w:b w:val="0"/>
                <w:bCs/>
                <w:color w:val="auto"/>
                <w:kern w:val="0"/>
                <w:sz w:val="24"/>
                <w:szCs w:val="24"/>
                <w:highlight w:val="none"/>
                <w:lang w:eastAsia="zh-CN"/>
              </w:rPr>
              <w:t>）</w:t>
            </w:r>
          </w:p>
          <w:p w14:paraId="7576CE52">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废气量：</w:t>
            </w:r>
            <w:r>
              <w:rPr>
                <w:rFonts w:hint="eastAsia" w:cs="Times New Roman"/>
                <w:b w:val="0"/>
                <w:bCs w:val="0"/>
                <w:color w:val="auto"/>
                <w:kern w:val="0"/>
                <w:sz w:val="24"/>
                <w:szCs w:val="24"/>
                <w:highlight w:val="none"/>
                <w:lang w:val="en-US" w:eastAsia="zh-CN"/>
              </w:rPr>
              <w:t>93505.0637</w:t>
            </w:r>
            <w:r>
              <w:rPr>
                <w:rFonts w:hint="default" w:ascii="Times New Roman" w:hAnsi="Times New Roman" w:eastAsia="宋体" w:cs="Times New Roman"/>
                <w:b w:val="0"/>
                <w:bCs w:val="0"/>
                <w:color w:val="auto"/>
                <w:kern w:val="0"/>
                <w:sz w:val="24"/>
                <w:szCs w:val="24"/>
                <w:highlight w:val="none"/>
                <w:lang w:val="en-US" w:eastAsia="zh-CN"/>
              </w:rPr>
              <w:t>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颗粒物排放量为</w:t>
            </w:r>
            <w:r>
              <w:rPr>
                <w:rFonts w:hint="eastAsia" w:cs="Times New Roman"/>
                <w:color w:val="auto"/>
                <w:sz w:val="24"/>
                <w:szCs w:val="24"/>
                <w:highlight w:val="none"/>
                <w:lang w:val="en-US" w:eastAsia="zh-CN"/>
              </w:rPr>
              <w:t>5.2895</w:t>
            </w:r>
            <w:r>
              <w:rPr>
                <w:rFonts w:hint="default" w:ascii="Times New Roman" w:hAnsi="Times New Roman" w:eastAsia="宋体" w:cs="Times New Roman"/>
                <w:bCs/>
                <w:color w:val="auto"/>
                <w:sz w:val="24"/>
                <w:szCs w:val="24"/>
                <w:highlight w:val="none"/>
                <w:lang w:val="en-US" w:eastAsia="zh-CN"/>
              </w:rPr>
              <w:t>t/a，</w:t>
            </w:r>
            <w:r>
              <w:rPr>
                <w:rFonts w:hint="eastAsia" w:cs="Times New Roman"/>
                <w:bCs/>
                <w:color w:val="auto"/>
                <w:sz w:val="24"/>
                <w:szCs w:val="24"/>
                <w:highlight w:val="none"/>
                <w:lang w:val="en-US" w:eastAsia="zh-CN"/>
              </w:rPr>
              <w:t>二氧化硫</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eastAsia" w:cs="Times New Roman"/>
                <w:color w:val="auto"/>
                <w:sz w:val="24"/>
                <w:szCs w:val="24"/>
                <w:highlight w:val="none"/>
                <w:lang w:val="en-US" w:eastAsia="zh-CN"/>
              </w:rPr>
              <w:t>8.3679</w:t>
            </w:r>
            <w:r>
              <w:rPr>
                <w:rFonts w:hint="default"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，氮氧化物</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eastAsia" w:cs="Times New Roman"/>
                <w:color w:val="auto"/>
                <w:sz w:val="24"/>
                <w:szCs w:val="24"/>
                <w:highlight w:val="none"/>
                <w:lang w:val="en-US" w:eastAsia="zh-CN"/>
              </w:rPr>
              <w:t>9.2977</w:t>
            </w:r>
            <w:r>
              <w:rPr>
                <w:rFonts w:hint="default" w:ascii="Times New Roman" w:hAnsi="Times New Roman" w:eastAsia="宋体" w:cs="Times New Roman"/>
                <w:b w:val="0"/>
                <w:bCs w:val="0"/>
                <w:color w:val="auto"/>
                <w:kern w:val="0"/>
                <w:sz w:val="24"/>
                <w:szCs w:val="24"/>
                <w:highlight w:val="none"/>
                <w:lang w:val="en-US" w:eastAsia="zh-CN"/>
              </w:rPr>
              <w:t>t/a</w:t>
            </w:r>
            <w:r>
              <w:rPr>
                <w:rFonts w:hint="eastAsia" w:ascii="Times New Roman" w:hAnsi="Times New Roman" w:eastAsia="宋体" w:cs="Times New Roman"/>
                <w:b w:val="0"/>
                <w:bCs w:val="0"/>
                <w:color w:val="auto"/>
                <w:kern w:val="0"/>
                <w:sz w:val="24"/>
                <w:szCs w:val="24"/>
                <w:highlight w:val="none"/>
                <w:lang w:val="en-US" w:eastAsia="zh-CN"/>
              </w:rPr>
              <w:t>，氨</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eastAsia" w:cs="Times New Roman"/>
                <w:color w:val="auto"/>
                <w:sz w:val="24"/>
                <w:szCs w:val="24"/>
                <w:highlight w:val="none"/>
                <w:lang w:val="en-US" w:eastAsia="zh-CN"/>
              </w:rPr>
              <w:t>0.289501234</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rPr>
              <w:t>。</w:t>
            </w:r>
          </w:p>
          <w:p w14:paraId="3B64855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废水</w:t>
            </w:r>
          </w:p>
          <w:p w14:paraId="646C318D">
            <w:pPr>
              <w:adjustRightInd w:val="0"/>
              <w:snapToGrid w:val="0"/>
              <w:spacing w:line="360" w:lineRule="auto"/>
              <w:ind w:firstLine="480" w:firstLineChars="200"/>
              <w:rPr>
                <w:rFonts w:hint="eastAsia" w:eastAsia="宋体" w:cs="Times New Roman"/>
                <w:b/>
                <w:bCs/>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项目</w:t>
            </w:r>
            <w:r>
              <w:rPr>
                <w:rFonts w:hint="default" w:ascii="Times New Roman" w:hAnsi="Times New Roman" w:eastAsia="宋体" w:cs="Times New Roman"/>
                <w:snapToGrid w:val="0"/>
                <w:color w:val="auto"/>
                <w:sz w:val="24"/>
                <w:highlight w:val="none"/>
              </w:rPr>
              <w:t>废水主要为设备</w:t>
            </w:r>
            <w:r>
              <w:rPr>
                <w:rFonts w:hint="eastAsia" w:cs="Times New Roman"/>
                <w:snapToGrid w:val="0"/>
                <w:color w:val="auto"/>
                <w:sz w:val="24"/>
                <w:highlight w:val="none"/>
                <w:lang w:eastAsia="zh-CN"/>
              </w:rPr>
              <w:t>冷却</w:t>
            </w:r>
            <w:r>
              <w:rPr>
                <w:rFonts w:hint="default" w:ascii="Times New Roman" w:hAnsi="Times New Roman" w:eastAsia="宋体" w:cs="Times New Roman"/>
                <w:snapToGrid w:val="0"/>
                <w:color w:val="auto"/>
                <w:sz w:val="24"/>
                <w:highlight w:val="none"/>
              </w:rPr>
              <w:t>废水</w:t>
            </w:r>
            <w:r>
              <w:rPr>
                <w:rFonts w:hint="eastAsia" w:ascii="Times New Roman" w:hAnsi="Times New Roman" w:eastAsia="宋体" w:cs="Times New Roman"/>
                <w:color w:val="auto"/>
                <w:sz w:val="24"/>
                <w:highlight w:val="none"/>
                <w:lang w:eastAsia="zh-CN"/>
              </w:rPr>
              <w:t>、化验废水、初期雨水</w:t>
            </w:r>
            <w:r>
              <w:rPr>
                <w:rFonts w:hint="default" w:ascii="Times New Roman" w:hAnsi="Times New Roman" w:eastAsia="宋体" w:cs="Times New Roman"/>
                <w:snapToGrid w:val="0"/>
                <w:color w:val="auto"/>
                <w:sz w:val="24"/>
                <w:highlight w:val="none"/>
              </w:rPr>
              <w:t>及办公生活污水</w:t>
            </w:r>
            <w:r>
              <w:rPr>
                <w:rFonts w:hint="eastAsia" w:ascii="Times New Roman" w:hAnsi="Times New Roman" w:cs="Times New Roman"/>
                <w:snapToGrid w:val="0"/>
                <w:color w:val="auto"/>
                <w:sz w:val="24"/>
                <w:highlight w:val="none"/>
                <w:lang w:eastAsia="zh-CN"/>
              </w:rPr>
              <w:t>。</w:t>
            </w:r>
            <w:r>
              <w:rPr>
                <w:rFonts w:hint="eastAsia" w:cs="Times New Roman"/>
                <w:caps w:val="0"/>
                <w:snapToGrid w:val="0"/>
                <w:color w:val="auto"/>
                <w:spacing w:val="0"/>
                <w:w w:val="100"/>
                <w:kern w:val="2"/>
                <w:position w:val="0"/>
                <w:sz w:val="24"/>
                <w:szCs w:val="24"/>
                <w:highlight w:val="none"/>
                <w:lang w:val="en-US" w:eastAsia="zh-CN" w:bidi="ar-SA"/>
              </w:rPr>
              <w:t>设备冷却废水</w:t>
            </w:r>
            <w:r>
              <w:rPr>
                <w:rFonts w:hint="default" w:ascii="Times New Roman" w:hAnsi="Times New Roman" w:eastAsia="宋体" w:cs="Times New Roman"/>
                <w:bCs/>
                <w:color w:val="auto"/>
                <w:kern w:val="2"/>
                <w:sz w:val="24"/>
                <w:szCs w:val="24"/>
                <w:highlight w:val="none"/>
                <w:lang w:val="en-US" w:eastAsia="zh-CN" w:bidi="ar-SA"/>
              </w:rPr>
              <w:t>经循环冷却</w:t>
            </w:r>
            <w:r>
              <w:rPr>
                <w:rFonts w:hint="default" w:ascii="Times New Roman" w:hAnsi="Times New Roman" w:eastAsia="宋体" w:cs="Times New Roman"/>
                <w:color w:val="auto"/>
                <w:sz w:val="24"/>
                <w:highlight w:val="none"/>
              </w:rPr>
              <w:t>池冷却后循环使用不外排</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w:t>
            </w:r>
            <w:r>
              <w:rPr>
                <w:rFonts w:hint="eastAsia"/>
                <w:color w:val="auto"/>
                <w:sz w:val="24"/>
                <w:highlight w:val="none"/>
              </w:rPr>
              <w:t>化验后的</w:t>
            </w:r>
            <w:r>
              <w:rPr>
                <w:color w:val="auto"/>
                <w:sz w:val="24"/>
                <w:highlight w:val="none"/>
              </w:rPr>
              <w:t>容器</w:t>
            </w:r>
            <w:r>
              <w:rPr>
                <w:rFonts w:hint="eastAsia"/>
                <w:color w:val="auto"/>
                <w:sz w:val="24"/>
                <w:highlight w:val="none"/>
              </w:rPr>
              <w:t>清洗废水通过投加絮凝剂、加入酸碱中和剂等</w:t>
            </w:r>
            <w:r>
              <w:rPr>
                <w:color w:val="auto"/>
                <w:sz w:val="24"/>
                <w:highlight w:val="none"/>
              </w:rPr>
              <w:t>方式</w:t>
            </w:r>
            <w:r>
              <w:rPr>
                <w:rFonts w:hint="eastAsia"/>
                <w:color w:val="auto"/>
                <w:sz w:val="24"/>
                <w:highlight w:val="none"/>
              </w:rPr>
              <w:t>对</w:t>
            </w:r>
            <w:r>
              <w:rPr>
                <w:color w:val="auto"/>
                <w:sz w:val="24"/>
                <w:highlight w:val="none"/>
              </w:rPr>
              <w:t>废水</w:t>
            </w:r>
            <w:r>
              <w:rPr>
                <w:rFonts w:hint="eastAsia"/>
                <w:color w:val="auto"/>
                <w:sz w:val="24"/>
                <w:highlight w:val="none"/>
              </w:rPr>
              <w:t>进行</w:t>
            </w:r>
            <w:r>
              <w:rPr>
                <w:color w:val="auto"/>
                <w:sz w:val="24"/>
                <w:highlight w:val="none"/>
              </w:rPr>
              <w:t>沉淀</w:t>
            </w:r>
            <w:r>
              <w:rPr>
                <w:rFonts w:hint="eastAsia"/>
                <w:color w:val="auto"/>
                <w:sz w:val="24"/>
                <w:highlight w:val="none"/>
              </w:rPr>
              <w:t>、</w:t>
            </w:r>
            <w:r>
              <w:rPr>
                <w:color w:val="auto"/>
                <w:sz w:val="24"/>
                <w:highlight w:val="none"/>
              </w:rPr>
              <w:t>中和</w:t>
            </w:r>
            <w:r>
              <w:rPr>
                <w:rFonts w:hint="eastAsia"/>
                <w:color w:val="auto"/>
                <w:sz w:val="24"/>
                <w:highlight w:val="none"/>
              </w:rPr>
              <w:t>等</w:t>
            </w:r>
            <w:r>
              <w:rPr>
                <w:color w:val="auto"/>
                <w:sz w:val="24"/>
                <w:highlight w:val="none"/>
              </w:rPr>
              <w:t>简易</w:t>
            </w:r>
            <w:r>
              <w:rPr>
                <w:rFonts w:hint="eastAsia"/>
                <w:color w:val="auto"/>
                <w:sz w:val="24"/>
                <w:highlight w:val="none"/>
              </w:rPr>
              <w:t>处理</w:t>
            </w:r>
            <w:r>
              <w:rPr>
                <w:color w:val="auto"/>
                <w:sz w:val="24"/>
                <w:highlight w:val="none"/>
              </w:rPr>
              <w:t>，</w:t>
            </w:r>
            <w:r>
              <w:rPr>
                <w:rFonts w:hint="eastAsia"/>
                <w:color w:val="auto"/>
                <w:sz w:val="24"/>
                <w:highlight w:val="none"/>
              </w:rPr>
              <w:t>处理后的废水排入厂内</w:t>
            </w:r>
            <w:r>
              <w:rPr>
                <w:color w:val="auto"/>
                <w:sz w:val="24"/>
                <w:highlight w:val="none"/>
              </w:rPr>
              <w:t>拟建</w:t>
            </w:r>
            <w:r>
              <w:rPr>
                <w:rFonts w:hint="eastAsia"/>
                <w:color w:val="auto"/>
                <w:sz w:val="24"/>
                <w:highlight w:val="none"/>
              </w:rPr>
              <w:t>的</w:t>
            </w:r>
            <w:r>
              <w:rPr>
                <w:rFonts w:hint="eastAsia"/>
                <w:color w:val="auto"/>
                <w:sz w:val="24"/>
                <w:highlight w:val="none"/>
                <w:lang w:eastAsia="zh-CN"/>
              </w:rPr>
              <w:t>污水</w:t>
            </w:r>
            <w:r>
              <w:rPr>
                <w:rFonts w:hint="eastAsia"/>
                <w:color w:val="auto"/>
                <w:sz w:val="24"/>
                <w:highlight w:val="none"/>
              </w:rPr>
              <w:t>处理站统一</w:t>
            </w:r>
            <w:r>
              <w:rPr>
                <w:color w:val="auto"/>
                <w:sz w:val="24"/>
                <w:highlight w:val="none"/>
              </w:rPr>
              <w:t>处置</w:t>
            </w:r>
            <w:r>
              <w:rPr>
                <w:rFonts w:hint="eastAsia"/>
                <w:color w:val="auto"/>
                <w:sz w:val="24"/>
                <w:highlight w:val="none"/>
                <w:lang w:eastAsia="zh-CN"/>
              </w:rPr>
              <w:t>；</w:t>
            </w:r>
            <w:r>
              <w:rPr>
                <w:rFonts w:hint="default" w:ascii="Times New Roman" w:hAnsi="Times New Roman" w:eastAsia="宋体" w:cs="Times New Roman"/>
                <w:color w:val="auto"/>
                <w:sz w:val="24"/>
                <w:highlight w:val="none"/>
              </w:rPr>
              <w:t>初期雨水</w:t>
            </w:r>
            <w:r>
              <w:rPr>
                <w:rFonts w:hint="eastAsia" w:ascii="Times New Roman" w:hAnsi="Times New Roman" w:eastAsia="宋体" w:cs="Times New Roman"/>
                <w:color w:val="auto"/>
                <w:sz w:val="24"/>
                <w:highlight w:val="none"/>
                <w:lang w:eastAsia="zh-CN"/>
              </w:rPr>
              <w:t>经沉淀</w:t>
            </w:r>
            <w:r>
              <w:rPr>
                <w:rFonts w:hint="default" w:ascii="Times New Roman" w:hAnsi="Times New Roman" w:eastAsia="宋体" w:cs="Times New Roman"/>
                <w:color w:val="auto"/>
                <w:sz w:val="24"/>
                <w:highlight w:val="none"/>
              </w:rPr>
              <w:t>处理后回用</w:t>
            </w:r>
            <w:r>
              <w:rPr>
                <w:rFonts w:hint="default" w:ascii="Times New Roman" w:hAnsi="Times New Roman" w:eastAsia="宋体" w:cs="Times New Roman"/>
                <w:color w:val="auto"/>
                <w:sz w:val="24"/>
                <w:highlight w:val="none"/>
                <w:lang w:val="en-US" w:eastAsia="zh-CN"/>
              </w:rPr>
              <w:t>于</w:t>
            </w:r>
            <w:r>
              <w:rPr>
                <w:rFonts w:hint="eastAsia" w:ascii="Times New Roman" w:hAnsi="Times New Roman" w:eastAsia="宋体" w:cs="Times New Roman"/>
                <w:color w:val="auto"/>
                <w:sz w:val="24"/>
                <w:highlight w:val="none"/>
                <w:lang w:eastAsia="zh-CN"/>
              </w:rPr>
              <w:t>厂区洒水抑尘</w:t>
            </w:r>
            <w:r>
              <w:rPr>
                <w:rFonts w:hint="default" w:ascii="Times New Roman" w:hAnsi="Times New Roman" w:eastAsia="宋体" w:cs="Times New Roman"/>
                <w:color w:val="auto"/>
                <w:sz w:val="24"/>
                <w:highlight w:val="none"/>
              </w:rPr>
              <w:t>，不外排</w:t>
            </w:r>
            <w:r>
              <w:rPr>
                <w:rFonts w:hint="eastAsia" w:ascii="Times New Roman" w:hAnsi="Times New Roman" w:cs="Times New Roman"/>
                <w:color w:val="auto"/>
                <w:sz w:val="24"/>
                <w:highlight w:val="none"/>
                <w:lang w:eastAsia="zh-CN"/>
              </w:rPr>
              <w:t>。</w:t>
            </w:r>
          </w:p>
          <w:p w14:paraId="635B9521">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办公生活污水</w:t>
            </w:r>
            <w:r>
              <w:rPr>
                <w:rFonts w:hint="eastAsia" w:ascii="Times New Roman" w:hAnsi="Times New Roman" w:cs="Times New Roman"/>
                <w:caps w:val="0"/>
                <w:snapToGrid w:val="0"/>
                <w:color w:val="auto"/>
                <w:spacing w:val="0"/>
                <w:w w:val="100"/>
                <w:kern w:val="2"/>
                <w:position w:val="0"/>
                <w:sz w:val="24"/>
                <w:szCs w:val="24"/>
                <w:highlight w:val="none"/>
                <w:lang w:val="en-US" w:eastAsia="zh-CN" w:bidi="ar-SA"/>
              </w:rPr>
              <w:t>排入</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化粪</w:t>
            </w:r>
            <w:r>
              <w:rPr>
                <w:rFonts w:hint="eastAsia" w:cs="Times New Roman"/>
                <w:caps w:val="0"/>
                <w:snapToGrid w:val="0"/>
                <w:color w:val="auto"/>
                <w:spacing w:val="0"/>
                <w:w w:val="100"/>
                <w:kern w:val="2"/>
                <w:position w:val="0"/>
                <w:sz w:val="24"/>
                <w:szCs w:val="24"/>
                <w:highlight w:val="none"/>
                <w:lang w:val="en-US" w:eastAsia="zh-CN" w:bidi="ar-SA"/>
              </w:rPr>
              <w:t>池处理后同化验废水一并进入</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地埋式一体化污水处理站处理达《城市污水再生利用 城市杂用水水质》（GB/T18920-2020）中的城市绿化、道路清扫、消防、建筑施工标准后，用于项目区内绿化及道路场地洒水降尘，不外排。</w:t>
            </w:r>
          </w:p>
          <w:p w14:paraId="414A8F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因此，不设总量控制指标</w:t>
            </w:r>
            <w:r>
              <w:rPr>
                <w:rFonts w:hint="default" w:ascii="Times New Roman" w:hAnsi="Times New Roman" w:eastAsia="宋体" w:cs="Times New Roman"/>
                <w:b w:val="0"/>
                <w:bCs w:val="0"/>
                <w:color w:val="auto"/>
                <w:kern w:val="0"/>
                <w:sz w:val="24"/>
                <w:szCs w:val="24"/>
                <w:highlight w:val="none"/>
              </w:rPr>
              <w:t>。</w:t>
            </w:r>
          </w:p>
          <w:p w14:paraId="627ACA6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固体废物</w:t>
            </w:r>
          </w:p>
          <w:p w14:paraId="6C2B33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本项目固体废物</w:t>
            </w:r>
            <w:r>
              <w:rPr>
                <w:rFonts w:hint="default" w:ascii="Times New Roman" w:hAnsi="Times New Roman" w:eastAsia="宋体" w:cs="Times New Roman"/>
                <w:b w:val="0"/>
                <w:bCs w:val="0"/>
                <w:color w:val="auto"/>
                <w:sz w:val="24"/>
                <w:szCs w:val="24"/>
                <w:highlight w:val="none"/>
              </w:rPr>
              <w:t>处置率100%</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不</w:t>
            </w:r>
            <w:r>
              <w:rPr>
                <w:rFonts w:hint="default" w:ascii="Times New Roman" w:hAnsi="Times New Roman" w:eastAsia="宋体" w:cs="Times New Roman"/>
                <w:color w:val="auto"/>
                <w:sz w:val="24"/>
                <w:szCs w:val="24"/>
                <w:highlight w:val="none"/>
                <w:lang w:val="en-US" w:eastAsia="zh-CN"/>
              </w:rPr>
              <w:t>设总量控制指标</w:t>
            </w:r>
            <w:r>
              <w:rPr>
                <w:rFonts w:hint="default" w:ascii="Times New Roman" w:hAnsi="Times New Roman" w:eastAsia="宋体" w:cs="Times New Roman"/>
                <w:color w:val="auto"/>
                <w:sz w:val="24"/>
                <w:szCs w:val="24"/>
                <w:highlight w:val="none"/>
              </w:rPr>
              <w:t>。</w:t>
            </w:r>
          </w:p>
          <w:p w14:paraId="4FFDEB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p>
          <w:p w14:paraId="632598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p>
          <w:p w14:paraId="776B12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p>
          <w:p w14:paraId="7B18F7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p>
          <w:p w14:paraId="280C88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p>
          <w:p w14:paraId="36BB5C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p>
          <w:p w14:paraId="6522EF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p>
          <w:p w14:paraId="4637F5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p>
          <w:p w14:paraId="67C183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p>
          <w:p w14:paraId="4CCAB1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p>
          <w:p w14:paraId="626EB7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p>
          <w:p w14:paraId="6B2DF3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p>
          <w:p w14:paraId="13752D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p>
          <w:p w14:paraId="7948BB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p>
          <w:p w14:paraId="4D6F73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p>
          <w:p w14:paraId="68ABC5F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color w:val="auto"/>
                <w:sz w:val="24"/>
                <w:szCs w:val="24"/>
                <w:highlight w:val="none"/>
                <w:lang w:eastAsia="zh-CN"/>
              </w:rPr>
            </w:pPr>
          </w:p>
          <w:p w14:paraId="00BA561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宋体"/>
                <w:color w:val="auto"/>
                <w:highlight w:val="none"/>
                <w:lang w:eastAsia="zh-CN"/>
              </w:rPr>
            </w:pPr>
          </w:p>
        </w:tc>
      </w:tr>
    </w:tbl>
    <w:p w14:paraId="7F1BD3FE">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7" w:name="_Toc4859"/>
      <w:bookmarkStart w:id="18" w:name="_Toc6939"/>
      <w:r>
        <w:rPr>
          <w:rFonts w:hint="default" w:ascii="Times New Roman" w:hAnsi="Times New Roman" w:eastAsia="宋体" w:cs="Times New Roman"/>
          <w:snapToGrid w:val="0"/>
          <w:color w:val="auto"/>
          <w:sz w:val="36"/>
          <w:szCs w:val="36"/>
          <w:highlight w:val="none"/>
        </w:rPr>
        <w:br w:type="page"/>
      </w:r>
      <w:bookmarkStart w:id="19" w:name="_Toc32349"/>
      <w:bookmarkStart w:id="20" w:name="_Toc6112"/>
      <w:r>
        <w:rPr>
          <w:rFonts w:hint="default" w:ascii="Times New Roman" w:hAnsi="Times New Roman" w:eastAsia="宋体" w:cs="Times New Roman"/>
          <w:b/>
          <w:bCs/>
          <w:snapToGrid w:val="0"/>
          <w:color w:val="auto"/>
          <w:sz w:val="30"/>
          <w:szCs w:val="30"/>
          <w:highlight w:val="none"/>
        </w:rPr>
        <w:t>四、主要环境影响和保护措施</w:t>
      </w:r>
      <w:bookmarkEnd w:id="19"/>
      <w:bookmarkEnd w:id="20"/>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0"/>
        <w:gridCol w:w="8691"/>
      </w:tblGrid>
      <w:tr w14:paraId="7689D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dxa"/>
            <w:tcMar>
              <w:left w:w="28" w:type="dxa"/>
              <w:right w:w="28" w:type="dxa"/>
            </w:tcMar>
            <w:vAlign w:val="center"/>
          </w:tcPr>
          <w:p w14:paraId="264C19A2">
            <w:pPr>
              <w:pStyle w:val="24"/>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14:paraId="0CA8FC95">
            <w:pPr>
              <w:pStyle w:val="24"/>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14:paraId="786A48FD">
            <w:pPr>
              <w:pStyle w:val="24"/>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14:paraId="22B04C30">
            <w:pPr>
              <w:pStyle w:val="24"/>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14:paraId="6FED4F29">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4"/>
                <w:szCs w:val="24"/>
                <w:highlight w:val="none"/>
              </w:rPr>
              <w:t>施</w:t>
            </w:r>
          </w:p>
        </w:tc>
        <w:tc>
          <w:tcPr>
            <w:tcW w:w="8691" w:type="dxa"/>
            <w:vAlign w:val="center"/>
          </w:tcPr>
          <w:p w14:paraId="70D78172">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iCs/>
                <w:color w:val="auto"/>
                <w:sz w:val="24"/>
                <w:highlight w:val="none"/>
                <w:lang w:val="en-US" w:eastAsia="zh-CN"/>
              </w:rPr>
              <w:t>本</w:t>
            </w:r>
            <w:r>
              <w:rPr>
                <w:rFonts w:hint="eastAsia" w:cs="Times New Roman"/>
                <w:iCs/>
                <w:color w:val="auto"/>
                <w:sz w:val="24"/>
                <w:highlight w:val="none"/>
                <w:lang w:val="en-US" w:eastAsia="zh-CN"/>
              </w:rPr>
              <w:t>项目现场为空地及一处空厂房，项目分两期建设，</w:t>
            </w:r>
            <w:r>
              <w:rPr>
                <w:rFonts w:hint="default" w:ascii="Times New Roman" w:hAnsi="Times New Roman" w:eastAsia="宋体" w:cs="Times New Roman"/>
                <w:iCs/>
                <w:color w:val="auto"/>
                <w:sz w:val="24"/>
                <w:highlight w:val="none"/>
                <w:lang w:val="en-US" w:eastAsia="zh-CN"/>
              </w:rPr>
              <w:t>施工期</w:t>
            </w:r>
            <w:r>
              <w:rPr>
                <w:rFonts w:hint="eastAsia" w:cs="Times New Roman"/>
                <w:iCs/>
                <w:color w:val="auto"/>
                <w:sz w:val="24"/>
                <w:highlight w:val="none"/>
                <w:lang w:val="en-US" w:eastAsia="zh-CN"/>
              </w:rPr>
              <w:t>一期</w:t>
            </w:r>
            <w:r>
              <w:rPr>
                <w:rFonts w:hint="default" w:ascii="Times New Roman" w:hAnsi="Times New Roman" w:eastAsia="宋体" w:cs="Times New Roman"/>
                <w:iCs/>
                <w:color w:val="auto"/>
                <w:sz w:val="24"/>
                <w:highlight w:val="none"/>
                <w:lang w:val="en-US" w:eastAsia="zh-CN"/>
              </w:rPr>
              <w:t>主要进行</w:t>
            </w:r>
            <w:r>
              <w:rPr>
                <w:rFonts w:hint="eastAsia" w:cs="Times New Roman"/>
                <w:iCs/>
                <w:color w:val="auto"/>
                <w:sz w:val="24"/>
                <w:highlight w:val="none"/>
                <w:lang w:val="en-US" w:eastAsia="zh-CN"/>
              </w:rPr>
              <w:t>生产厂房、办公楼及相关配套设施的建设、一处原厂房的拆除，二期主要为生产线的建设，</w:t>
            </w:r>
            <w:r>
              <w:rPr>
                <w:rFonts w:hint="default" w:ascii="Times New Roman" w:hAnsi="Times New Roman" w:eastAsia="宋体" w:cs="Times New Roman"/>
                <w:b w:val="0"/>
                <w:bCs w:val="0"/>
                <w:color w:val="auto"/>
                <w:sz w:val="24"/>
                <w:szCs w:val="24"/>
                <w:highlight w:val="none"/>
                <w:lang w:val="en-US" w:eastAsia="zh-CN"/>
              </w:rPr>
              <w:t>项目施工过程污染物主要为废气、废水、噪声、固废等。</w:t>
            </w:r>
          </w:p>
          <w:p w14:paraId="40882342">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highlight w:val="none"/>
              </w:rPr>
              <w:t>1、施工期废气影响分析</w:t>
            </w:r>
          </w:p>
          <w:p w14:paraId="1451A5D0">
            <w:pPr>
              <w:pStyle w:val="25"/>
              <w:keepNext w:val="0"/>
              <w:keepLines w:val="0"/>
              <w:pageBreakBefore w:val="0"/>
              <w:kinsoku/>
              <w:wordWrap/>
              <w:overflowPunct/>
              <w:topLinePunct w:val="0"/>
              <w:autoSpaceDE/>
              <w:autoSpaceDN/>
              <w:bidi w:val="0"/>
              <w:spacing w:after="0" w:afterLines="0"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施工期废气主要为施工粉尘、焊接烟尘、施工机械及车辆燃油废气等。</w:t>
            </w:r>
          </w:p>
          <w:p w14:paraId="50398FBD">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2"/>
                <w:sz w:val="24"/>
                <w:szCs w:val="24"/>
                <w:highlight w:val="none"/>
                <w:lang w:val="zh-CN" w:eastAsia="zh-CN" w:bidi="ar-SA"/>
              </w:rPr>
            </w:pPr>
            <w:r>
              <w:rPr>
                <w:rFonts w:hint="default" w:ascii="Times New Roman" w:hAnsi="Times New Roman" w:eastAsia="宋体" w:cs="Times New Roman"/>
                <w:b/>
                <w:bCs w:val="0"/>
                <w:color w:val="auto"/>
                <w:kern w:val="2"/>
                <w:sz w:val="24"/>
                <w:szCs w:val="24"/>
                <w:highlight w:val="none"/>
                <w:lang w:val="zh-CN" w:eastAsia="zh-CN" w:bidi="ar-SA"/>
              </w:rPr>
              <w:t>（1）施工粉尘影响</w:t>
            </w:r>
          </w:p>
          <w:p w14:paraId="35E1CA47">
            <w:pPr>
              <w:adjustRightInd w:val="0"/>
              <w:snapToGrid w:val="0"/>
              <w:spacing w:afterLines="0"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val="en-US" w:eastAsia="zh-CN" w:bidi="ar"/>
              </w:rPr>
              <w:t>项目施工扬尘主要来自施工建筑材料装卸、运输，施工垃圾堆放，施工车辆的扬尘等。</w:t>
            </w:r>
            <w:r>
              <w:rPr>
                <w:rFonts w:hint="default" w:ascii="Times New Roman" w:hAnsi="Times New Roman" w:eastAsia="宋体" w:cs="Times New Roman"/>
                <w:color w:val="auto"/>
                <w:kern w:val="0"/>
                <w:sz w:val="24"/>
                <w:szCs w:val="24"/>
                <w:highlight w:val="none"/>
                <w:lang w:bidi="ar"/>
              </w:rPr>
              <w:t>为降低施工粉尘对周边大气环境的影响，应采取如下防治措施：</w:t>
            </w:r>
          </w:p>
          <w:p w14:paraId="610E0E63">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施工场地定期洒水，以有效防止扬尘，在风速大于四级风速气象条件下加大洒水量及洒水频次；</w:t>
            </w:r>
          </w:p>
          <w:p w14:paraId="466A3C71">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施工建筑材料定点堆放，在大风天气对散料堆场采用水喷淋防尘，用</w:t>
            </w:r>
            <w:r>
              <w:rPr>
                <w:rFonts w:hint="eastAsia" w:cs="Times New Roman"/>
                <w:color w:val="auto"/>
                <w:sz w:val="24"/>
                <w:szCs w:val="24"/>
                <w:highlight w:val="none"/>
                <w:lang w:eastAsia="zh-CN"/>
              </w:rPr>
              <w:t>篷布</w:t>
            </w:r>
            <w:r>
              <w:rPr>
                <w:rFonts w:hint="default" w:ascii="Times New Roman" w:hAnsi="Times New Roman" w:eastAsia="宋体" w:cs="Times New Roman"/>
                <w:color w:val="auto"/>
                <w:sz w:val="24"/>
                <w:szCs w:val="24"/>
                <w:highlight w:val="none"/>
              </w:rPr>
              <w:t>遮盖建筑材料，尽量按量购进建筑材料，避免在场内长时间堆放；</w:t>
            </w:r>
          </w:p>
          <w:p w14:paraId="6B1EEFFF">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施工场地清理阶段做到先洒水，后清扫，施工后期建筑垃圾及时清理；</w:t>
            </w:r>
          </w:p>
          <w:p w14:paraId="4D2DC74A">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eastAsia="ja-JP"/>
              </w:rPr>
              <w:t>加强施工现场运输车辆管理，运输车辆必须车身整洁，装载车厢完好、严密，装载货物堆码整齐，严禁在装运过程中沿途抛、洒、滴、漏</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ja-JP"/>
              </w:rPr>
              <w:t>不得污染道路</w:t>
            </w:r>
            <w:r>
              <w:rPr>
                <w:rFonts w:hint="default" w:ascii="Times New Roman" w:hAnsi="Times New Roman" w:eastAsia="宋体" w:cs="Times New Roman"/>
                <w:color w:val="auto"/>
                <w:sz w:val="24"/>
                <w:szCs w:val="24"/>
                <w:highlight w:val="none"/>
                <w:lang w:eastAsia="zh-CN"/>
              </w:rPr>
              <w:t>；</w:t>
            </w:r>
          </w:p>
          <w:p w14:paraId="2C45F152">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rPr>
              <w:t>优化施工期间运输车辆的出入场路径</w:t>
            </w:r>
            <w:r>
              <w:rPr>
                <w:rFonts w:hint="default" w:ascii="Times New Roman" w:hAnsi="Times New Roman" w:eastAsia="宋体" w:cs="Times New Roman"/>
                <w:color w:val="auto"/>
                <w:sz w:val="24"/>
                <w:szCs w:val="24"/>
                <w:highlight w:val="none"/>
                <w:lang w:eastAsia="zh-CN"/>
              </w:rPr>
              <w:t>；</w:t>
            </w:r>
          </w:p>
          <w:p w14:paraId="0F4CE97B">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rPr>
              <w:t>运输车辆及机械</w:t>
            </w:r>
            <w:r>
              <w:rPr>
                <w:rFonts w:hint="default" w:ascii="Times New Roman" w:hAnsi="Times New Roman" w:eastAsia="宋体" w:cs="Times New Roman"/>
                <w:bCs/>
                <w:color w:val="auto"/>
                <w:sz w:val="24"/>
                <w:highlight w:val="none"/>
              </w:rPr>
              <w:t>驶出施工场地前应尽可能清除表面粘附的泥土等</w:t>
            </w:r>
            <w:r>
              <w:rPr>
                <w:rFonts w:hint="default" w:ascii="Times New Roman" w:hAnsi="Times New Roman" w:eastAsia="宋体" w:cs="Times New Roman"/>
                <w:color w:val="auto"/>
                <w:sz w:val="24"/>
                <w:szCs w:val="24"/>
                <w:highlight w:val="none"/>
                <w:lang w:eastAsia="zh-CN"/>
              </w:rPr>
              <w:t>；</w:t>
            </w:r>
          </w:p>
          <w:p w14:paraId="5FF518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8"/>
                <w:highlight w:val="none"/>
              </w:rPr>
            </w:pPr>
            <w:r>
              <w:rPr>
                <w:rFonts w:hint="default" w:ascii="Times New Roman" w:hAnsi="Times New Roman" w:eastAsia="宋体" w:cs="Times New Roman"/>
                <w:color w:val="auto"/>
                <w:sz w:val="24"/>
                <w:szCs w:val="24"/>
                <w:highlight w:val="none"/>
                <w:lang w:val="en-US" w:eastAsia="zh-CN"/>
              </w:rPr>
              <w:t>⑦</w:t>
            </w:r>
            <w:r>
              <w:rPr>
                <w:rFonts w:hint="default" w:ascii="Times New Roman" w:hAnsi="Times New Roman" w:eastAsia="宋体" w:cs="Times New Roman"/>
                <w:color w:val="auto"/>
                <w:sz w:val="24"/>
                <w:szCs w:val="24"/>
                <w:highlight w:val="none"/>
              </w:rPr>
              <w:t>在施工中合理组织施工，缩短施工时间，尽量减少施工污染。</w:t>
            </w:r>
          </w:p>
          <w:p w14:paraId="5D0E655C">
            <w:pPr>
              <w:adjustRightInd w:val="0"/>
              <w:spacing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施工期产生的粉尘污染是短期的，随着施工活动的结束，施工扬尘对环境空气的影响也就随之结束，因此施工期粉尘对评价区域的空气环境质量影响较小。</w:t>
            </w:r>
          </w:p>
          <w:p w14:paraId="47D80EAA">
            <w:pPr>
              <w:spacing w:afterLines="0" w:line="360" w:lineRule="auto"/>
              <w:ind w:firstLine="482" w:firstLineChars="200"/>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）焊接烟尘影响</w:t>
            </w:r>
          </w:p>
          <w:p w14:paraId="138240F9">
            <w:pPr>
              <w:spacing w:afterLines="0"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highlight w:val="none"/>
              </w:rPr>
              <w:t>根据工程规模，项目焊接工程量较小，焊接过程烟尘</w:t>
            </w:r>
            <w:r>
              <w:rPr>
                <w:rFonts w:hint="default" w:ascii="Times New Roman" w:hAnsi="Times New Roman" w:eastAsia="宋体" w:cs="Times New Roman"/>
                <w:color w:val="auto"/>
                <w:sz w:val="24"/>
                <w:highlight w:val="none"/>
                <w:lang w:eastAsia="zh-CN"/>
              </w:rPr>
              <w:t>量</w:t>
            </w:r>
            <w:r>
              <w:rPr>
                <w:rFonts w:hint="default" w:ascii="Times New Roman" w:hAnsi="Times New Roman" w:eastAsia="宋体" w:cs="Times New Roman"/>
                <w:color w:val="auto"/>
                <w:sz w:val="24"/>
                <w:highlight w:val="none"/>
                <w:lang w:val="en-US" w:eastAsia="zh-CN"/>
              </w:rPr>
              <w:t>不大</w:t>
            </w:r>
            <w:r>
              <w:rPr>
                <w:rFonts w:hint="default" w:ascii="Times New Roman" w:hAnsi="Times New Roman" w:eastAsia="宋体" w:cs="Times New Roman"/>
                <w:color w:val="auto"/>
                <w:sz w:val="24"/>
                <w:highlight w:val="none"/>
              </w:rPr>
              <w:t>，呈无组织排放。</w:t>
            </w:r>
            <w:r>
              <w:rPr>
                <w:rFonts w:hint="default" w:ascii="Times New Roman" w:hAnsi="Times New Roman" w:eastAsia="宋体" w:cs="Times New Roman"/>
                <w:color w:val="auto"/>
                <w:sz w:val="24"/>
                <w:szCs w:val="24"/>
                <w:highlight w:val="none"/>
              </w:rPr>
              <w:t>施工焊接烟尘具有间断性产生、产生量较小、产生点相对分散、易被稀释扩散等特点，加之施工场地周围较空旷，大气扩散条件相对较好，焊接烟尘经自然扩散和稀释，</w:t>
            </w:r>
            <w:r>
              <w:rPr>
                <w:rFonts w:hint="default" w:ascii="Times New Roman" w:hAnsi="Times New Roman" w:eastAsia="宋体" w:cs="Times New Roman"/>
                <w:color w:val="auto"/>
                <w:sz w:val="24"/>
                <w:szCs w:val="24"/>
                <w:highlight w:val="none"/>
                <w:lang w:val="zh-CN" w:eastAsia="zh-CN"/>
              </w:rPr>
              <w:t>后对周围环境影响很小。</w:t>
            </w:r>
          </w:p>
          <w:p w14:paraId="395EC7D2">
            <w:pPr>
              <w:spacing w:afterLines="0"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highlight w:val="none"/>
              </w:rPr>
              <w:t>施工机械及车辆燃油废气</w:t>
            </w:r>
            <w:r>
              <w:rPr>
                <w:rFonts w:hint="default" w:ascii="Times New Roman" w:hAnsi="Times New Roman" w:eastAsia="宋体" w:cs="Times New Roman"/>
                <w:b/>
                <w:bCs/>
                <w:color w:val="auto"/>
                <w:sz w:val="24"/>
                <w:szCs w:val="24"/>
                <w:highlight w:val="none"/>
                <w:lang w:val="zh-CN"/>
              </w:rPr>
              <w:t>影响</w:t>
            </w:r>
          </w:p>
          <w:p w14:paraId="19AB23B3">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zh-CN"/>
              </w:rPr>
              <w:t>项目施工车辆运输过程及施工机械使用过程中产生的尾气将对沿路居民生活及环境空气产生一定的影响。因此，建设单位应在施工期间加强对车辆及施工机械的维修，尽量减少尾气的排放。</w:t>
            </w:r>
            <w:r>
              <w:rPr>
                <w:rFonts w:hint="default" w:ascii="Times New Roman" w:hAnsi="Times New Roman" w:eastAsia="宋体" w:cs="Times New Roman"/>
                <w:color w:val="auto"/>
                <w:sz w:val="24"/>
                <w:szCs w:val="24"/>
                <w:highlight w:val="none"/>
              </w:rPr>
              <w:t>施工机械和运输车辆所产生的废气经自然扩散和稀释</w:t>
            </w:r>
            <w:r>
              <w:rPr>
                <w:rFonts w:hint="default" w:ascii="Times New Roman" w:hAnsi="Times New Roman" w:eastAsia="宋体" w:cs="Times New Roman"/>
                <w:color w:val="auto"/>
                <w:sz w:val="24"/>
                <w:szCs w:val="24"/>
                <w:highlight w:val="none"/>
                <w:lang w:eastAsia="zh-CN"/>
              </w:rPr>
              <w:t>后对周围环境影响较小</w:t>
            </w:r>
            <w:r>
              <w:rPr>
                <w:rFonts w:hint="default" w:ascii="Times New Roman" w:hAnsi="Times New Roman" w:eastAsia="宋体" w:cs="Times New Roman"/>
                <w:color w:val="auto"/>
                <w:sz w:val="24"/>
                <w:szCs w:val="24"/>
                <w:highlight w:val="none"/>
              </w:rPr>
              <w:t>。</w:t>
            </w:r>
          </w:p>
          <w:p w14:paraId="78AA22A6">
            <w:pPr>
              <w:pStyle w:val="26"/>
              <w:spacing w:after="0" w:line="360" w:lineRule="auto"/>
              <w:ind w:left="0" w:leftChars="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2、施工期废水影响分析</w:t>
            </w:r>
          </w:p>
          <w:p w14:paraId="61E3CBED">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施工期产生的废水主要是施工废水</w:t>
            </w:r>
            <w:r>
              <w:rPr>
                <w:rFonts w:hint="default" w:ascii="Times New Roman" w:hAnsi="Times New Roman" w:eastAsia="宋体" w:cs="Times New Roman"/>
                <w:color w:val="auto"/>
                <w:sz w:val="24"/>
                <w:szCs w:val="24"/>
                <w:highlight w:val="none"/>
                <w:lang w:val="en-US" w:eastAsia="zh-CN"/>
              </w:rPr>
              <w:t>及施工人员</w:t>
            </w:r>
            <w:r>
              <w:rPr>
                <w:rFonts w:hint="default" w:ascii="Times New Roman" w:hAnsi="Times New Roman" w:eastAsia="宋体" w:cs="Times New Roman"/>
                <w:color w:val="auto"/>
                <w:sz w:val="24"/>
                <w:szCs w:val="24"/>
                <w:highlight w:val="none"/>
                <w:lang w:val="zh-CN" w:eastAsia="zh-CN"/>
              </w:rPr>
              <w:t>生活污水。</w:t>
            </w:r>
          </w:p>
          <w:p w14:paraId="2C0B4421">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①施工废水</w:t>
            </w:r>
          </w:p>
          <w:p w14:paraId="46624600">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项目施工过程中主要产生施工设备维修、清洗产生的废水，施工期废水量约为</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/d，主要污染物为SS，浓度约1000mg/L。</w:t>
            </w:r>
          </w:p>
          <w:p w14:paraId="330FEA76">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施工人员生活污水</w:t>
            </w:r>
          </w:p>
          <w:p w14:paraId="6033193A">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项目施工期不设施工营地，施工人员均不在项目区食宿，仅产生少量洗手清洁废水。项目施工总周期为</w:t>
            </w:r>
            <w:r>
              <w:rPr>
                <w:rFonts w:hint="eastAsia"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zh-CN" w:eastAsia="zh-CN"/>
              </w:rPr>
              <w:t>个月，施工高峰期人员</w:t>
            </w:r>
            <w:r>
              <w:rPr>
                <w:rFonts w:hint="default" w:ascii="Times New Roman" w:hAnsi="Times New Roman" w:eastAsia="宋体" w:cs="Times New Roman"/>
                <w:color w:val="auto"/>
                <w:sz w:val="24"/>
                <w:szCs w:val="24"/>
                <w:highlight w:val="none"/>
                <w:lang w:val="en-US" w:eastAsia="zh-CN"/>
              </w:rPr>
              <w:t>约</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eastAsia="zh-CN"/>
              </w:rPr>
              <w:t>0人计，施工人员洗手清洁用水按</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eastAsia="zh-CN"/>
              </w:rPr>
              <w:t>0L/人·d计，</w:t>
            </w:r>
            <w:r>
              <w:rPr>
                <w:rFonts w:hint="default" w:ascii="Times New Roman" w:hAnsi="Times New Roman" w:eastAsia="宋体" w:cs="Times New Roman"/>
                <w:color w:val="auto"/>
                <w:sz w:val="24"/>
                <w:szCs w:val="24"/>
                <w:highlight w:val="none"/>
                <w:lang w:val="en-US" w:eastAsia="zh-CN"/>
              </w:rPr>
              <w:t>施工人员</w:t>
            </w:r>
            <w:r>
              <w:rPr>
                <w:rFonts w:hint="default" w:ascii="Times New Roman" w:hAnsi="Times New Roman" w:eastAsia="宋体" w:cs="Times New Roman"/>
                <w:color w:val="auto"/>
                <w:sz w:val="24"/>
                <w:szCs w:val="24"/>
                <w:highlight w:val="none"/>
                <w:lang w:val="zh-CN" w:eastAsia="zh-CN"/>
              </w:rPr>
              <w:t>用水量为</w:t>
            </w:r>
            <w:r>
              <w:rPr>
                <w:rFonts w:hint="eastAsia" w:cs="Times New Roman"/>
                <w:color w:val="auto"/>
                <w:sz w:val="24"/>
                <w:szCs w:val="24"/>
                <w:highlight w:val="none"/>
                <w:lang w:val="en-US" w:eastAsia="zh-CN"/>
              </w:rPr>
              <w:t>292</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平均0.</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/d，排水系数按80%计算，则施工人员洗手清洁废水产生量为</w:t>
            </w:r>
            <w:r>
              <w:rPr>
                <w:rFonts w:hint="eastAsia" w:cs="Times New Roman"/>
                <w:color w:val="auto"/>
                <w:sz w:val="24"/>
                <w:szCs w:val="24"/>
                <w:highlight w:val="none"/>
                <w:lang w:val="en-US" w:eastAsia="zh-CN"/>
              </w:rPr>
              <w:t>233.6</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平均0.</w:t>
            </w:r>
            <w:r>
              <w:rPr>
                <w:rFonts w:hint="eastAsia"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/d。</w:t>
            </w:r>
          </w:p>
          <w:p w14:paraId="73DBF082">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zh-CN" w:eastAsia="zh-CN"/>
              </w:rPr>
            </w:pPr>
            <w:r>
              <w:rPr>
                <w:rFonts w:hint="eastAsia" w:cs="Times New Roman"/>
                <w:color w:val="auto"/>
                <w:sz w:val="24"/>
                <w:szCs w:val="24"/>
                <w:highlight w:val="none"/>
                <w:lang w:val="zh-CN" w:eastAsia="zh-CN"/>
              </w:rPr>
              <w:t>施工人员生活污水依托项目区附近公共卫生间现有的设施处理。</w:t>
            </w:r>
          </w:p>
          <w:p w14:paraId="3D0071FA">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zh-CN" w:eastAsia="zh-CN"/>
              </w:rPr>
              <w:t>施工过程中施工废水、施工人员</w:t>
            </w:r>
            <w:r>
              <w:rPr>
                <w:rFonts w:hint="eastAsia" w:cs="Times New Roman"/>
                <w:color w:val="auto"/>
                <w:sz w:val="24"/>
                <w:szCs w:val="24"/>
                <w:highlight w:val="none"/>
                <w:lang w:val="zh-CN" w:eastAsia="zh-CN"/>
              </w:rPr>
              <w:t>洗手清洁废水</w:t>
            </w:r>
            <w:r>
              <w:rPr>
                <w:rFonts w:hint="default" w:ascii="Times New Roman" w:hAnsi="Times New Roman" w:eastAsia="宋体" w:cs="Times New Roman"/>
                <w:color w:val="auto"/>
                <w:sz w:val="24"/>
                <w:szCs w:val="24"/>
                <w:highlight w:val="none"/>
                <w:lang w:val="en-US" w:eastAsia="zh-CN"/>
              </w:rPr>
              <w:t>设置1个容积约为1m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的临时沉淀池收集处理后全部用于施工场地洒水降尘，不外排。</w:t>
            </w:r>
            <w:r>
              <w:rPr>
                <w:rFonts w:hint="default" w:ascii="Times New Roman" w:hAnsi="Times New Roman" w:eastAsia="宋体" w:cs="Times New Roman"/>
                <w:color w:val="auto"/>
                <w:sz w:val="24"/>
                <w:szCs w:val="24"/>
                <w:highlight w:val="none"/>
                <w:lang w:val="zh-CN" w:eastAsia="zh-CN"/>
              </w:rPr>
              <w:t>对周围地表水影响较小。</w:t>
            </w:r>
          </w:p>
          <w:p w14:paraId="4AC31485">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3、噪声</w:t>
            </w:r>
          </w:p>
          <w:p w14:paraId="70BEECCC">
            <w:pPr>
              <w:widowControl/>
              <w:adjustRightInd w:val="0"/>
              <w:snapToGrid w:val="0"/>
              <w:spacing w:line="360" w:lineRule="auto"/>
              <w:ind w:firstLine="480" w:firstLineChars="200"/>
              <w:rPr>
                <w:color w:val="auto"/>
                <w:sz w:val="24"/>
                <w:highlight w:val="none"/>
              </w:rPr>
            </w:pPr>
            <w:r>
              <w:rPr>
                <w:color w:val="auto"/>
                <w:sz w:val="24"/>
                <w:highlight w:val="none"/>
              </w:rPr>
              <w:t>项目施工期噪声主要来源于各类施工机械</w:t>
            </w:r>
            <w:r>
              <w:rPr>
                <w:rFonts w:hint="eastAsia"/>
                <w:color w:val="auto"/>
                <w:sz w:val="24"/>
                <w:highlight w:val="none"/>
                <w:lang w:eastAsia="zh-CN"/>
              </w:rPr>
              <w:t>噪声</w:t>
            </w:r>
            <w:r>
              <w:rPr>
                <w:color w:val="auto"/>
                <w:sz w:val="24"/>
                <w:highlight w:val="none"/>
              </w:rPr>
              <w:t>和运输车辆</w:t>
            </w:r>
            <w:r>
              <w:rPr>
                <w:rFonts w:hint="eastAsia"/>
                <w:color w:val="auto"/>
                <w:sz w:val="24"/>
                <w:highlight w:val="none"/>
                <w:lang w:eastAsia="zh-CN"/>
              </w:rPr>
              <w:t>噪声</w:t>
            </w:r>
            <w:r>
              <w:rPr>
                <w:color w:val="auto"/>
                <w:sz w:val="24"/>
                <w:highlight w:val="none"/>
              </w:rPr>
              <w:t>，施工噪声具有阶段性、临时性和不固定性，不同的施工设备产生的噪声不同。在多台机械设备同时作业时，各台设备产生的噪声会产生叠加</w:t>
            </w:r>
            <w:r>
              <w:rPr>
                <w:rFonts w:hint="eastAsia"/>
                <w:color w:val="auto"/>
                <w:sz w:val="24"/>
                <w:highlight w:val="none"/>
                <w:lang w:eastAsia="zh-CN"/>
              </w:rPr>
              <w:t>。</w:t>
            </w:r>
          </w:p>
          <w:p w14:paraId="4D17C60A">
            <w:pPr>
              <w:adjustRightInd w:val="0"/>
              <w:snapToGrid w:val="0"/>
              <w:spacing w:line="360" w:lineRule="auto"/>
              <w:ind w:firstLine="480" w:firstLineChars="200"/>
              <w:rPr>
                <w:color w:val="auto"/>
                <w:sz w:val="24"/>
                <w:highlight w:val="none"/>
              </w:rPr>
            </w:pPr>
            <w:r>
              <w:rPr>
                <w:color w:val="auto"/>
                <w:sz w:val="24"/>
                <w:highlight w:val="none"/>
              </w:rPr>
              <w:t>为减缓施工噪声的影响，本环评提出如下措施：</w:t>
            </w:r>
          </w:p>
          <w:p w14:paraId="004B0240">
            <w:pPr>
              <w:adjustRightInd w:val="0"/>
              <w:snapToGrid w:val="0"/>
              <w:spacing w:line="360" w:lineRule="auto"/>
              <w:ind w:firstLine="480" w:firstLineChars="200"/>
              <w:rPr>
                <w:color w:val="auto"/>
                <w:sz w:val="24"/>
                <w:highlight w:val="none"/>
              </w:rPr>
            </w:pPr>
            <w:r>
              <w:rPr>
                <w:color w:val="auto"/>
                <w:sz w:val="24"/>
                <w:highlight w:val="none"/>
              </w:rPr>
              <w:t>①</w:t>
            </w:r>
            <w:r>
              <w:rPr>
                <w:color w:val="auto"/>
                <w:kern w:val="0"/>
                <w:sz w:val="24"/>
                <w:highlight w:val="none"/>
              </w:rPr>
              <w:t>从声源上控制：</w:t>
            </w:r>
            <w:r>
              <w:rPr>
                <w:color w:val="auto"/>
                <w:sz w:val="24"/>
                <w:highlight w:val="none"/>
              </w:rPr>
              <w:t>选用噪声相对较低的施工机械设备；</w:t>
            </w:r>
          </w:p>
          <w:p w14:paraId="3453B92D">
            <w:pPr>
              <w:adjustRightInd w:val="0"/>
              <w:snapToGrid w:val="0"/>
              <w:spacing w:line="360" w:lineRule="auto"/>
              <w:ind w:firstLine="480" w:firstLineChars="200"/>
              <w:textAlignment w:val="baseline"/>
              <w:rPr>
                <w:color w:val="auto"/>
                <w:kern w:val="0"/>
                <w:sz w:val="24"/>
                <w:highlight w:val="none"/>
              </w:rPr>
            </w:pPr>
            <w:r>
              <w:rPr>
                <w:color w:val="auto"/>
                <w:kern w:val="0"/>
                <w:sz w:val="24"/>
                <w:highlight w:val="none"/>
              </w:rPr>
              <w:t>②严禁夜间施工，若必须进行夜间作业，需按要求提前向主管部门申请，并在将施工信息告知周边住户及单位。</w:t>
            </w:r>
          </w:p>
          <w:p w14:paraId="2986A6C1">
            <w:pPr>
              <w:adjustRightInd w:val="0"/>
              <w:snapToGrid w:val="0"/>
              <w:spacing w:line="360" w:lineRule="auto"/>
              <w:ind w:firstLine="480" w:firstLineChars="200"/>
              <w:textAlignment w:val="baseline"/>
              <w:rPr>
                <w:color w:val="auto"/>
                <w:kern w:val="0"/>
                <w:sz w:val="24"/>
                <w:highlight w:val="none"/>
              </w:rPr>
            </w:pPr>
            <w:r>
              <w:rPr>
                <w:color w:val="auto"/>
                <w:kern w:val="0"/>
                <w:sz w:val="24"/>
                <w:highlight w:val="none"/>
              </w:rPr>
              <w:t>③施工场地内可固定设备应尽量设置在设备专用房或操作间内，避免露天作业。</w:t>
            </w:r>
          </w:p>
          <w:p w14:paraId="79A4CA08">
            <w:pPr>
              <w:adjustRightInd w:val="0"/>
              <w:snapToGrid w:val="0"/>
              <w:spacing w:line="360" w:lineRule="auto"/>
              <w:ind w:firstLine="480" w:firstLineChars="200"/>
              <w:textAlignment w:val="baseline"/>
              <w:rPr>
                <w:color w:val="auto"/>
                <w:kern w:val="0"/>
                <w:sz w:val="24"/>
                <w:highlight w:val="none"/>
              </w:rPr>
            </w:pPr>
            <w:r>
              <w:rPr>
                <w:color w:val="auto"/>
                <w:kern w:val="0"/>
                <w:sz w:val="24"/>
                <w:highlight w:val="none"/>
              </w:rPr>
              <w:t>④在施工机械的设备与基础或连接部位之间采用弹簧减震、橡胶减震、管道减震、阻尼减震技术，可减少动量，降低噪声；</w:t>
            </w:r>
          </w:p>
          <w:p w14:paraId="30CDDC9A">
            <w:pPr>
              <w:adjustRightInd w:val="0"/>
              <w:snapToGrid w:val="0"/>
              <w:spacing w:line="360" w:lineRule="auto"/>
              <w:ind w:firstLine="480" w:firstLineChars="200"/>
              <w:textAlignment w:val="baseline"/>
              <w:rPr>
                <w:color w:val="auto"/>
                <w:kern w:val="0"/>
                <w:sz w:val="24"/>
                <w:highlight w:val="none"/>
              </w:rPr>
            </w:pPr>
            <w:r>
              <w:rPr>
                <w:color w:val="auto"/>
                <w:kern w:val="0"/>
                <w:sz w:val="24"/>
                <w:highlight w:val="none"/>
              </w:rPr>
              <w:t>⑤施工场地的施工车辆出入地点应尽量远离敏感点，车辆出入现场时应低速、禁鸣。</w:t>
            </w:r>
          </w:p>
          <w:p w14:paraId="567CF884">
            <w:pPr>
              <w:adjustRightInd w:val="0"/>
              <w:snapToGrid w:val="0"/>
              <w:spacing w:line="360" w:lineRule="auto"/>
              <w:ind w:firstLine="480" w:firstLineChars="200"/>
              <w:textAlignment w:val="baseline"/>
              <w:rPr>
                <w:color w:val="auto"/>
                <w:kern w:val="0"/>
                <w:sz w:val="24"/>
                <w:highlight w:val="none"/>
              </w:rPr>
            </w:pPr>
            <w:r>
              <w:rPr>
                <w:color w:val="auto"/>
                <w:kern w:val="0"/>
                <w:sz w:val="24"/>
                <w:highlight w:val="none"/>
              </w:rPr>
              <w:t>⑥建设管理部门应加强对施工场地的噪声管理，施工企业也应对施工噪声进行自律，合理安排工期，减短施工的施工时间；加强对施工人员的管理，做到文明施工，避免人为噪声的产生文明施工，避免因施工噪声产生纠纷。</w:t>
            </w:r>
          </w:p>
          <w:p w14:paraId="4CB38824">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eastAsia" w:ascii="宋体" w:hAnsi="宋体" w:cs="宋体"/>
                <w:color w:val="auto"/>
                <w:sz w:val="24"/>
                <w:highlight w:val="none"/>
              </w:rPr>
              <w:t>通过以上措施的实施，可以最大限度的减小施工期机械噪声对环境的影响。项目</w:t>
            </w:r>
            <w:r>
              <w:rPr>
                <w:color w:val="auto"/>
                <w:sz w:val="24"/>
                <w:highlight w:val="none"/>
              </w:rPr>
              <w:t>施工期较短，施工期噪声的影响</w:t>
            </w:r>
            <w:r>
              <w:rPr>
                <w:rFonts w:hint="eastAsia"/>
                <w:color w:val="auto"/>
                <w:sz w:val="24"/>
                <w:highlight w:val="none"/>
              </w:rPr>
              <w:t>符合</w:t>
            </w:r>
            <w:r>
              <w:rPr>
                <w:color w:val="auto"/>
                <w:sz w:val="24"/>
                <w:highlight w:val="none"/>
                <w:lang w:bidi="ar"/>
              </w:rPr>
              <w:t>《建筑施工场界环境噪声排放标准》（GB 12523－2011）</w:t>
            </w:r>
            <w:r>
              <w:rPr>
                <w:rFonts w:hint="eastAsia"/>
                <w:color w:val="auto"/>
                <w:sz w:val="24"/>
                <w:highlight w:val="none"/>
                <w:lang w:bidi="ar"/>
              </w:rPr>
              <w:t>要求</w:t>
            </w:r>
            <w:r>
              <w:rPr>
                <w:rFonts w:hint="eastAsia"/>
                <w:color w:val="auto"/>
                <w:sz w:val="24"/>
                <w:highlight w:val="none"/>
              </w:rPr>
              <w:t>。</w:t>
            </w:r>
          </w:p>
          <w:p w14:paraId="512AB138">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4、固体废弃物</w:t>
            </w:r>
          </w:p>
          <w:p w14:paraId="20D5DB01">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项目施工期固体废弃物主要为建筑垃圾和生活垃圾</w:t>
            </w:r>
            <w:r>
              <w:rPr>
                <w:rFonts w:hint="eastAsia" w:cs="Times New Roman"/>
                <w:color w:val="auto"/>
                <w:sz w:val="24"/>
                <w:szCs w:val="24"/>
                <w:highlight w:val="none"/>
                <w:lang w:eastAsia="zh-CN"/>
              </w:rPr>
              <w:t>，</w:t>
            </w:r>
            <w:r>
              <w:rPr>
                <w:rFonts w:hint="eastAsia"/>
                <w:color w:val="auto"/>
                <w:sz w:val="24"/>
                <w:highlight w:val="none"/>
              </w:rPr>
              <w:t>项目地基开挖的土石方用于项目区回填及绿化用土，无外运土石方</w:t>
            </w:r>
            <w:r>
              <w:rPr>
                <w:rFonts w:hint="default" w:ascii="Times New Roman" w:hAnsi="Times New Roman" w:eastAsia="宋体" w:cs="Times New Roman"/>
                <w:color w:val="auto"/>
                <w:sz w:val="24"/>
                <w:szCs w:val="24"/>
                <w:highlight w:val="none"/>
              </w:rPr>
              <w:t>。</w:t>
            </w:r>
          </w:p>
          <w:p w14:paraId="43B11AF7">
            <w:pPr>
              <w:spacing w:line="360" w:lineRule="auto"/>
              <w:ind w:firstLine="48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）建筑垃圾</w:t>
            </w:r>
          </w:p>
          <w:p w14:paraId="02D2F2BC">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项目产生的建筑垃圾进行分类集中堆存，能回收利用的部分，请回收商进行收购，重复利用；不能回收利用的运至政府部门指定的建筑垃圾堆放场处置，禁止与生活垃圾混合处置，禁止随意丢弃。</w:t>
            </w:r>
          </w:p>
          <w:p w14:paraId="491CCD41">
            <w:pPr>
              <w:spacing w:line="360" w:lineRule="auto"/>
              <w:ind w:firstLine="48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）施工人员生活垃圾</w:t>
            </w:r>
          </w:p>
          <w:p w14:paraId="1B41C51E">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施工期施工人员</w:t>
            </w:r>
            <w:r>
              <w:rPr>
                <w:rFonts w:hint="default"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不在项目区食宿，生活垃圾产生量较小。</w:t>
            </w:r>
            <w:r>
              <w:rPr>
                <w:rFonts w:hint="default" w:ascii="Times New Roman" w:hAnsi="Times New Roman" w:eastAsia="宋体" w:cs="Times New Roman"/>
                <w:color w:val="auto"/>
                <w:sz w:val="24"/>
                <w:highlight w:val="none"/>
              </w:rPr>
              <w:t>生活垃圾以每人每天0.</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kg计，</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施工期生活垃圾产生量为</w:t>
            </w:r>
            <w:r>
              <w:rPr>
                <w:rFonts w:hint="eastAsia" w:cs="Times New Roman"/>
                <w:color w:val="auto"/>
                <w:sz w:val="24"/>
                <w:szCs w:val="24"/>
                <w:highlight w:val="none"/>
                <w:lang w:val="en-US" w:eastAsia="zh-CN"/>
              </w:rPr>
              <w:t>4</w:t>
            </w:r>
            <w:r>
              <w:rPr>
                <w:rFonts w:hint="default" w:ascii="Times New Roman" w:hAnsi="Times New Roman" w:eastAsia="宋体" w:cs="Times New Roman"/>
                <w:snapToGrid w:val="0"/>
                <w:color w:val="auto"/>
                <w:spacing w:val="12"/>
                <w:sz w:val="24"/>
                <w:highlight w:val="none"/>
              </w:rPr>
              <w:t>kg/d</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施工人员生活垃圾统一收集</w:t>
            </w:r>
            <w:r>
              <w:rPr>
                <w:rFonts w:hint="default" w:ascii="Times New Roman" w:hAnsi="Times New Roman" w:eastAsia="宋体" w:cs="Times New Roman"/>
                <w:color w:val="auto"/>
                <w:kern w:val="0"/>
                <w:sz w:val="24"/>
                <w:szCs w:val="24"/>
                <w:highlight w:val="none"/>
              </w:rPr>
              <w:t>至垃圾房后，由当地环卫部门处置</w:t>
            </w:r>
            <w:r>
              <w:rPr>
                <w:rFonts w:hint="default" w:ascii="Times New Roman" w:hAnsi="Times New Roman" w:eastAsia="宋体" w:cs="Times New Roman"/>
                <w:color w:val="auto"/>
                <w:sz w:val="24"/>
                <w:highlight w:val="none"/>
              </w:rPr>
              <w:t>。固废处置率100%，对周围环境影响</w:t>
            </w:r>
            <w:r>
              <w:rPr>
                <w:rFonts w:hint="default" w:ascii="Times New Roman" w:hAnsi="Times New Roman" w:eastAsia="宋体" w:cs="Times New Roman"/>
                <w:color w:val="auto"/>
                <w:sz w:val="24"/>
                <w:highlight w:val="none"/>
                <w:lang w:val="en-US" w:eastAsia="zh-CN"/>
              </w:rPr>
              <w:t>较</w:t>
            </w:r>
            <w:r>
              <w:rPr>
                <w:rFonts w:hint="default" w:ascii="Times New Roman" w:hAnsi="Times New Roman" w:eastAsia="宋体" w:cs="Times New Roman"/>
                <w:color w:val="auto"/>
                <w:sz w:val="24"/>
                <w:highlight w:val="none"/>
              </w:rPr>
              <w:t>小。</w:t>
            </w:r>
          </w:p>
          <w:p w14:paraId="77CF6C89">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color w:val="auto"/>
                <w:sz w:val="24"/>
                <w:highlight w:val="none"/>
              </w:rPr>
              <w:t>综上，在各项环保措施得到切实实施的情况下，项目施工期产生的环境影响较小，且为暂时的，随着施工期的结束而消失，对周围环境产生的影响较小。</w:t>
            </w:r>
          </w:p>
        </w:tc>
      </w:tr>
      <w:tr w14:paraId="084DA5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dxa"/>
            <w:tcMar>
              <w:left w:w="28" w:type="dxa"/>
              <w:right w:w="28" w:type="dxa"/>
            </w:tcMar>
            <w:vAlign w:val="center"/>
          </w:tcPr>
          <w:p w14:paraId="4593FCDF">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14:paraId="15F5231F">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14:paraId="52B962C0">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14:paraId="5A49332E">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14:paraId="03EDFDA0">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14:paraId="44AC84C4">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91" w:type="dxa"/>
            <w:vAlign w:val="top"/>
          </w:tcPr>
          <w:p w14:paraId="26484010">
            <w:pPr>
              <w:adjustRightInd w:val="0"/>
              <w:snapToGrid w:val="0"/>
              <w:spacing w:line="360" w:lineRule="auto"/>
              <w:ind w:firstLine="482" w:firstLineChars="200"/>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val="en-US" w:eastAsia="zh-CN"/>
              </w:rPr>
              <w:t>一</w:t>
            </w:r>
            <w:r>
              <w:rPr>
                <w:rFonts w:hint="default" w:ascii="Times New Roman" w:hAnsi="Times New Roman" w:eastAsia="宋体" w:cs="Times New Roman"/>
                <w:b/>
                <w:color w:val="auto"/>
                <w:sz w:val="24"/>
                <w:highlight w:val="none"/>
              </w:rPr>
              <w:t>、废气</w:t>
            </w:r>
            <w:r>
              <w:rPr>
                <w:rFonts w:hint="default" w:ascii="Times New Roman" w:hAnsi="Times New Roman" w:eastAsia="宋体" w:cs="Times New Roman"/>
                <w:b/>
                <w:color w:val="auto"/>
                <w:sz w:val="24"/>
                <w:highlight w:val="none"/>
                <w:lang w:eastAsia="zh-CN"/>
              </w:rPr>
              <w:t>源强核算及影响分析</w:t>
            </w:r>
          </w:p>
          <w:p w14:paraId="3785039B">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运营期</w:t>
            </w:r>
            <w:r>
              <w:rPr>
                <w:rFonts w:hint="default" w:ascii="Times New Roman" w:hAnsi="Times New Roman" w:eastAsia="宋体" w:cs="Times New Roman"/>
                <w:color w:val="auto"/>
                <w:sz w:val="24"/>
                <w:highlight w:val="none"/>
                <w:u w:val="none"/>
              </w:rPr>
              <w:t>废气主</w:t>
            </w:r>
            <w:r>
              <w:rPr>
                <w:rFonts w:hint="default" w:ascii="Times New Roman" w:hAnsi="Times New Roman" w:eastAsia="宋体" w:cs="Times New Roman"/>
                <w:color w:val="auto"/>
                <w:sz w:val="24"/>
                <w:highlight w:val="none"/>
                <w:u w:val="none"/>
                <w:lang w:val="en-US" w:eastAsia="zh-CN"/>
              </w:rPr>
              <w:t>要为</w:t>
            </w:r>
            <w:r>
              <w:rPr>
                <w:rFonts w:hint="eastAsia" w:ascii="Times New Roman" w:hAnsi="Times New Roman" w:cs="Times New Roman"/>
                <w:color w:val="auto"/>
                <w:sz w:val="24"/>
                <w:highlight w:val="none"/>
                <w:u w:val="none"/>
                <w:lang w:val="en-US" w:eastAsia="zh-CN"/>
              </w:rPr>
              <w:t>卸料扬尘</w:t>
            </w:r>
            <w:r>
              <w:rPr>
                <w:rFonts w:hint="default" w:ascii="Times New Roman" w:hAnsi="Times New Roman" w:eastAsia="宋体" w:cs="Times New Roman"/>
                <w:color w:val="auto"/>
                <w:sz w:val="24"/>
                <w:highlight w:val="none"/>
                <w:u w:val="none"/>
                <w:lang w:val="en-US" w:eastAsia="zh-CN"/>
              </w:rPr>
              <w:t>、</w:t>
            </w:r>
            <w:r>
              <w:rPr>
                <w:rFonts w:hint="eastAsia" w:ascii="Times New Roman" w:hAnsi="Times New Roman" w:cs="Times New Roman"/>
                <w:color w:val="auto"/>
                <w:sz w:val="24"/>
                <w:highlight w:val="none"/>
                <w:u w:val="none"/>
                <w:lang w:val="en-US" w:eastAsia="zh-CN"/>
              </w:rPr>
              <w:t>原料堆场扬尘</w:t>
            </w:r>
            <w:r>
              <w:rPr>
                <w:rFonts w:hint="default" w:ascii="Times New Roman" w:hAnsi="Times New Roman" w:eastAsia="宋体" w:cs="Times New Roman"/>
                <w:color w:val="auto"/>
                <w:sz w:val="24"/>
                <w:highlight w:val="none"/>
                <w:u w:val="none"/>
                <w:lang w:val="en-US" w:eastAsia="zh-CN"/>
              </w:rPr>
              <w:t>、</w:t>
            </w:r>
            <w:r>
              <w:rPr>
                <w:rFonts w:hint="eastAsia" w:ascii="Times New Roman" w:hAnsi="Times New Roman" w:cs="Times New Roman"/>
                <w:color w:val="auto"/>
                <w:sz w:val="24"/>
                <w:highlight w:val="none"/>
                <w:u w:val="none"/>
                <w:lang w:val="en-US" w:eastAsia="zh-CN"/>
              </w:rPr>
              <w:t>破碎粉尘、原料</w:t>
            </w:r>
            <w:r>
              <w:rPr>
                <w:rFonts w:hint="eastAsia"/>
                <w:color w:val="auto"/>
                <w:sz w:val="24"/>
                <w:highlight w:val="none"/>
                <w:lang w:eastAsia="zh-CN"/>
              </w:rPr>
              <w:t>转载</w:t>
            </w:r>
            <w:r>
              <w:rPr>
                <w:rFonts w:hint="eastAsia" w:ascii="Times New Roman" w:hAnsi="Times New Roman" w:cs="Times New Roman"/>
                <w:color w:val="auto"/>
                <w:sz w:val="24"/>
                <w:highlight w:val="none"/>
                <w:u w:val="none"/>
                <w:lang w:val="en-US" w:eastAsia="zh-CN"/>
              </w:rPr>
              <w:t>点落料粉尘、喂煤仓粉尘、烘干废气（颗粒物、二氧化硫、氮氧化物、水蒸气、NH</w:t>
            </w:r>
            <w:r>
              <w:rPr>
                <w:rFonts w:hint="eastAsia" w:ascii="Times New Roman" w:hAnsi="Times New Roman" w:cs="Times New Roman"/>
                <w:color w:val="auto"/>
                <w:sz w:val="24"/>
                <w:highlight w:val="none"/>
                <w:u w:val="none"/>
                <w:vertAlign w:val="subscript"/>
                <w:lang w:val="en-US" w:eastAsia="zh-CN"/>
              </w:rPr>
              <w:t>3</w:t>
            </w:r>
            <w:r>
              <w:rPr>
                <w:rFonts w:hint="eastAsia" w:ascii="Times New Roman" w:hAnsi="Times New Roman" w:cs="Times New Roman"/>
                <w:color w:val="auto"/>
                <w:sz w:val="24"/>
                <w:highlight w:val="none"/>
                <w:u w:val="none"/>
                <w:lang w:val="en-US" w:eastAsia="zh-CN"/>
              </w:rPr>
              <w:t>）、燃料仓粉尘、煤粉仓粉尘、成品装载点落料粉尘、成品散装粉尘、成品堆场扬尘、石灰石粉储罐粉尘、氨水储罐呼吸废气、异味</w:t>
            </w:r>
            <w:r>
              <w:rPr>
                <w:rFonts w:hint="default" w:ascii="Times New Roman" w:hAnsi="Times New Roman" w:eastAsia="宋体" w:cs="Times New Roman"/>
                <w:color w:val="auto"/>
                <w:sz w:val="24"/>
                <w:highlight w:val="none"/>
                <w:u w:val="none"/>
                <w:lang w:val="en-US" w:eastAsia="zh-CN"/>
              </w:rPr>
              <w:t>等。</w:t>
            </w:r>
          </w:p>
          <w:p w14:paraId="177CFDAC">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1、污染物源强核算</w:t>
            </w:r>
          </w:p>
          <w:p w14:paraId="311F525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正常情况时废气</w:t>
            </w:r>
          </w:p>
          <w:p w14:paraId="36D96B7B">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  项目运营期</w:t>
            </w:r>
            <w:r>
              <w:rPr>
                <w:rFonts w:hint="eastAsia" w:ascii="Times New Roman" w:hAnsi="Times New Roman" w:cs="Times New Roman"/>
                <w:b/>
                <w:bCs/>
                <w:color w:val="auto"/>
                <w:sz w:val="21"/>
                <w:szCs w:val="21"/>
                <w:highlight w:val="none"/>
                <w:lang w:val="en-US" w:eastAsia="zh-CN"/>
              </w:rPr>
              <w:t>卸料扬尘和原料堆场扬尘废气</w:t>
            </w:r>
            <w:r>
              <w:rPr>
                <w:rFonts w:hint="default" w:ascii="Times New Roman" w:hAnsi="Times New Roman" w:eastAsia="宋体" w:cs="Times New Roman"/>
                <w:b/>
                <w:bCs/>
                <w:color w:val="auto"/>
                <w:sz w:val="21"/>
                <w:szCs w:val="21"/>
                <w:highlight w:val="none"/>
                <w:lang w:val="en-US" w:eastAsia="zh-CN"/>
              </w:rPr>
              <w:t>排放源一览表</w:t>
            </w:r>
          </w:p>
          <w:tbl>
            <w:tblPr>
              <w:tblStyle w:val="28"/>
              <w:tblW w:w="846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54"/>
              <w:gridCol w:w="1720"/>
              <w:gridCol w:w="1733"/>
              <w:gridCol w:w="91"/>
              <w:gridCol w:w="1351"/>
              <w:gridCol w:w="2677"/>
            </w:tblGrid>
            <w:tr w14:paraId="503C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0" w:type="dxa"/>
                  <w:gridSpan w:val="3"/>
                  <w:vAlign w:val="center"/>
                </w:tcPr>
                <w:p w14:paraId="70F9481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3175" w:type="dxa"/>
                  <w:gridSpan w:val="3"/>
                  <w:vAlign w:val="center"/>
                </w:tcPr>
                <w:p w14:paraId="01A8E61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color w:val="auto"/>
                      <w:spacing w:val="-10"/>
                      <w:sz w:val="21"/>
                      <w:szCs w:val="21"/>
                      <w:highlight w:val="none"/>
                      <w:vertAlign w:val="baseline"/>
                      <w:lang w:val="en-US" w:eastAsia="zh-CN"/>
                    </w:rPr>
                    <w:t>卸料</w:t>
                  </w:r>
                  <w:r>
                    <w:rPr>
                      <w:rFonts w:hint="eastAsia" w:cs="Times New Roman"/>
                      <w:b w:val="0"/>
                      <w:bCs/>
                      <w:color w:val="auto"/>
                      <w:spacing w:val="-10"/>
                      <w:sz w:val="21"/>
                      <w:szCs w:val="21"/>
                      <w:highlight w:val="none"/>
                      <w:vertAlign w:val="baseline"/>
                      <w:lang w:val="en-US" w:eastAsia="zh-CN"/>
                    </w:rPr>
                    <w:t>扬尘</w:t>
                  </w:r>
                </w:p>
              </w:tc>
              <w:tc>
                <w:tcPr>
                  <w:tcW w:w="2677" w:type="dxa"/>
                  <w:vAlign w:val="center"/>
                </w:tcPr>
                <w:p w14:paraId="052173F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val="en-US" w:eastAsia="zh-CN"/>
                    </w:rPr>
                    <w:t>原料堆场扬尘</w:t>
                  </w:r>
                </w:p>
              </w:tc>
            </w:tr>
            <w:tr w14:paraId="25F7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0" w:type="dxa"/>
                  <w:gridSpan w:val="3"/>
                  <w:vAlign w:val="center"/>
                </w:tcPr>
                <w:p w14:paraId="5A431A8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3175" w:type="dxa"/>
                  <w:gridSpan w:val="3"/>
                  <w:vAlign w:val="center"/>
                </w:tcPr>
                <w:p w14:paraId="7698B54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2677" w:type="dxa"/>
                  <w:vAlign w:val="center"/>
                </w:tcPr>
                <w:p w14:paraId="3BFEFD2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val="en-US" w:eastAsia="zh-CN"/>
                    </w:rPr>
                    <w:t>颗粒物</w:t>
                  </w:r>
                </w:p>
              </w:tc>
            </w:tr>
            <w:tr w14:paraId="12B7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0" w:type="dxa"/>
                  <w:gridSpan w:val="3"/>
                  <w:vAlign w:val="center"/>
                </w:tcPr>
                <w:p w14:paraId="5C6E1AE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1733" w:type="dxa"/>
                  <w:vAlign w:val="center"/>
                </w:tcPr>
                <w:p w14:paraId="711D7A8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24.65</w:t>
                  </w:r>
                </w:p>
              </w:tc>
              <w:tc>
                <w:tcPr>
                  <w:tcW w:w="1442" w:type="dxa"/>
                  <w:gridSpan w:val="2"/>
                  <w:vAlign w:val="center"/>
                </w:tcPr>
                <w:p w14:paraId="6275FC8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4.35</w:t>
                  </w:r>
                </w:p>
              </w:tc>
              <w:tc>
                <w:tcPr>
                  <w:tcW w:w="2677" w:type="dxa"/>
                  <w:vAlign w:val="center"/>
                </w:tcPr>
                <w:p w14:paraId="7D4B462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val="en-US" w:eastAsia="zh-CN"/>
                    </w:rPr>
                    <w:t>66.1334kg</w:t>
                  </w:r>
                  <w:r>
                    <w:rPr>
                      <w:rFonts w:hint="default" w:ascii="Times New Roman" w:hAnsi="Times New Roman" w:eastAsia="宋体" w:cs="Times New Roman"/>
                      <w:b w:val="0"/>
                      <w:bCs w:val="0"/>
                      <w:color w:val="auto"/>
                      <w:sz w:val="21"/>
                      <w:szCs w:val="21"/>
                      <w:highlight w:val="none"/>
                      <w:lang w:val="en-US" w:eastAsia="zh-CN"/>
                    </w:rPr>
                    <w:t>/a</w:t>
                  </w:r>
                </w:p>
              </w:tc>
            </w:tr>
            <w:tr w14:paraId="371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5E24F91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1733" w:type="dxa"/>
                  <w:vAlign w:val="center"/>
                </w:tcPr>
                <w:p w14:paraId="4E4702C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496.51</w:t>
                  </w:r>
                </w:p>
              </w:tc>
              <w:tc>
                <w:tcPr>
                  <w:tcW w:w="1442" w:type="dxa"/>
                  <w:gridSpan w:val="2"/>
                  <w:vAlign w:val="center"/>
                </w:tcPr>
                <w:p w14:paraId="60EA147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2677" w:type="dxa"/>
                  <w:vAlign w:val="center"/>
                </w:tcPr>
                <w:p w14:paraId="3911B50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71A1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3F2366A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1733" w:type="dxa"/>
                  <w:vAlign w:val="center"/>
                </w:tcPr>
                <w:p w14:paraId="79D6B8A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442" w:type="dxa"/>
                  <w:gridSpan w:val="2"/>
                  <w:vAlign w:val="center"/>
                </w:tcPr>
                <w:p w14:paraId="459C0C8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c>
                <w:tcPr>
                  <w:tcW w:w="2677" w:type="dxa"/>
                  <w:vAlign w:val="center"/>
                </w:tcPr>
                <w:p w14:paraId="41E0FCF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r>
            <w:tr w14:paraId="3062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636" w:type="dxa"/>
                  <w:vMerge w:val="restart"/>
                  <w:vAlign w:val="center"/>
                </w:tcPr>
                <w:p w14:paraId="3F3E636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974" w:type="dxa"/>
                  <w:gridSpan w:val="2"/>
                  <w:vAlign w:val="center"/>
                </w:tcPr>
                <w:p w14:paraId="46C5C5C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1733" w:type="dxa"/>
                  <w:vAlign w:val="center"/>
                </w:tcPr>
                <w:p w14:paraId="6243702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7388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442" w:type="dxa"/>
                  <w:gridSpan w:val="2"/>
                  <w:vAlign w:val="center"/>
                </w:tcPr>
                <w:p w14:paraId="2E938F7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677" w:type="dxa"/>
                  <w:vAlign w:val="center"/>
                </w:tcPr>
                <w:p w14:paraId="5B198F7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72D0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5C59F55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6258BD9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1733" w:type="dxa"/>
                  <w:vAlign w:val="center"/>
                </w:tcPr>
                <w:p w14:paraId="6BE624F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r>
                    <w:rPr>
                      <w:rFonts w:hint="eastAsia" w:cs="Times New Roman"/>
                      <w:b w:val="0"/>
                      <w:bCs/>
                      <w:color w:val="auto"/>
                      <w:spacing w:val="-10"/>
                      <w:sz w:val="21"/>
                      <w:szCs w:val="21"/>
                      <w:highlight w:val="none"/>
                      <w:vertAlign w:val="baseline"/>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442" w:type="dxa"/>
                  <w:gridSpan w:val="2"/>
                  <w:vAlign w:val="center"/>
                </w:tcPr>
                <w:p w14:paraId="320E878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2677" w:type="dxa"/>
                  <w:vAlign w:val="center"/>
                </w:tcPr>
                <w:p w14:paraId="0D26F5F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62096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41745EF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4B5F8A3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1733" w:type="dxa"/>
                  <w:vAlign w:val="center"/>
                </w:tcPr>
                <w:p w14:paraId="5A50ACF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p>
              </w:tc>
              <w:tc>
                <w:tcPr>
                  <w:tcW w:w="1442" w:type="dxa"/>
                  <w:gridSpan w:val="2"/>
                  <w:vAlign w:val="center"/>
                </w:tcPr>
                <w:p w14:paraId="622FA26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厂房阻隔、自然沉降</w:t>
                  </w:r>
                </w:p>
              </w:tc>
              <w:tc>
                <w:tcPr>
                  <w:tcW w:w="2677" w:type="dxa"/>
                  <w:vAlign w:val="center"/>
                </w:tcPr>
                <w:p w14:paraId="27C3949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厂房阻隔、自然沉降</w:t>
                  </w:r>
                </w:p>
              </w:tc>
            </w:tr>
            <w:tr w14:paraId="59AD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36" w:type="dxa"/>
                  <w:vMerge w:val="continue"/>
                  <w:vAlign w:val="center"/>
                </w:tcPr>
                <w:p w14:paraId="14A93D7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765EEC4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1733" w:type="dxa"/>
                  <w:vAlign w:val="center"/>
                </w:tcPr>
                <w:p w14:paraId="5F11827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442" w:type="dxa"/>
                  <w:gridSpan w:val="2"/>
                  <w:vAlign w:val="center"/>
                </w:tcPr>
                <w:p w14:paraId="549486B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w:t>
                  </w: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2677" w:type="dxa"/>
                  <w:vAlign w:val="center"/>
                </w:tcPr>
                <w:p w14:paraId="61F7427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w:t>
                  </w:r>
                  <w:r>
                    <w:rPr>
                      <w:rFonts w:hint="default" w:ascii="Times New Roman" w:hAnsi="Times New Roman" w:eastAsia="宋体" w:cs="Times New Roman"/>
                      <w:b w:val="0"/>
                      <w:bCs/>
                      <w:color w:val="auto"/>
                      <w:spacing w:val="-10"/>
                      <w:sz w:val="21"/>
                      <w:szCs w:val="21"/>
                      <w:highlight w:val="none"/>
                      <w:vertAlign w:val="baseline"/>
                      <w:lang w:val="en-US" w:eastAsia="zh-CN"/>
                    </w:rPr>
                    <w:t>0%</w:t>
                  </w:r>
                </w:p>
              </w:tc>
            </w:tr>
            <w:tr w14:paraId="6192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67484C8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424A7FC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1733" w:type="dxa"/>
                  <w:vAlign w:val="center"/>
                </w:tcPr>
                <w:p w14:paraId="59BDFA4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442" w:type="dxa"/>
                  <w:gridSpan w:val="2"/>
                  <w:vAlign w:val="center"/>
                </w:tcPr>
                <w:p w14:paraId="1611FBF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2677" w:type="dxa"/>
                  <w:vAlign w:val="center"/>
                </w:tcPr>
                <w:p w14:paraId="32182C9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25CC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7F9D93B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1733" w:type="dxa"/>
                  <w:vAlign w:val="center"/>
                </w:tcPr>
                <w:p w14:paraId="0BEAC61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1.99</w:t>
                  </w:r>
                </w:p>
              </w:tc>
              <w:tc>
                <w:tcPr>
                  <w:tcW w:w="1442" w:type="dxa"/>
                  <w:gridSpan w:val="2"/>
                  <w:vAlign w:val="center"/>
                </w:tcPr>
                <w:p w14:paraId="323B943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2677" w:type="dxa"/>
                  <w:vAlign w:val="center"/>
                </w:tcPr>
                <w:p w14:paraId="35D8C61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5490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610" w:type="dxa"/>
                  <w:gridSpan w:val="3"/>
                  <w:vAlign w:val="center"/>
                </w:tcPr>
                <w:p w14:paraId="5114B4E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1733" w:type="dxa"/>
                  <w:vAlign w:val="center"/>
                </w:tcPr>
                <w:p w14:paraId="1B3615E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w:t>
                  </w:r>
                  <w:r>
                    <w:rPr>
                      <w:rFonts w:hint="eastAsia" w:cs="Times New Roman"/>
                      <w:b w:val="0"/>
                      <w:bCs/>
                      <w:color w:val="auto"/>
                      <w:spacing w:val="-10"/>
                      <w:sz w:val="21"/>
                      <w:szCs w:val="21"/>
                      <w:highlight w:val="none"/>
                      <w:vertAlign w:val="baseline"/>
                      <w:lang w:val="en-US" w:eastAsia="zh-CN"/>
                    </w:rPr>
                    <w:t>147</w:t>
                  </w:r>
                </w:p>
              </w:tc>
              <w:tc>
                <w:tcPr>
                  <w:tcW w:w="1442" w:type="dxa"/>
                  <w:gridSpan w:val="2"/>
                  <w:vAlign w:val="center"/>
                </w:tcPr>
                <w:p w14:paraId="034B45C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0.1295</w:t>
                  </w:r>
                </w:p>
              </w:tc>
              <w:tc>
                <w:tcPr>
                  <w:tcW w:w="2677" w:type="dxa"/>
                  <w:vAlign w:val="center"/>
                </w:tcPr>
                <w:p w14:paraId="59E2FF4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val="0"/>
                      <w:color w:val="auto"/>
                      <w:sz w:val="21"/>
                      <w:szCs w:val="21"/>
                      <w:highlight w:val="none"/>
                      <w:lang w:val="en-US" w:eastAsia="zh-CN"/>
                    </w:rPr>
                    <w:t>0.0010</w:t>
                  </w:r>
                </w:p>
              </w:tc>
            </w:tr>
            <w:tr w14:paraId="7BFD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2519125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1733" w:type="dxa"/>
                  <w:vAlign w:val="center"/>
                </w:tcPr>
                <w:p w14:paraId="5F8A9CC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0986</w:t>
                  </w:r>
                </w:p>
              </w:tc>
              <w:tc>
                <w:tcPr>
                  <w:tcW w:w="1442" w:type="dxa"/>
                  <w:gridSpan w:val="2"/>
                  <w:vAlign w:val="center"/>
                </w:tcPr>
                <w:p w14:paraId="707ADEA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0.87</w:t>
                  </w:r>
                </w:p>
              </w:tc>
              <w:tc>
                <w:tcPr>
                  <w:tcW w:w="2677" w:type="dxa"/>
                  <w:vAlign w:val="center"/>
                </w:tcPr>
                <w:p w14:paraId="154A937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val="en-US" w:eastAsia="zh-CN"/>
                    </w:rPr>
                    <w:t>6.6133kg</w:t>
                  </w:r>
                  <w:r>
                    <w:rPr>
                      <w:rFonts w:hint="default" w:ascii="Times New Roman" w:hAnsi="Times New Roman" w:eastAsia="宋体" w:cs="Times New Roman"/>
                      <w:b w:val="0"/>
                      <w:bCs w:val="0"/>
                      <w:color w:val="auto"/>
                      <w:sz w:val="21"/>
                      <w:szCs w:val="21"/>
                      <w:highlight w:val="none"/>
                      <w:lang w:val="en-US" w:eastAsia="zh-CN"/>
                    </w:rPr>
                    <w:t>/a</w:t>
                  </w:r>
                </w:p>
              </w:tc>
            </w:tr>
            <w:tr w14:paraId="388C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restart"/>
                  <w:vAlign w:val="center"/>
                </w:tcPr>
                <w:p w14:paraId="216FB27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974" w:type="dxa"/>
                  <w:gridSpan w:val="2"/>
                  <w:vAlign w:val="center"/>
                </w:tcPr>
                <w:p w14:paraId="7FDCDDB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1733" w:type="dxa"/>
                  <w:vAlign w:val="center"/>
                </w:tcPr>
                <w:p w14:paraId="74E2912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w:t>
                  </w:r>
                  <w:r>
                    <w:rPr>
                      <w:rFonts w:hint="eastAsia" w:cs="Times New Roman"/>
                      <w:b w:val="0"/>
                      <w:bCs/>
                      <w:color w:val="auto"/>
                      <w:spacing w:val="-10"/>
                      <w:sz w:val="21"/>
                      <w:szCs w:val="21"/>
                      <w:highlight w:val="none"/>
                      <w:vertAlign w:val="baseline"/>
                      <w:lang w:val="en-US" w:eastAsia="zh-CN"/>
                    </w:rPr>
                    <w:t>5.5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442" w:type="dxa"/>
                  <w:gridSpan w:val="2"/>
                  <w:vAlign w:val="center"/>
                </w:tcPr>
                <w:p w14:paraId="5488AA2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2677" w:type="dxa"/>
                  <w:vAlign w:val="center"/>
                </w:tcPr>
                <w:p w14:paraId="5931382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bCs w:val="0"/>
                      <w:color w:val="auto"/>
                      <w:spacing w:val="-10"/>
                      <w:sz w:val="21"/>
                      <w:szCs w:val="21"/>
                      <w:highlight w:val="none"/>
                      <w:vertAlign w:val="baseline"/>
                      <w:lang w:val="en-US" w:eastAsia="zh-CN"/>
                    </w:rPr>
                    <w:t>/</w:t>
                  </w:r>
                </w:p>
              </w:tc>
            </w:tr>
            <w:tr w14:paraId="46BC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7ED5D02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71B2D47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1733" w:type="dxa"/>
                  <w:vAlign w:val="center"/>
                </w:tcPr>
                <w:p w14:paraId="0B57991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45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442" w:type="dxa"/>
                  <w:gridSpan w:val="2"/>
                  <w:vAlign w:val="center"/>
                </w:tcPr>
                <w:p w14:paraId="16C2037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2677" w:type="dxa"/>
                  <w:vAlign w:val="center"/>
                </w:tcPr>
                <w:p w14:paraId="09BA821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bCs w:val="0"/>
                      <w:color w:val="auto"/>
                      <w:spacing w:val="-10"/>
                      <w:sz w:val="21"/>
                      <w:szCs w:val="21"/>
                      <w:highlight w:val="none"/>
                      <w:vertAlign w:val="baseline"/>
                      <w:lang w:val="en-US" w:eastAsia="zh-CN"/>
                    </w:rPr>
                    <w:t>/</w:t>
                  </w:r>
                </w:p>
              </w:tc>
            </w:tr>
            <w:tr w14:paraId="2ED7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3DD8560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23B47FB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1733" w:type="dxa"/>
                  <w:vAlign w:val="center"/>
                </w:tcPr>
                <w:p w14:paraId="68F8F56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1442" w:type="dxa"/>
                  <w:gridSpan w:val="2"/>
                  <w:vAlign w:val="center"/>
                </w:tcPr>
                <w:p w14:paraId="65F1A20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2677" w:type="dxa"/>
                  <w:vAlign w:val="center"/>
                </w:tcPr>
                <w:p w14:paraId="17097D2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bCs w:val="0"/>
                      <w:color w:val="auto"/>
                      <w:spacing w:val="-10"/>
                      <w:sz w:val="21"/>
                      <w:szCs w:val="21"/>
                      <w:highlight w:val="none"/>
                      <w:vertAlign w:val="baseline"/>
                      <w:lang w:val="en-US" w:eastAsia="zh-CN"/>
                    </w:rPr>
                    <w:t>/</w:t>
                  </w:r>
                </w:p>
              </w:tc>
            </w:tr>
            <w:tr w14:paraId="77708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390B60F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3A399E6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1733" w:type="dxa"/>
                  <w:vAlign w:val="center"/>
                </w:tcPr>
                <w:p w14:paraId="2E3BB44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DA001</w:t>
                  </w:r>
                </w:p>
              </w:tc>
              <w:tc>
                <w:tcPr>
                  <w:tcW w:w="1442" w:type="dxa"/>
                  <w:gridSpan w:val="2"/>
                  <w:vAlign w:val="center"/>
                </w:tcPr>
                <w:p w14:paraId="0FCB9C8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2677" w:type="dxa"/>
                  <w:vAlign w:val="center"/>
                </w:tcPr>
                <w:p w14:paraId="6BCB361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bCs w:val="0"/>
                      <w:color w:val="auto"/>
                      <w:spacing w:val="-10"/>
                      <w:sz w:val="21"/>
                      <w:szCs w:val="21"/>
                      <w:highlight w:val="none"/>
                      <w:vertAlign w:val="baseline"/>
                      <w:lang w:val="en-US" w:eastAsia="zh-CN"/>
                    </w:rPr>
                    <w:t>/</w:t>
                  </w:r>
                </w:p>
              </w:tc>
            </w:tr>
            <w:tr w14:paraId="0E4F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1AA2C75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45F9403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1733" w:type="dxa"/>
                  <w:vAlign w:val="center"/>
                </w:tcPr>
                <w:p w14:paraId="74D0F64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442" w:type="dxa"/>
                  <w:gridSpan w:val="2"/>
                  <w:vAlign w:val="center"/>
                </w:tcPr>
                <w:p w14:paraId="6919CC5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2677" w:type="dxa"/>
                  <w:vAlign w:val="center"/>
                </w:tcPr>
                <w:p w14:paraId="2E0A24B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bCs w:val="0"/>
                      <w:color w:val="auto"/>
                      <w:spacing w:val="-10"/>
                      <w:sz w:val="21"/>
                      <w:szCs w:val="21"/>
                      <w:highlight w:val="none"/>
                      <w:vertAlign w:val="baseline"/>
                      <w:lang w:val="en-US" w:eastAsia="zh-CN"/>
                    </w:rPr>
                    <w:t>/</w:t>
                  </w:r>
                </w:p>
              </w:tc>
            </w:tr>
            <w:tr w14:paraId="09FD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27FD580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451D31E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3175" w:type="dxa"/>
                  <w:gridSpan w:val="3"/>
                  <w:vAlign w:val="center"/>
                </w:tcPr>
                <w:p w14:paraId="2FA0082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DA001：</w:t>
                  </w:r>
                  <w:r>
                    <w:rPr>
                      <w:rFonts w:hint="default" w:ascii="Times New Roman" w:hAnsi="Times New Roman" w:eastAsia="宋体" w:cs="Times New Roman"/>
                      <w:b w:val="0"/>
                      <w:bCs/>
                      <w:color w:val="auto"/>
                      <w:spacing w:val="-10"/>
                      <w:sz w:val="21"/>
                      <w:szCs w:val="21"/>
                      <w:highlight w:val="none"/>
                      <w:vertAlign w:val="baseline"/>
                      <w:lang w:val="en-US" w:eastAsia="zh-CN"/>
                    </w:rPr>
                    <w:t>E：103°11′40.681″，N：25°33′41.513″</w:t>
                  </w:r>
                </w:p>
              </w:tc>
              <w:tc>
                <w:tcPr>
                  <w:tcW w:w="2677" w:type="dxa"/>
                  <w:vAlign w:val="center"/>
                </w:tcPr>
                <w:p w14:paraId="18269C9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bCs w:val="0"/>
                      <w:color w:val="auto"/>
                      <w:spacing w:val="-10"/>
                      <w:sz w:val="21"/>
                      <w:szCs w:val="21"/>
                      <w:highlight w:val="none"/>
                      <w:vertAlign w:val="baseline"/>
                      <w:lang w:val="en-US" w:eastAsia="zh-CN"/>
                    </w:rPr>
                    <w:t>/</w:t>
                  </w:r>
                </w:p>
              </w:tc>
            </w:tr>
            <w:tr w14:paraId="4C84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1F80E21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5852" w:type="dxa"/>
                  <w:gridSpan w:val="4"/>
                  <w:vAlign w:val="center"/>
                </w:tcPr>
                <w:p w14:paraId="6C4B778F">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shd w:val="clear" w:color="auto" w:fill="auto"/>
                      <w:lang w:val="zh-CN" w:eastAsia="zh-CN"/>
                    </w:rPr>
                    <w:t>执行</w:t>
                  </w:r>
                  <w:r>
                    <w:rPr>
                      <w:rFonts w:hint="default" w:ascii="Times New Roman" w:hAnsi="Times New Roman" w:cs="Times New Roman"/>
                      <w:color w:val="auto"/>
                      <w:sz w:val="21"/>
                      <w:szCs w:val="21"/>
                      <w:shd w:val="clear" w:color="auto" w:fill="auto"/>
                      <w:lang w:val="zh-CN" w:eastAsia="zh-CN"/>
                    </w:rPr>
                    <w:t>《大气污染物综合排放标准》（GB16297-1996）表2中二级标准</w:t>
                  </w:r>
                  <w:r>
                    <w:rPr>
                      <w:color w:val="auto"/>
                      <w:sz w:val="21"/>
                      <w:szCs w:val="21"/>
                    </w:rPr>
                    <w:t>要求</w:t>
                  </w:r>
                  <w:r>
                    <w:rPr>
                      <w:rFonts w:hint="eastAsia"/>
                      <w:color w:val="auto"/>
                      <w:sz w:val="21"/>
                      <w:szCs w:val="21"/>
                      <w:lang w:eastAsia="zh-CN"/>
                    </w:rPr>
                    <w:t>。</w:t>
                  </w:r>
                </w:p>
              </w:tc>
            </w:tr>
            <w:tr w14:paraId="017D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gridSpan w:val="2"/>
                  <w:vMerge w:val="restart"/>
                  <w:vAlign w:val="center"/>
                </w:tcPr>
                <w:p w14:paraId="0628C81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720" w:type="dxa"/>
                  <w:vAlign w:val="center"/>
                </w:tcPr>
                <w:p w14:paraId="3DDDB28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1824" w:type="dxa"/>
                  <w:gridSpan w:val="2"/>
                  <w:vAlign w:val="center"/>
                </w:tcPr>
                <w:p w14:paraId="6F7C882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DA001排气筒出口</w:t>
                  </w:r>
                </w:p>
              </w:tc>
              <w:tc>
                <w:tcPr>
                  <w:tcW w:w="1351" w:type="dxa"/>
                  <w:vAlign w:val="center"/>
                </w:tcPr>
                <w:p w14:paraId="3658769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c>
                <w:tcPr>
                  <w:tcW w:w="2677" w:type="dxa"/>
                  <w:vAlign w:val="center"/>
                </w:tcPr>
                <w:p w14:paraId="171A1ED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r>
            <w:tr w14:paraId="59DE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gridSpan w:val="2"/>
                  <w:vMerge w:val="continue"/>
                  <w:vAlign w:val="center"/>
                </w:tcPr>
                <w:p w14:paraId="51C8F0A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20" w:type="dxa"/>
                  <w:vAlign w:val="center"/>
                </w:tcPr>
                <w:p w14:paraId="15DB1A6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3175" w:type="dxa"/>
                  <w:gridSpan w:val="3"/>
                  <w:vAlign w:val="center"/>
                </w:tcPr>
                <w:p w14:paraId="14242B0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c>
                <w:tcPr>
                  <w:tcW w:w="2677" w:type="dxa"/>
                  <w:vAlign w:val="center"/>
                </w:tcPr>
                <w:p w14:paraId="5626D21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ascii="Times New Roman" w:hAnsi="Times New Roman" w:eastAsia="宋体" w:cs="Times New Roman"/>
                      <w:b w:val="0"/>
                      <w:bCs w:val="0"/>
                      <w:color w:val="auto"/>
                      <w:spacing w:val="-10"/>
                      <w:sz w:val="21"/>
                      <w:szCs w:val="21"/>
                      <w:highlight w:val="none"/>
                      <w:vertAlign w:val="baseline"/>
                      <w:lang w:val="en-US" w:eastAsia="zh-CN"/>
                    </w:rPr>
                    <w:t>颗粒物</w:t>
                  </w:r>
                </w:p>
              </w:tc>
            </w:tr>
            <w:tr w14:paraId="2B03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gridSpan w:val="2"/>
                  <w:vMerge w:val="continue"/>
                  <w:vAlign w:val="center"/>
                </w:tcPr>
                <w:p w14:paraId="4F1D6AC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20" w:type="dxa"/>
                  <w:vAlign w:val="center"/>
                </w:tcPr>
                <w:p w14:paraId="1ACB9BC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1824" w:type="dxa"/>
                  <w:gridSpan w:val="2"/>
                  <w:vAlign w:val="center"/>
                </w:tcPr>
                <w:p w14:paraId="0CB4F68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c>
                <w:tcPr>
                  <w:tcW w:w="1351" w:type="dxa"/>
                  <w:vAlign w:val="center"/>
                </w:tcPr>
                <w:p w14:paraId="2551493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c>
                <w:tcPr>
                  <w:tcW w:w="2677" w:type="dxa"/>
                  <w:vAlign w:val="center"/>
                </w:tcPr>
                <w:p w14:paraId="3AF6E9F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b w:val="0"/>
                      <w:bCs w:val="0"/>
                      <w:color w:val="auto"/>
                      <w:spacing w:val="-10"/>
                      <w:sz w:val="21"/>
                      <w:szCs w:val="21"/>
                      <w:highlight w:val="none"/>
                      <w:vertAlign w:val="baseline"/>
                      <w:lang w:val="en-US" w:eastAsia="zh-CN"/>
                    </w:rPr>
                    <w:t>1次/</w:t>
                  </w:r>
                  <w:r>
                    <w:rPr>
                      <w:rFonts w:hint="eastAsia" w:ascii="Times New Roman" w:hAnsi="Times New Roman" w:eastAsia="宋体" w:cs="Times New Roman"/>
                      <w:b w:val="0"/>
                      <w:bCs w:val="0"/>
                      <w:color w:val="auto"/>
                      <w:spacing w:val="-10"/>
                      <w:sz w:val="21"/>
                      <w:szCs w:val="21"/>
                      <w:highlight w:val="none"/>
                      <w:vertAlign w:val="baseline"/>
                      <w:lang w:val="en-US" w:eastAsia="zh-CN"/>
                    </w:rPr>
                    <w:t>年</w:t>
                  </w:r>
                </w:p>
              </w:tc>
            </w:tr>
          </w:tbl>
          <w:p w14:paraId="037B789B">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w:t>
            </w:r>
            <w:r>
              <w:rPr>
                <w:rFonts w:hint="eastAsia" w:ascii="Times New Roman" w:hAnsi="Times New Roman" w:cs="Times New Roman"/>
                <w:b/>
                <w:bCs/>
                <w:color w:val="auto"/>
                <w:sz w:val="24"/>
                <w:szCs w:val="24"/>
                <w:highlight w:val="none"/>
                <w:lang w:val="en-US" w:eastAsia="zh-CN"/>
              </w:rPr>
              <w:t>卸料扬尘</w:t>
            </w:r>
          </w:p>
          <w:p w14:paraId="4B7472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color w:val="auto"/>
                <w:sz w:val="24"/>
                <w:highlight w:val="none"/>
                <w:lang w:eastAsia="zh-CN"/>
              </w:rPr>
            </w:pPr>
            <w:r>
              <w:rPr>
                <w:rFonts w:hint="eastAsia"/>
                <w:color w:val="auto"/>
                <w:sz w:val="24"/>
              </w:rPr>
              <w:t>项目原煤从</w:t>
            </w:r>
            <w:r>
              <w:rPr>
                <w:rFonts w:hint="eastAsia"/>
                <w:color w:val="auto"/>
                <w:sz w:val="24"/>
                <w:lang w:eastAsia="zh-CN"/>
              </w:rPr>
              <w:t>运输车辆上卸料至卸车坑及原煤堆棚，卸料过程</w:t>
            </w:r>
            <w:r>
              <w:rPr>
                <w:rFonts w:hint="eastAsia"/>
                <w:color w:val="auto"/>
                <w:sz w:val="24"/>
              </w:rPr>
              <w:t>原煤落料将产生一定扬尘</w:t>
            </w:r>
            <w:r>
              <w:rPr>
                <w:rFonts w:hint="eastAsia"/>
                <w:color w:val="auto"/>
                <w:sz w:val="24"/>
                <w:lang w:eastAsia="zh-CN"/>
              </w:rPr>
              <w:t>，卸车坑为全封闭式，卸料坑</w:t>
            </w:r>
            <w:r>
              <w:rPr>
                <w:rFonts w:hint="eastAsia"/>
                <w:color w:val="auto"/>
                <w:sz w:val="24"/>
              </w:rPr>
              <w:t>落煤高度约</w:t>
            </w:r>
            <w:r>
              <w:rPr>
                <w:rFonts w:hint="eastAsia"/>
                <w:color w:val="auto"/>
                <w:sz w:val="24"/>
                <w:lang w:val="en-US" w:eastAsia="zh-CN"/>
              </w:rPr>
              <w:t>3</w:t>
            </w:r>
            <w:r>
              <w:rPr>
                <w:rFonts w:hint="eastAsia"/>
                <w:color w:val="auto"/>
                <w:sz w:val="24"/>
              </w:rPr>
              <w:t>m，</w:t>
            </w:r>
            <w:r>
              <w:rPr>
                <w:rFonts w:hint="eastAsia"/>
                <w:color w:val="auto"/>
                <w:sz w:val="24"/>
                <w:lang w:eastAsia="zh-CN"/>
              </w:rPr>
              <w:t>卸料</w:t>
            </w:r>
            <w:r>
              <w:rPr>
                <w:rFonts w:hint="default" w:ascii="Times New Roman" w:hAnsi="Times New Roman" w:eastAsia="宋体" w:cs="Times New Roman"/>
                <w:color w:val="auto"/>
                <w:sz w:val="24"/>
                <w:highlight w:val="none"/>
                <w:lang w:val="en-US"/>
              </w:rPr>
              <w:t>扬尘采用“秦皇岛港口煤炭装卸起尘及其扩散规律研究”得出的公式计算，计算公式如下：</w:t>
            </w:r>
          </w:p>
          <w:p w14:paraId="174D160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Q=0.03V</w:t>
            </w:r>
            <w:r>
              <w:rPr>
                <w:rFonts w:hint="default" w:ascii="Times New Roman" w:hAnsi="Times New Roman" w:eastAsia="宋体" w:cs="Times New Roman"/>
                <w:b w:val="0"/>
                <w:bCs w:val="0"/>
                <w:color w:val="auto"/>
                <w:sz w:val="24"/>
                <w:highlight w:val="none"/>
                <w:vertAlign w:val="superscript"/>
                <w:lang w:val="en-US" w:eastAsia="zh-CN"/>
              </w:rPr>
              <w:t>1.8</w:t>
            </w:r>
            <w:r>
              <w:rPr>
                <w:rFonts w:hint="default" w:ascii="Times New Roman" w:hAnsi="Times New Roman" w:eastAsia="宋体" w:cs="Times New Roman"/>
                <w:b w:val="0"/>
                <w:bCs w:val="0"/>
                <w:color w:val="auto"/>
                <w:sz w:val="24"/>
                <w:highlight w:val="none"/>
                <w:vertAlign w:val="baseline"/>
                <w:lang w:val="en-US" w:eastAsia="zh-CN"/>
              </w:rPr>
              <w:t>·H</w:t>
            </w:r>
            <w:r>
              <w:rPr>
                <w:rFonts w:hint="default" w:ascii="Times New Roman" w:hAnsi="Times New Roman" w:eastAsia="宋体" w:cs="Times New Roman"/>
                <w:b w:val="0"/>
                <w:bCs w:val="0"/>
                <w:color w:val="auto"/>
                <w:sz w:val="24"/>
                <w:highlight w:val="none"/>
                <w:vertAlign w:val="superscript"/>
                <w:lang w:val="en-US" w:eastAsia="zh-CN"/>
              </w:rPr>
              <w:t>1.23</w:t>
            </w:r>
            <w:r>
              <w:rPr>
                <w:rFonts w:hint="default" w:ascii="Times New Roman" w:hAnsi="Times New Roman" w:eastAsia="宋体" w:cs="Times New Roman"/>
                <w:b w:val="0"/>
                <w:bCs w:val="0"/>
                <w:color w:val="auto"/>
                <w:sz w:val="24"/>
                <w:highlight w:val="none"/>
                <w:vertAlign w:val="baseline"/>
                <w:lang w:val="en-US" w:eastAsia="zh-CN"/>
              </w:rPr>
              <w:t>·e</w:t>
            </w:r>
            <w:r>
              <w:rPr>
                <w:rFonts w:hint="default" w:ascii="Times New Roman" w:hAnsi="Times New Roman" w:eastAsia="宋体" w:cs="Times New Roman"/>
                <w:b w:val="0"/>
                <w:bCs w:val="0"/>
                <w:color w:val="auto"/>
                <w:sz w:val="24"/>
                <w:highlight w:val="none"/>
                <w:vertAlign w:val="superscript"/>
                <w:lang w:val="en-US" w:eastAsia="zh-CN"/>
              </w:rPr>
              <w:t>-0.23w</w:t>
            </w:r>
          </w:p>
          <w:p w14:paraId="0E0A8FD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式中：Q</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煤炭装卸起尘量，kg/t；</w:t>
            </w:r>
          </w:p>
          <w:p w14:paraId="058226FE">
            <w:pPr>
              <w:keepNext w:val="0"/>
              <w:keepLines w:val="0"/>
              <w:pageBreakBefore w:val="0"/>
              <w:widowControl w:val="0"/>
              <w:kinsoku/>
              <w:wordWrap/>
              <w:overflowPunct/>
              <w:topLinePunct w:val="0"/>
              <w:autoSpaceDE/>
              <w:autoSpaceDN/>
              <w:bidi w:val="0"/>
              <w:adjustRightInd w:val="0"/>
              <w:snapToGrid w:val="0"/>
              <w:spacing w:line="360" w:lineRule="auto"/>
              <w:ind w:firstLine="1262" w:firstLineChars="526"/>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V</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风速，m/s，取</w:t>
            </w:r>
            <w:r>
              <w:rPr>
                <w:rFonts w:hint="eastAsia" w:cs="Times New Roman"/>
                <w:color w:val="auto"/>
                <w:sz w:val="24"/>
                <w:highlight w:val="none"/>
                <w:lang w:val="en-US" w:eastAsia="zh-CN"/>
              </w:rPr>
              <w:t>0.5</w:t>
            </w:r>
            <w:r>
              <w:rPr>
                <w:rFonts w:hint="default" w:ascii="Times New Roman" w:hAnsi="Times New Roman" w:eastAsia="宋体" w:cs="Times New Roman"/>
                <w:color w:val="auto"/>
                <w:sz w:val="24"/>
                <w:highlight w:val="none"/>
                <w:lang w:val="en-US"/>
              </w:rPr>
              <w:t>m/s；</w:t>
            </w:r>
            <w:r>
              <w:rPr>
                <w:rFonts w:hint="eastAsia"/>
                <w:color w:val="auto"/>
                <w:sz w:val="24"/>
              </w:rPr>
              <w:t>（</w:t>
            </w:r>
            <w:r>
              <w:rPr>
                <w:rFonts w:hint="eastAsia"/>
                <w:color w:val="auto"/>
                <w:sz w:val="24"/>
                <w:lang w:eastAsia="zh-CN"/>
              </w:rPr>
              <w:t>卸车坑</w:t>
            </w:r>
            <w:r>
              <w:rPr>
                <w:rFonts w:hint="eastAsia"/>
                <w:color w:val="auto"/>
                <w:sz w:val="24"/>
              </w:rPr>
              <w:t>封闭式设置，考虑卸煤时扰动风速取0.5</w:t>
            </w:r>
            <w:r>
              <w:rPr>
                <w:color w:val="auto"/>
                <w:sz w:val="24"/>
              </w:rPr>
              <w:t>m/s</w:t>
            </w:r>
            <w:r>
              <w:rPr>
                <w:rFonts w:hint="eastAsia"/>
                <w:color w:val="auto"/>
                <w:sz w:val="24"/>
              </w:rPr>
              <w:t>）</w:t>
            </w:r>
            <w:r>
              <w:rPr>
                <w:rFonts w:hint="default" w:ascii="Times New Roman" w:hAnsi="Times New Roman" w:eastAsia="宋体" w:cs="Times New Roman"/>
                <w:color w:val="auto"/>
                <w:sz w:val="24"/>
                <w:highlight w:val="none"/>
                <w:lang w:val="en-US"/>
              </w:rPr>
              <w:t>；</w:t>
            </w:r>
          </w:p>
          <w:p w14:paraId="41AE508B">
            <w:pPr>
              <w:keepNext w:val="0"/>
              <w:keepLines w:val="0"/>
              <w:pageBreakBefore w:val="0"/>
              <w:widowControl w:val="0"/>
              <w:kinsoku/>
              <w:wordWrap/>
              <w:overflowPunct/>
              <w:topLinePunct w:val="0"/>
              <w:autoSpaceDE/>
              <w:autoSpaceDN/>
              <w:bidi w:val="0"/>
              <w:adjustRightInd w:val="0"/>
              <w:snapToGrid w:val="0"/>
              <w:spacing w:line="360" w:lineRule="auto"/>
              <w:ind w:firstLine="1262" w:firstLineChars="526"/>
              <w:textAlignment w:val="auto"/>
              <w:outlineLvl w:val="9"/>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rPr>
              <w:t>W</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含水率，%，取</w:t>
            </w:r>
            <w:r>
              <w:rPr>
                <w:rFonts w:hint="eastAsia" w:eastAsia="宋体" w:cs="Times New Roman"/>
                <w:color w:val="auto"/>
                <w:sz w:val="24"/>
                <w:highlight w:val="none"/>
                <w:lang w:val="en-US" w:eastAsia="zh-CN"/>
              </w:rPr>
              <w:t>55</w:t>
            </w:r>
            <w:r>
              <w:rPr>
                <w:rFonts w:hint="default" w:ascii="Times New Roman" w:hAnsi="Times New Roman" w:eastAsia="宋体" w:cs="Times New Roman"/>
                <w:color w:val="auto"/>
                <w:sz w:val="24"/>
                <w:highlight w:val="none"/>
                <w:lang w:val="en-US"/>
              </w:rPr>
              <w:t>%</w:t>
            </w:r>
            <w:r>
              <w:rPr>
                <w:rFonts w:hint="eastAsia" w:eastAsia="宋体" w:cs="Times New Roman"/>
                <w:color w:val="auto"/>
                <w:sz w:val="24"/>
                <w:highlight w:val="none"/>
                <w:lang w:val="en-US" w:eastAsia="zh-CN"/>
              </w:rPr>
              <w:t>（本项目原煤含水率为55%-60%）</w:t>
            </w:r>
          </w:p>
          <w:p w14:paraId="206C74B2">
            <w:pPr>
              <w:keepNext w:val="0"/>
              <w:keepLines w:val="0"/>
              <w:pageBreakBefore w:val="0"/>
              <w:widowControl w:val="0"/>
              <w:kinsoku/>
              <w:wordWrap/>
              <w:overflowPunct/>
              <w:topLinePunct w:val="0"/>
              <w:autoSpaceDE/>
              <w:autoSpaceDN/>
              <w:bidi w:val="0"/>
              <w:adjustRightInd w:val="0"/>
              <w:snapToGrid w:val="0"/>
              <w:spacing w:line="360" w:lineRule="auto"/>
              <w:ind w:firstLine="1262" w:firstLineChars="526"/>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H</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装卸落差高度，</w:t>
            </w:r>
            <w:r>
              <w:rPr>
                <w:rFonts w:hint="default" w:ascii="Times New Roman" w:hAnsi="Times New Roman" w:eastAsia="宋体" w:cs="Times New Roman"/>
                <w:color w:val="auto"/>
                <w:sz w:val="24"/>
                <w:highlight w:val="none"/>
                <w:lang w:val="en-US" w:eastAsia="zh-CN"/>
              </w:rPr>
              <w:t>取</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rPr>
              <w:t>m。</w:t>
            </w:r>
          </w:p>
          <w:p w14:paraId="2E0AE82A">
            <w:pPr>
              <w:adjustRightInd w:val="0"/>
              <w:snapToGrid w:val="0"/>
              <w:spacing w:line="360" w:lineRule="auto"/>
              <w:ind w:firstLine="480" w:firstLineChars="200"/>
              <w:rPr>
                <w:rFonts w:hint="default" w:eastAsia="宋体"/>
                <w:color w:val="auto"/>
                <w:sz w:val="24"/>
                <w:lang w:val="en-US" w:eastAsia="zh-CN"/>
              </w:rPr>
            </w:pPr>
            <w:r>
              <w:rPr>
                <w:rFonts w:hint="default" w:ascii="Times New Roman" w:hAnsi="Times New Roman" w:eastAsia="宋体" w:cs="Times New Roman"/>
                <w:color w:val="auto"/>
                <w:sz w:val="24"/>
                <w:highlight w:val="none"/>
                <w:lang w:val="en-US"/>
              </w:rPr>
              <w:t>根据公式计</w:t>
            </w:r>
            <w:r>
              <w:rPr>
                <w:rFonts w:hint="default" w:ascii="Times New Roman" w:hAnsi="Times New Roman" w:eastAsia="宋体" w:cs="Times New Roman"/>
                <w:color w:val="auto"/>
                <w:sz w:val="24"/>
                <w:szCs w:val="24"/>
                <w:highlight w:val="none"/>
                <w:lang w:val="en-US"/>
              </w:rPr>
              <w:t>算得本项目原煤装卸扬尘量为</w:t>
            </w:r>
            <w:r>
              <w:rPr>
                <w:rFonts w:hint="default" w:ascii="Times New Roman" w:hAnsi="Times New Roman" w:eastAsia="宋体" w:cs="Times New Roman"/>
                <w:color w:val="auto"/>
                <w:sz w:val="24"/>
                <w:szCs w:val="24"/>
                <w:highlight w:val="none"/>
                <w:lang w:val="en-US" w:eastAsia="zh-CN"/>
              </w:rPr>
              <w:t>0.0</w:t>
            </w:r>
            <w:r>
              <w:rPr>
                <w:rFonts w:hint="eastAsia"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t，</w:t>
            </w:r>
            <w:r>
              <w:rPr>
                <w:rFonts w:hint="eastAsia" w:eastAsia="宋体" w:cs="Times New Roman"/>
                <w:color w:val="auto"/>
                <w:sz w:val="24"/>
                <w:szCs w:val="24"/>
                <w:highlight w:val="none"/>
                <w:lang w:val="en-US" w:eastAsia="zh-CN"/>
              </w:rPr>
              <w:t>本项目卸料100万t/a，则卸料扬尘产生量为2</w:t>
            </w:r>
            <w:r>
              <w:rPr>
                <w:rFonts w:hint="eastAsia" w:cs="Times New Roman"/>
                <w:color w:val="auto"/>
                <w:sz w:val="24"/>
                <w:szCs w:val="24"/>
                <w:highlight w:val="none"/>
                <w:lang w:val="en-US" w:eastAsia="zh-CN"/>
              </w:rPr>
              <w:t>9</w:t>
            </w:r>
            <w:r>
              <w:rPr>
                <w:rFonts w:hint="eastAsia"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卸车坑下设置有板喂机向转运胶带输送机供料，</w:t>
            </w:r>
            <w:r>
              <w:rPr>
                <w:rFonts w:hint="eastAsia"/>
                <w:color w:val="auto"/>
                <w:sz w:val="24"/>
                <w:lang w:eastAsia="zh-CN"/>
              </w:rPr>
              <w:t>卸车坑为全封闭式，粉尘经集气罩</w:t>
            </w:r>
            <w:r>
              <w:rPr>
                <w:rFonts w:hint="eastAsia"/>
                <w:color w:val="auto"/>
                <w:sz w:val="24"/>
                <w:lang w:val="en-US" w:eastAsia="zh-CN"/>
              </w:rPr>
              <w:t>+</w:t>
            </w:r>
            <w:r>
              <w:rPr>
                <w:rFonts w:hint="eastAsia"/>
                <w:color w:val="auto"/>
                <w:sz w:val="24"/>
                <w:lang w:eastAsia="zh-CN"/>
              </w:rPr>
              <w:t>风管</w:t>
            </w:r>
            <w:r>
              <w:rPr>
                <w:rFonts w:hint="eastAsia"/>
                <w:color w:val="auto"/>
                <w:sz w:val="24"/>
              </w:rPr>
              <w:t>（</w:t>
            </w:r>
            <w:r>
              <w:rPr>
                <w:rFonts w:hint="eastAsia" w:eastAsia="Times New Roman"/>
                <w:color w:val="auto"/>
                <w:sz w:val="24"/>
                <w:lang w:val="zh-CN"/>
              </w:rPr>
              <w:t>集气效率为</w:t>
            </w:r>
            <w:r>
              <w:rPr>
                <w:rFonts w:hint="eastAsia" w:eastAsia="宋体"/>
                <w:color w:val="auto"/>
                <w:sz w:val="24"/>
                <w:lang w:val="en-US" w:eastAsia="zh-CN"/>
              </w:rPr>
              <w:t>8</w:t>
            </w:r>
            <w:r>
              <w:rPr>
                <w:rFonts w:hint="eastAsia"/>
                <w:color w:val="auto"/>
                <w:sz w:val="24"/>
                <w:lang w:val="en-US" w:eastAsia="zh-CN"/>
              </w:rPr>
              <w:t>5</w:t>
            </w:r>
            <w:r>
              <w:rPr>
                <w:rFonts w:hint="eastAsia"/>
                <w:color w:val="auto"/>
                <w:sz w:val="24"/>
              </w:rPr>
              <w:t>%）</w:t>
            </w:r>
            <w:r>
              <w:rPr>
                <w:rFonts w:hint="eastAsia"/>
                <w:color w:val="auto"/>
                <w:sz w:val="24"/>
                <w:lang w:eastAsia="zh-CN"/>
              </w:rPr>
              <w:t>收集</w:t>
            </w:r>
            <w:r>
              <w:rPr>
                <w:rFonts w:hint="eastAsia"/>
                <w:color w:val="auto"/>
                <w:sz w:val="24"/>
              </w:rPr>
              <w:t>后</w:t>
            </w:r>
            <w:r>
              <w:rPr>
                <w:rFonts w:eastAsia="Times New Roman"/>
                <w:color w:val="auto"/>
                <w:sz w:val="24"/>
                <w:lang w:val="zh-CN"/>
              </w:rPr>
              <w:t>通过</w:t>
            </w:r>
            <w:r>
              <w:rPr>
                <w:rFonts w:hint="eastAsia" w:eastAsia="Times New Roman"/>
                <w:color w:val="auto"/>
                <w:sz w:val="24"/>
                <w:lang w:val="zh-CN"/>
              </w:rPr>
              <w:t>引风机（风机风量</w:t>
            </w:r>
            <w:r>
              <w:rPr>
                <w:rFonts w:hint="eastAsia"/>
                <w:color w:val="auto"/>
                <w:sz w:val="24"/>
                <w:lang w:val="en-US" w:eastAsia="zh-CN"/>
              </w:rPr>
              <w:t>7388</w:t>
            </w:r>
            <w:r>
              <w:rPr>
                <w:rFonts w:hint="eastAsia"/>
                <w:color w:val="auto"/>
                <w:sz w:val="24"/>
              </w:rPr>
              <w:t>m</w:t>
            </w:r>
            <w:r>
              <w:rPr>
                <w:rFonts w:hint="eastAsia"/>
                <w:color w:val="auto"/>
                <w:sz w:val="24"/>
                <w:vertAlign w:val="superscript"/>
              </w:rPr>
              <w:t>3</w:t>
            </w:r>
            <w:r>
              <w:rPr>
                <w:rFonts w:hint="eastAsia"/>
                <w:color w:val="auto"/>
                <w:sz w:val="24"/>
              </w:rPr>
              <w:t>/h</w:t>
            </w:r>
            <w:r>
              <w:rPr>
                <w:rFonts w:hint="eastAsia" w:eastAsia="Times New Roman"/>
                <w:color w:val="auto"/>
                <w:sz w:val="24"/>
                <w:lang w:val="zh-CN"/>
              </w:rPr>
              <w:t>）引至</w:t>
            </w:r>
            <w:r>
              <w:rPr>
                <w:rFonts w:eastAsia="Times New Roman"/>
                <w:color w:val="auto"/>
                <w:sz w:val="24"/>
                <w:lang w:val="zh-CN"/>
              </w:rPr>
              <w:t>处理效率为9</w:t>
            </w:r>
            <w:r>
              <w:rPr>
                <w:rFonts w:hint="eastAsia"/>
                <w:color w:val="auto"/>
                <w:sz w:val="24"/>
                <w:lang w:val="en-US" w:eastAsia="zh-CN"/>
              </w:rPr>
              <w:t>9.6</w:t>
            </w:r>
            <w:r>
              <w:rPr>
                <w:rFonts w:eastAsia="Times New Roman"/>
                <w:color w:val="auto"/>
                <w:sz w:val="24"/>
                <w:lang w:val="zh-CN"/>
              </w:rPr>
              <w:t>%的</w:t>
            </w:r>
            <w:r>
              <w:rPr>
                <w:rFonts w:hint="eastAsia" w:eastAsia="Times New Roman"/>
                <w:color w:val="auto"/>
                <w:sz w:val="24"/>
                <w:lang w:val="zh-CN"/>
              </w:rPr>
              <w:t>袋式</w:t>
            </w:r>
            <w:r>
              <w:rPr>
                <w:rFonts w:eastAsia="Times New Roman"/>
                <w:color w:val="auto"/>
                <w:sz w:val="24"/>
                <w:lang w:val="zh-CN"/>
              </w:rPr>
              <w:t>除尘器处理</w:t>
            </w:r>
            <w:r>
              <w:rPr>
                <w:rFonts w:hint="eastAsia" w:eastAsia="Times New Roman"/>
                <w:color w:val="auto"/>
                <w:sz w:val="24"/>
                <w:lang w:val="zh-CN"/>
              </w:rPr>
              <w:t>达标</w:t>
            </w:r>
            <w:r>
              <w:rPr>
                <w:rFonts w:eastAsia="Times New Roman"/>
                <w:color w:val="auto"/>
                <w:sz w:val="24"/>
                <w:lang w:val="zh-CN"/>
              </w:rPr>
              <w:t>后，由一根</w:t>
            </w:r>
            <w:r>
              <w:rPr>
                <w:rFonts w:hint="eastAsia" w:eastAsia="Times New Roman"/>
                <w:color w:val="auto"/>
                <w:sz w:val="24"/>
                <w:lang w:val="zh-CN"/>
              </w:rPr>
              <w:t>内径为</w:t>
            </w:r>
            <w:r>
              <w:rPr>
                <w:rFonts w:hint="eastAsia" w:eastAsia="宋体"/>
                <w:color w:val="auto"/>
                <w:sz w:val="24"/>
                <w:lang w:val="en-US" w:eastAsia="zh-CN"/>
              </w:rPr>
              <w:t>0.45m，15.5</w:t>
            </w:r>
            <w:r>
              <w:rPr>
                <w:rFonts w:eastAsia="Times New Roman"/>
                <w:color w:val="auto"/>
                <w:sz w:val="24"/>
                <w:lang w:val="zh-CN"/>
              </w:rPr>
              <w:t>m高的排气筒</w:t>
            </w:r>
            <w:r>
              <w:rPr>
                <w:rFonts w:hint="eastAsia" w:eastAsia="Times New Roman"/>
                <w:color w:val="auto"/>
                <w:sz w:val="24"/>
                <w:lang w:val="zh-CN"/>
              </w:rPr>
              <w:t>（</w:t>
            </w:r>
            <w:r>
              <w:rPr>
                <w:rFonts w:hint="eastAsia"/>
                <w:color w:val="auto"/>
                <w:sz w:val="24"/>
              </w:rPr>
              <w:t>DA001</w:t>
            </w:r>
            <w:r>
              <w:rPr>
                <w:rFonts w:hint="eastAsia" w:eastAsia="Times New Roman"/>
                <w:color w:val="auto"/>
                <w:sz w:val="24"/>
                <w:lang w:val="zh-CN"/>
              </w:rPr>
              <w:t>）</w:t>
            </w:r>
            <w:r>
              <w:rPr>
                <w:rFonts w:eastAsia="Times New Roman"/>
                <w:color w:val="auto"/>
                <w:sz w:val="24"/>
                <w:lang w:val="zh-CN"/>
              </w:rPr>
              <w:t>排放。</w:t>
            </w:r>
          </w:p>
          <w:p w14:paraId="33A8DC9F">
            <w:pPr>
              <w:adjustRightInd w:val="0"/>
              <w:snapToGrid w:val="0"/>
              <w:spacing w:line="360" w:lineRule="auto"/>
              <w:ind w:firstLine="480" w:firstLineChars="200"/>
              <w:rPr>
                <w:rFonts w:hint="eastAsia"/>
                <w:color w:val="auto"/>
                <w:sz w:val="24"/>
              </w:rPr>
            </w:pPr>
            <w:r>
              <w:rPr>
                <w:rFonts w:hint="eastAsia"/>
                <w:color w:val="auto"/>
                <w:sz w:val="24"/>
                <w:lang w:val="en-US" w:eastAsia="zh-CN"/>
              </w:rPr>
              <w:t>项目建设完成后DA001排气筒有组织粉尘</w:t>
            </w:r>
            <w:r>
              <w:rPr>
                <w:rFonts w:hint="eastAsia" w:ascii="Times New Roman" w:hAnsi="Times New Roman" w:eastAsia="宋体" w:cs="Times New Roman"/>
                <w:color w:val="auto"/>
                <w:sz w:val="24"/>
                <w:highlight w:val="none"/>
                <w:lang w:eastAsia="zh-CN"/>
              </w:rPr>
              <w:t>产生量为</w:t>
            </w:r>
            <w:r>
              <w:rPr>
                <w:rFonts w:hint="eastAsia" w:eastAsia="宋体" w:cs="Times New Roman"/>
                <w:color w:val="auto"/>
                <w:sz w:val="24"/>
                <w:highlight w:val="none"/>
                <w:lang w:val="en-US" w:eastAsia="zh-CN"/>
              </w:rPr>
              <w:t>24.65</w:t>
            </w:r>
            <w:r>
              <w:rPr>
                <w:rFonts w:hint="eastAsia" w:ascii="Times New Roman" w:hAnsi="Times New Roman" w:eastAsia="宋体" w:cs="Times New Roman"/>
                <w:color w:val="auto"/>
                <w:sz w:val="24"/>
                <w:highlight w:val="none"/>
                <w:lang w:val="en-US" w:eastAsia="zh-CN"/>
              </w:rPr>
              <w:t>t/a，产生速率为</w:t>
            </w:r>
            <w:r>
              <w:rPr>
                <w:rFonts w:hint="eastAsia" w:eastAsia="宋体" w:cs="Times New Roman"/>
                <w:color w:val="auto"/>
                <w:sz w:val="24"/>
                <w:highlight w:val="none"/>
                <w:lang w:val="en-US" w:eastAsia="zh-CN"/>
              </w:rPr>
              <w:t>3.</w:t>
            </w:r>
            <w:r>
              <w:rPr>
                <w:rFonts w:hint="eastAsia" w:cs="Times New Roman"/>
                <w:color w:val="auto"/>
                <w:sz w:val="24"/>
                <w:highlight w:val="none"/>
                <w:lang w:val="en-US" w:eastAsia="zh-CN"/>
              </w:rPr>
              <w:t>6682</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496.51</w:t>
            </w:r>
            <w:r>
              <w:rPr>
                <w:bCs/>
                <w:color w:val="auto"/>
                <w:spacing w:val="-10"/>
                <w:szCs w:val="21"/>
              </w:rPr>
              <w:t>mg/m</w:t>
            </w:r>
            <w:r>
              <w:rPr>
                <w:bCs/>
                <w:color w:val="auto"/>
                <w:spacing w:val="-10"/>
                <w:szCs w:val="21"/>
                <w:vertAlign w:val="superscript"/>
              </w:rPr>
              <w:t>3</w:t>
            </w:r>
            <w:r>
              <w:rPr>
                <w:rFonts w:hint="eastAsia"/>
                <w:bCs/>
                <w:color w:val="auto"/>
                <w:spacing w:val="-10"/>
                <w:szCs w:val="21"/>
                <w:vertAlign w:val="baseline"/>
                <w:lang w:eastAsia="zh-CN"/>
              </w:rPr>
              <w:t>；</w:t>
            </w:r>
            <w:r>
              <w:rPr>
                <w:rFonts w:hint="eastAsia" w:eastAsia="Times New Roman"/>
                <w:color w:val="auto"/>
                <w:sz w:val="24"/>
                <w:lang w:val="zh-CN"/>
              </w:rPr>
              <w:t>有组织</w:t>
            </w:r>
            <w:r>
              <w:rPr>
                <w:rFonts w:hint="eastAsia" w:ascii="Times New Roman" w:hAnsi="Times New Roman" w:eastAsia="宋体" w:cs="Times New Roman"/>
                <w:color w:val="auto"/>
                <w:sz w:val="24"/>
                <w:highlight w:val="none"/>
                <w:lang w:eastAsia="zh-CN"/>
              </w:rPr>
              <w:t>粉尘排放量为</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0986</w:t>
            </w:r>
            <w:r>
              <w:rPr>
                <w:rFonts w:hint="eastAsia" w:ascii="Times New Roman" w:hAnsi="Times New Roman" w:eastAsia="宋体" w:cs="Times New Roman"/>
                <w:color w:val="auto"/>
                <w:sz w:val="24"/>
                <w:highlight w:val="none"/>
                <w:lang w:val="en-US" w:eastAsia="zh-CN"/>
              </w:rPr>
              <w:t>t/a，排放速率为0.</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147</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1.99</w:t>
            </w:r>
            <w:r>
              <w:rPr>
                <w:bCs/>
                <w:color w:val="auto"/>
                <w:spacing w:val="-10"/>
                <w:szCs w:val="21"/>
              </w:rPr>
              <w:t>mg/m</w:t>
            </w:r>
            <w:r>
              <w:rPr>
                <w:bCs/>
                <w:color w:val="auto"/>
                <w:spacing w:val="-10"/>
                <w:szCs w:val="21"/>
                <w:vertAlign w:val="superscript"/>
              </w:rPr>
              <w:t>3</w:t>
            </w:r>
            <w:r>
              <w:rPr>
                <w:rFonts w:hint="eastAsia"/>
                <w:bCs/>
                <w:color w:val="auto"/>
                <w:spacing w:val="-10"/>
                <w:szCs w:val="21"/>
                <w:vertAlign w:val="baseline"/>
                <w:lang w:eastAsia="zh-CN"/>
              </w:rPr>
              <w:t>；</w:t>
            </w:r>
            <w:r>
              <w:rPr>
                <w:rFonts w:hint="eastAsia"/>
                <w:color w:val="auto"/>
                <w:sz w:val="24"/>
              </w:rPr>
              <w:t>无组织</w:t>
            </w:r>
            <w:r>
              <w:rPr>
                <w:rFonts w:hint="eastAsia"/>
                <w:color w:val="auto"/>
                <w:sz w:val="24"/>
                <w:lang w:eastAsia="zh-CN"/>
              </w:rPr>
              <w:t>产生</w:t>
            </w:r>
            <w:r>
              <w:rPr>
                <w:rFonts w:hint="eastAsia"/>
                <w:color w:val="auto"/>
                <w:sz w:val="24"/>
              </w:rPr>
              <w:t>量</w:t>
            </w:r>
            <w:r>
              <w:rPr>
                <w:rFonts w:hint="eastAsia"/>
                <w:color w:val="auto"/>
                <w:sz w:val="24"/>
                <w:lang w:val="en-US" w:eastAsia="zh-CN"/>
              </w:rPr>
              <w:t>4.35</w:t>
            </w:r>
            <w:r>
              <w:rPr>
                <w:rFonts w:hint="eastAsia"/>
                <w:color w:val="auto"/>
                <w:sz w:val="24"/>
              </w:rPr>
              <w:t>t/a，</w:t>
            </w:r>
            <w:r>
              <w:rPr>
                <w:rFonts w:hint="eastAsia"/>
                <w:color w:val="auto"/>
                <w:sz w:val="24"/>
                <w:lang w:eastAsia="zh-CN"/>
              </w:rPr>
              <w:t>产生</w:t>
            </w:r>
            <w:r>
              <w:rPr>
                <w:rFonts w:hint="eastAsia"/>
                <w:color w:val="auto"/>
                <w:sz w:val="24"/>
              </w:rPr>
              <w:t>速率为</w:t>
            </w:r>
            <w:r>
              <w:rPr>
                <w:rFonts w:hint="eastAsia"/>
                <w:color w:val="auto"/>
                <w:sz w:val="24"/>
                <w:lang w:val="en-US" w:eastAsia="zh-CN"/>
              </w:rPr>
              <w:t>0.6473</w:t>
            </w:r>
            <w:r>
              <w:rPr>
                <w:rFonts w:hint="eastAsia"/>
                <w:color w:val="auto"/>
                <w:sz w:val="24"/>
              </w:rPr>
              <w:t>kg/h。</w:t>
            </w:r>
          </w:p>
          <w:p w14:paraId="74E245CA">
            <w:pPr>
              <w:adjustRightInd w:val="0"/>
              <w:snapToGrid w:val="0"/>
              <w:spacing w:line="360" w:lineRule="auto"/>
              <w:ind w:firstLine="480" w:firstLineChars="200"/>
              <w:rPr>
                <w:rFonts w:hint="eastAsia"/>
                <w:b/>
                <w:bCs/>
                <w:color w:val="auto"/>
                <w:sz w:val="24"/>
                <w:szCs w:val="24"/>
              </w:rPr>
            </w:pPr>
            <w:r>
              <w:rPr>
                <w:rFonts w:hint="eastAsia"/>
                <w:color w:val="auto"/>
                <w:sz w:val="24"/>
              </w:rPr>
              <w:t>项目</w:t>
            </w:r>
            <w:r>
              <w:rPr>
                <w:rFonts w:hint="eastAsia"/>
                <w:color w:val="auto"/>
                <w:sz w:val="24"/>
                <w:lang w:eastAsia="zh-CN"/>
              </w:rPr>
              <w:t>卸车坑为全封闭式</w:t>
            </w:r>
            <w:r>
              <w:rPr>
                <w:rFonts w:hint="eastAsia"/>
                <w:color w:val="auto"/>
                <w:sz w:val="24"/>
              </w:rPr>
              <w:t>，粉尘经阻隔后，大部分在</w:t>
            </w:r>
            <w:r>
              <w:rPr>
                <w:rFonts w:hint="eastAsia"/>
                <w:color w:val="auto"/>
                <w:sz w:val="24"/>
                <w:lang w:eastAsia="zh-CN"/>
              </w:rPr>
              <w:t>卸车坑</w:t>
            </w:r>
            <w:r>
              <w:rPr>
                <w:rFonts w:hint="eastAsia"/>
                <w:color w:val="auto"/>
                <w:sz w:val="24"/>
              </w:rPr>
              <w:t>内沉降，少部分</w:t>
            </w:r>
            <w:r>
              <w:rPr>
                <w:rFonts w:hint="eastAsia"/>
                <w:color w:val="auto"/>
                <w:sz w:val="24"/>
                <w:lang w:eastAsia="zh-CN"/>
              </w:rPr>
              <w:t>溢出，</w:t>
            </w:r>
            <w:r>
              <w:rPr>
                <w:rFonts w:hint="eastAsia"/>
                <w:color w:val="auto"/>
                <w:sz w:val="24"/>
              </w:rPr>
              <w:t>阻隔降尘效率约</w:t>
            </w:r>
            <w:r>
              <w:rPr>
                <w:rFonts w:hint="eastAsia"/>
                <w:color w:val="auto"/>
                <w:sz w:val="24"/>
                <w:lang w:val="en-US" w:eastAsia="zh-CN"/>
              </w:rPr>
              <w:t>8</w:t>
            </w:r>
            <w:r>
              <w:rPr>
                <w:rFonts w:hint="eastAsia"/>
                <w:color w:val="auto"/>
                <w:sz w:val="24"/>
              </w:rPr>
              <w:t>0%，则无组织粉尘排放量为</w:t>
            </w:r>
            <w:r>
              <w:rPr>
                <w:rFonts w:hint="eastAsia"/>
                <w:color w:val="auto"/>
                <w:sz w:val="24"/>
                <w:lang w:val="en-US" w:eastAsia="zh-CN"/>
              </w:rPr>
              <w:t>0.87</w:t>
            </w:r>
            <w:r>
              <w:rPr>
                <w:rFonts w:hint="eastAsia"/>
                <w:color w:val="auto"/>
                <w:sz w:val="24"/>
              </w:rPr>
              <w:t>t/a，排放速率为</w:t>
            </w:r>
            <w:r>
              <w:rPr>
                <w:rFonts w:hint="eastAsia"/>
                <w:color w:val="auto"/>
                <w:sz w:val="24"/>
                <w:lang w:val="en-US" w:eastAsia="zh-CN"/>
              </w:rPr>
              <w:t>0.1295</w:t>
            </w:r>
            <w:r>
              <w:rPr>
                <w:rFonts w:hint="eastAsia"/>
                <w:color w:val="auto"/>
                <w:sz w:val="24"/>
              </w:rPr>
              <w:t>kg/h。</w:t>
            </w:r>
          </w:p>
          <w:p w14:paraId="269AE702">
            <w:pPr>
              <w:adjustRightInd w:val="0"/>
              <w:snapToGrid w:val="0"/>
              <w:spacing w:line="360" w:lineRule="auto"/>
              <w:ind w:firstLine="480" w:firstLineChars="200"/>
              <w:rPr>
                <w:color w:val="auto"/>
              </w:rPr>
            </w:pPr>
            <w:r>
              <w:rPr>
                <w:rFonts w:hint="eastAsia"/>
                <w:color w:val="auto"/>
                <w:sz w:val="24"/>
                <w:lang w:val="en-US" w:eastAsia="zh-CN"/>
              </w:rPr>
              <w:t>DA001排气筒颗粒物排放浓度</w:t>
            </w:r>
            <w:r>
              <w:rPr>
                <w:color w:val="auto"/>
                <w:sz w:val="24"/>
              </w:rPr>
              <w:t>满足</w:t>
            </w:r>
            <w:r>
              <w:rPr>
                <w:rFonts w:hint="default" w:ascii="Times New Roman" w:hAnsi="Times New Roman" w:cs="Times New Roman"/>
                <w:color w:val="auto"/>
                <w:sz w:val="24"/>
                <w:szCs w:val="24"/>
                <w:shd w:val="clear" w:color="auto" w:fill="auto"/>
                <w:lang w:val="zh-CN" w:eastAsia="zh-CN"/>
              </w:rPr>
              <w:t>《大气污染物综合排放标准》（GB16297-1996）表2中二级标准</w:t>
            </w:r>
            <w:r>
              <w:rPr>
                <w:color w:val="auto"/>
                <w:sz w:val="24"/>
              </w:rPr>
              <w:t>要求（</w:t>
            </w:r>
            <w:r>
              <w:rPr>
                <w:rFonts w:hint="eastAsia"/>
                <w:color w:val="auto"/>
                <w:sz w:val="24"/>
              </w:rPr>
              <w:t>颗粒物</w:t>
            </w:r>
            <w:r>
              <w:rPr>
                <w:color w:val="auto"/>
                <w:sz w:val="24"/>
              </w:rPr>
              <w:t>≤</w:t>
            </w:r>
            <w:r>
              <w:rPr>
                <w:rFonts w:hint="eastAsia"/>
                <w:color w:val="auto"/>
                <w:sz w:val="24"/>
                <w:lang w:val="en-US" w:eastAsia="zh-CN"/>
              </w:rPr>
              <w:t>120</w:t>
            </w:r>
            <w:r>
              <w:rPr>
                <w:color w:val="auto"/>
                <w:sz w:val="24"/>
              </w:rPr>
              <w:t>mg/m</w:t>
            </w:r>
            <w:r>
              <w:rPr>
                <w:color w:val="auto"/>
                <w:sz w:val="24"/>
                <w:vertAlign w:val="superscript"/>
              </w:rPr>
              <w:t>3</w:t>
            </w:r>
            <w:r>
              <w:rPr>
                <w:color w:val="auto"/>
                <w:sz w:val="24"/>
              </w:rPr>
              <w:t>）。</w:t>
            </w:r>
          </w:p>
          <w:p w14:paraId="10ABAA13">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②</w:t>
            </w:r>
            <w:r>
              <w:rPr>
                <w:rFonts w:hint="eastAsia" w:ascii="Times New Roman" w:hAnsi="Times New Roman" w:eastAsia="宋体" w:cs="Times New Roman"/>
                <w:b/>
                <w:bCs/>
                <w:color w:val="auto"/>
                <w:kern w:val="2"/>
                <w:sz w:val="24"/>
                <w:szCs w:val="24"/>
                <w:highlight w:val="none"/>
                <w:lang w:val="en-US" w:eastAsia="zh-CN" w:bidi="ar-SA"/>
              </w:rPr>
              <w:t>原料堆场</w:t>
            </w:r>
            <w:r>
              <w:rPr>
                <w:rFonts w:hint="eastAsia" w:cs="Times New Roman"/>
                <w:b/>
                <w:bCs/>
                <w:color w:val="auto"/>
                <w:kern w:val="2"/>
                <w:sz w:val="24"/>
                <w:szCs w:val="24"/>
                <w:highlight w:val="none"/>
                <w:lang w:val="en-US" w:eastAsia="zh-CN" w:bidi="ar-SA"/>
              </w:rPr>
              <w:t>扬尘</w:t>
            </w:r>
          </w:p>
          <w:p w14:paraId="4497C343">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rPr>
              <w:t>本</w:t>
            </w:r>
            <w:r>
              <w:rPr>
                <w:rFonts w:hint="default" w:ascii="Times New Roman" w:hAnsi="Times New Roman" w:eastAsia="宋体" w:cs="Times New Roman"/>
                <w:b w:val="0"/>
                <w:bCs w:val="0"/>
                <w:color w:val="auto"/>
                <w:sz w:val="24"/>
                <w:szCs w:val="24"/>
                <w:highlight w:val="none"/>
                <w:lang w:eastAsia="zh-CN"/>
              </w:rPr>
              <w:t>项目</w:t>
            </w:r>
            <w:r>
              <w:rPr>
                <w:rFonts w:hint="eastAsia" w:eastAsia="宋体" w:cs="Times New Roman"/>
                <w:b w:val="0"/>
                <w:bCs w:val="0"/>
                <w:color w:val="auto"/>
                <w:sz w:val="24"/>
                <w:szCs w:val="24"/>
                <w:highlight w:val="none"/>
                <w:lang w:eastAsia="zh-CN"/>
              </w:rPr>
              <w:t>原料储存区（</w:t>
            </w:r>
            <w:r>
              <w:rPr>
                <w:rFonts w:hint="default" w:ascii="Times New Roman" w:hAnsi="Times New Roman" w:eastAsia="宋体" w:cs="Times New Roman"/>
                <w:b w:val="0"/>
                <w:bCs w:val="0"/>
                <w:color w:val="auto"/>
                <w:sz w:val="24"/>
                <w:szCs w:val="24"/>
                <w:highlight w:val="none"/>
                <w:lang w:eastAsia="zh-CN"/>
              </w:rPr>
              <w:t>原料</w:t>
            </w:r>
            <w:r>
              <w:rPr>
                <w:rFonts w:hint="eastAsia" w:eastAsia="宋体" w:cs="Times New Roman"/>
                <w:b w:val="0"/>
                <w:bCs w:val="0"/>
                <w:color w:val="auto"/>
                <w:sz w:val="24"/>
                <w:szCs w:val="24"/>
                <w:highlight w:val="none"/>
                <w:lang w:eastAsia="zh-CN"/>
              </w:rPr>
              <w:t>堆场及预均化堆场</w:t>
            </w:r>
            <w:r>
              <w:rPr>
                <w:rFonts w:hint="eastAsia" w:cs="Times New Roman"/>
                <w:b w:val="0"/>
                <w:bCs w:val="0"/>
                <w:color w:val="auto"/>
                <w:sz w:val="24"/>
                <w:szCs w:val="24"/>
                <w:highlight w:val="none"/>
                <w:lang w:eastAsia="zh-CN"/>
              </w:rPr>
              <w:t>、卸车坑</w:t>
            </w:r>
            <w:r>
              <w:rPr>
                <w:rFonts w:hint="eastAsia" w:eastAsia="宋体" w:cs="Times New Roman"/>
                <w:b w:val="0"/>
                <w:bCs w:val="0"/>
                <w:color w:val="auto"/>
                <w:sz w:val="24"/>
                <w:szCs w:val="24"/>
                <w:highlight w:val="none"/>
                <w:lang w:eastAsia="zh-CN"/>
              </w:rPr>
              <w:t>）均为全封闭堆场</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占</w:t>
            </w:r>
            <w:r>
              <w:rPr>
                <w:rFonts w:hint="default" w:ascii="Times New Roman" w:hAnsi="Times New Roman" w:eastAsia="宋体" w:cs="Times New Roman"/>
                <w:b w:val="0"/>
                <w:bCs w:val="0"/>
                <w:color w:val="auto"/>
                <w:sz w:val="24"/>
                <w:szCs w:val="24"/>
                <w:highlight w:val="none"/>
              </w:rPr>
              <w:t>地</w:t>
            </w:r>
            <w:r>
              <w:rPr>
                <w:rFonts w:hint="default" w:ascii="Times New Roman" w:hAnsi="Times New Roman" w:eastAsia="宋体" w:cs="Times New Roman"/>
                <w:b w:val="0"/>
                <w:bCs w:val="0"/>
                <w:color w:val="auto"/>
                <w:sz w:val="24"/>
                <w:szCs w:val="24"/>
                <w:highlight w:val="none"/>
                <w:lang w:val="en-US" w:eastAsia="zh-CN"/>
              </w:rPr>
              <w:t>15</w:t>
            </w:r>
            <w:r>
              <w:rPr>
                <w:rFonts w:hint="eastAsia" w:eastAsia="宋体" w:cs="Times New Roman"/>
                <w:b w:val="0"/>
                <w:bCs w:val="0"/>
                <w:color w:val="auto"/>
                <w:sz w:val="24"/>
                <w:szCs w:val="24"/>
                <w:highlight w:val="none"/>
                <w:lang w:val="en-US" w:eastAsia="zh-CN"/>
              </w:rPr>
              <w:t>435</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2</w:t>
            </w:r>
            <w:r>
              <w:rPr>
                <w:rFonts w:hint="default" w:ascii="Times New Roman" w:hAnsi="Times New Roman" w:eastAsia="宋体" w:cs="Times New Roman"/>
                <w:b w:val="0"/>
                <w:bCs w:val="0"/>
                <w:color w:val="auto"/>
                <w:sz w:val="24"/>
                <w:szCs w:val="24"/>
                <w:highlight w:val="none"/>
              </w:rPr>
              <w:t>，</w:t>
            </w:r>
            <w:r>
              <w:rPr>
                <w:rFonts w:hint="eastAsia" w:eastAsia="宋体" w:cs="Times New Roman"/>
                <w:b w:val="0"/>
                <w:bCs w:val="0"/>
                <w:color w:val="auto"/>
                <w:sz w:val="24"/>
                <w:szCs w:val="24"/>
                <w:highlight w:val="none"/>
                <w:lang w:eastAsia="zh-CN"/>
              </w:rPr>
              <w:t>其中</w:t>
            </w:r>
            <w:r>
              <w:rPr>
                <w:rFonts w:hint="eastAsia" w:cs="Times New Roman"/>
                <w:color w:val="auto"/>
                <w:sz w:val="24"/>
                <w:szCs w:val="24"/>
                <w:highlight w:val="none"/>
                <w:lang w:val="en-US" w:eastAsia="zh-CN"/>
              </w:rPr>
              <w:t>原料堆棚占地面积为</w:t>
            </w:r>
            <w:r>
              <w:rPr>
                <w:rFonts w:hint="eastAsia"/>
                <w:color w:val="auto"/>
                <w:sz w:val="24"/>
                <w:szCs w:val="24"/>
                <w:lang w:val="en-US" w:eastAsia="zh-CN"/>
              </w:rPr>
              <w:t>2255.21</w:t>
            </w:r>
            <w:r>
              <w:rPr>
                <w:rFonts w:hint="default" w:ascii="Times New Roman" w:hAnsi="Times New Roman" w:eastAsia="宋体" w:cs="Times New Roman"/>
                <w:color w:val="auto"/>
                <w:sz w:val="24"/>
                <w:szCs w:val="24"/>
                <w:highlight w:val="none"/>
                <w:vertAlign w:val="baseli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，均化堆场占地面积为</w:t>
            </w:r>
            <w:r>
              <w:rPr>
                <w:rFonts w:hint="eastAsia"/>
                <w:color w:val="auto"/>
                <w:sz w:val="24"/>
                <w:szCs w:val="24"/>
                <w:lang w:val="en-US" w:eastAsia="zh-CN"/>
              </w:rPr>
              <w:t>7688.66</w:t>
            </w:r>
            <w:r>
              <w:rPr>
                <w:rFonts w:hint="default" w:ascii="Times New Roman" w:hAnsi="Times New Roman" w:eastAsia="宋体" w:cs="Times New Roman"/>
                <w:color w:val="auto"/>
                <w:sz w:val="24"/>
                <w:szCs w:val="24"/>
                <w:highlight w:val="none"/>
                <w:vertAlign w:val="baseli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cs="Times New Roman"/>
                <w:color w:val="auto"/>
                <w:sz w:val="24"/>
                <w:szCs w:val="24"/>
                <w:highlight w:val="none"/>
                <w:vertAlign w:val="baseline"/>
                <w:lang w:val="en-US" w:eastAsia="zh-CN"/>
              </w:rPr>
              <w:t>，</w:t>
            </w:r>
            <w:r>
              <w:rPr>
                <w:rFonts w:hint="eastAsia" w:ascii="Times New Roman" w:hAnsi="Times New Roman" w:eastAsia="宋体" w:cs="Times New Roman"/>
                <w:color w:val="auto"/>
                <w:spacing w:val="-3"/>
                <w:sz w:val="24"/>
                <w:szCs w:val="24"/>
                <w:highlight w:val="none"/>
                <w:lang w:eastAsia="zh-CN"/>
              </w:rPr>
              <w:t>项目原煤</w:t>
            </w:r>
            <w:r>
              <w:rPr>
                <w:rFonts w:hint="default" w:ascii="Times New Roman" w:hAnsi="Times New Roman" w:eastAsia="宋体" w:cs="Times New Roman"/>
                <w:color w:val="auto"/>
                <w:spacing w:val="-7"/>
                <w:sz w:val="24"/>
                <w:szCs w:val="24"/>
                <w:highlight w:val="none"/>
              </w:rPr>
              <w:t>含水率为</w:t>
            </w:r>
            <w:r>
              <w:rPr>
                <w:rFonts w:hint="eastAsia" w:ascii="Times New Roman" w:hAnsi="Times New Roman" w:eastAsia="宋体" w:cs="Times New Roman"/>
                <w:color w:val="auto"/>
                <w:sz w:val="24"/>
                <w:szCs w:val="24"/>
                <w:highlight w:val="none"/>
                <w:lang w:val="en-US" w:eastAsia="zh-CN"/>
              </w:rPr>
              <w:t>55%-60</w:t>
            </w:r>
            <w:r>
              <w:rPr>
                <w:rFonts w:hint="default" w:ascii="Times New Roman" w:hAnsi="Times New Roman" w:eastAsia="宋体" w:cs="Times New Roman"/>
                <w:color w:val="auto"/>
                <w:sz w:val="24"/>
                <w:szCs w:val="24"/>
                <w:highlight w:val="none"/>
              </w:rPr>
              <w:t>%。项目原料</w:t>
            </w:r>
            <w:r>
              <w:rPr>
                <w:rFonts w:hint="default" w:ascii="Times New Roman" w:hAnsi="Times New Roman" w:eastAsia="宋体" w:cs="Times New Roman"/>
                <w:color w:val="auto"/>
                <w:sz w:val="24"/>
                <w:szCs w:val="24"/>
                <w:highlight w:val="none"/>
                <w:lang w:val="en-US" w:eastAsia="zh-CN"/>
              </w:rPr>
              <w:t>堆存</w:t>
            </w:r>
            <w:r>
              <w:rPr>
                <w:rFonts w:hint="default" w:ascii="Times New Roman" w:hAnsi="Times New Roman" w:eastAsia="宋体" w:cs="Times New Roman"/>
                <w:color w:val="auto"/>
                <w:sz w:val="24"/>
                <w:szCs w:val="24"/>
                <w:highlight w:val="none"/>
              </w:rPr>
              <w:t>的</w:t>
            </w:r>
            <w:r>
              <w:rPr>
                <w:rFonts w:hint="eastAsia" w:ascii="Times New Roman" w:hAnsi="Times New Roman" w:eastAsia="宋体" w:cs="Times New Roman"/>
                <w:color w:val="auto"/>
                <w:sz w:val="24"/>
                <w:szCs w:val="24"/>
                <w:highlight w:val="none"/>
                <w:lang w:eastAsia="zh-CN"/>
              </w:rPr>
              <w:t>扬尘</w:t>
            </w:r>
            <w:r>
              <w:rPr>
                <w:rFonts w:hint="default" w:ascii="Times New Roman" w:hAnsi="Times New Roman" w:eastAsia="宋体" w:cs="Times New Roman"/>
                <w:color w:val="auto"/>
                <w:sz w:val="24"/>
                <w:szCs w:val="24"/>
                <w:highlight w:val="none"/>
              </w:rPr>
              <w:t>采用下列经验公式计算：</w:t>
            </w:r>
          </w:p>
          <w:p w14:paraId="7868D028">
            <w:pPr>
              <w:keepNext w:val="0"/>
              <w:keepLines w:val="0"/>
              <w:pageBreakBefore w:val="0"/>
              <w:kinsoku/>
              <w:wordWrap/>
              <w:overflowPunct/>
              <w:topLinePunct w:val="0"/>
              <w:autoSpaceDE/>
              <w:autoSpaceDN/>
              <w:bidi w:val="0"/>
              <w:spacing w:line="360" w:lineRule="auto"/>
              <w:ind w:left="0" w:right="0"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Q=0.009U</w:t>
            </w:r>
            <w:r>
              <w:rPr>
                <w:rFonts w:hint="default" w:ascii="Times New Roman" w:hAnsi="Times New Roman" w:eastAsia="宋体" w:cs="Times New Roman"/>
                <w:color w:val="auto"/>
                <w:sz w:val="24"/>
                <w:szCs w:val="24"/>
                <w:highlight w:val="none"/>
                <w:vertAlign w:val="superscript"/>
                <w:lang w:val="en-US" w:eastAsia="zh-CN"/>
              </w:rPr>
              <w:t>4.1</w:t>
            </w:r>
            <w:r>
              <w:rPr>
                <w:rFonts w:hint="default" w:ascii="Times New Roman" w:hAnsi="Times New Roman" w:eastAsia="宋体" w:cs="Times New Roman"/>
                <w:color w:val="auto"/>
                <w:sz w:val="24"/>
                <w:szCs w:val="24"/>
                <w:highlight w:val="none"/>
              </w:rPr>
              <w:t>×e</w:t>
            </w:r>
            <w:r>
              <w:rPr>
                <w:rFonts w:hint="default" w:ascii="Times New Roman" w:hAnsi="Times New Roman" w:eastAsia="宋体" w:cs="Times New Roman"/>
                <w:color w:val="auto"/>
                <w:sz w:val="24"/>
                <w:szCs w:val="24"/>
                <w:highlight w:val="none"/>
                <w:vertAlign w:val="superscript"/>
                <w:lang w:val="en-US" w:eastAsia="zh-CN"/>
              </w:rPr>
              <w:t>-0.55W</w:t>
            </w:r>
            <w:r>
              <w:rPr>
                <w:rFonts w:hint="default" w:ascii="Times New Roman" w:hAnsi="Times New Roman" w:eastAsia="宋体" w:cs="Times New Roman"/>
                <w:color w:val="auto"/>
                <w:sz w:val="24"/>
                <w:szCs w:val="24"/>
                <w:highlight w:val="none"/>
              </w:rPr>
              <w:t>A</w:t>
            </w:r>
          </w:p>
          <w:p w14:paraId="439879E1">
            <w:pPr>
              <w:pStyle w:val="11"/>
              <w:keepNext w:val="0"/>
              <w:keepLines w:val="0"/>
              <w:pageBreakBefore w:val="0"/>
              <w:kinsoku/>
              <w:wordWrap/>
              <w:overflowPunct/>
              <w:topLinePunct w:val="0"/>
              <w:autoSpaceDE/>
              <w:autoSpaceDN/>
              <w:bidi w:val="0"/>
              <w:spacing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式中：Q—起尘量，kg/a；</w:t>
            </w:r>
          </w:p>
          <w:p w14:paraId="123ED60E">
            <w:pPr>
              <w:keepNext w:val="0"/>
              <w:keepLines w:val="0"/>
              <w:pageBreakBefore w:val="0"/>
              <w:widowControl w:val="0"/>
              <w:kinsoku/>
              <w:wordWrap/>
              <w:overflowPunct/>
              <w:topLinePunct w:val="0"/>
              <w:autoSpaceDE/>
              <w:autoSpaceDN/>
              <w:bidi w:val="0"/>
              <w:adjustRightInd w:val="0"/>
              <w:snapToGrid w:val="0"/>
              <w:spacing w:line="360" w:lineRule="auto"/>
              <w:ind w:firstLine="1262" w:firstLineChars="526"/>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U—地面平均风速，m/s，</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m/s；</w:t>
            </w:r>
            <w:r>
              <w:rPr>
                <w:rFonts w:hint="eastAsia"/>
                <w:color w:val="auto"/>
                <w:sz w:val="24"/>
              </w:rPr>
              <w:t>（原煤堆场</w:t>
            </w:r>
            <w:r>
              <w:rPr>
                <w:rFonts w:hint="eastAsia"/>
                <w:color w:val="auto"/>
                <w:sz w:val="24"/>
                <w:lang w:eastAsia="zh-CN"/>
              </w:rPr>
              <w:t>全</w:t>
            </w:r>
            <w:r>
              <w:rPr>
                <w:rFonts w:hint="eastAsia"/>
                <w:color w:val="auto"/>
                <w:sz w:val="24"/>
              </w:rPr>
              <w:t>封闭式设置，考虑扰动风速取</w:t>
            </w:r>
            <w:r>
              <w:rPr>
                <w:rFonts w:hint="eastAsia"/>
                <w:color w:val="auto"/>
                <w:sz w:val="24"/>
                <w:lang w:val="en-US" w:eastAsia="zh-CN"/>
              </w:rPr>
              <w:t>1.0</w:t>
            </w:r>
            <w:r>
              <w:rPr>
                <w:color w:val="auto"/>
                <w:sz w:val="24"/>
              </w:rPr>
              <w:t>m/s</w:t>
            </w:r>
            <w:r>
              <w:rPr>
                <w:rFonts w:hint="eastAsia"/>
                <w:color w:val="auto"/>
                <w:sz w:val="24"/>
              </w:rPr>
              <w:t>）</w:t>
            </w:r>
            <w:r>
              <w:rPr>
                <w:rFonts w:hint="default" w:ascii="Times New Roman" w:hAnsi="Times New Roman" w:eastAsia="宋体" w:cs="Times New Roman"/>
                <w:color w:val="auto"/>
                <w:sz w:val="24"/>
                <w:highlight w:val="none"/>
                <w:lang w:val="en-US"/>
              </w:rPr>
              <w:t>；</w:t>
            </w:r>
          </w:p>
          <w:p w14:paraId="589A225D">
            <w:pPr>
              <w:pStyle w:val="11"/>
              <w:keepNext w:val="0"/>
              <w:keepLines w:val="0"/>
              <w:pageBreakBefore w:val="0"/>
              <w:kinsoku/>
              <w:wordWrap/>
              <w:overflowPunct/>
              <w:topLinePunct w:val="0"/>
              <w:autoSpaceDE/>
              <w:autoSpaceDN/>
              <w:bidi w:val="0"/>
              <w:spacing w:after="0" w:line="360" w:lineRule="auto"/>
              <w:ind w:left="0"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W—含水率，项目</w:t>
            </w:r>
            <w:r>
              <w:rPr>
                <w:rFonts w:hint="eastAsia" w:ascii="Times New Roman" w:hAnsi="Times New Roman" w:eastAsia="宋体" w:cs="Times New Roman"/>
                <w:color w:val="auto"/>
                <w:sz w:val="24"/>
                <w:szCs w:val="24"/>
                <w:highlight w:val="none"/>
                <w:lang w:eastAsia="zh-CN"/>
              </w:rPr>
              <w:t>原煤</w:t>
            </w:r>
            <w:r>
              <w:rPr>
                <w:rFonts w:hint="default" w:ascii="Times New Roman" w:hAnsi="Times New Roman" w:eastAsia="宋体" w:cs="Times New Roman"/>
                <w:color w:val="auto"/>
                <w:sz w:val="24"/>
                <w:szCs w:val="24"/>
                <w:highlight w:val="none"/>
              </w:rPr>
              <w:t>含水率为</w:t>
            </w:r>
            <w:r>
              <w:rPr>
                <w:rFonts w:hint="eastAsia" w:ascii="Times New Roman" w:hAnsi="Times New Roman" w:eastAsia="宋体" w:cs="Times New Roman"/>
                <w:color w:val="auto"/>
                <w:sz w:val="24"/>
                <w:szCs w:val="24"/>
                <w:highlight w:val="none"/>
                <w:lang w:val="en-US" w:eastAsia="zh-CN"/>
              </w:rPr>
              <w:t>55</w:t>
            </w:r>
            <w:r>
              <w:rPr>
                <w:rFonts w:hint="default" w:ascii="Times New Roman" w:hAnsi="Times New Roman" w:eastAsia="宋体" w:cs="Times New Roman"/>
                <w:color w:val="auto"/>
                <w:sz w:val="24"/>
                <w:szCs w:val="24"/>
                <w:highlight w:val="none"/>
              </w:rPr>
              <w:t>%；</w:t>
            </w:r>
          </w:p>
          <w:p w14:paraId="427FC93C">
            <w:pPr>
              <w:pStyle w:val="11"/>
              <w:keepNext w:val="0"/>
              <w:keepLines w:val="0"/>
              <w:pageBreakBefore w:val="0"/>
              <w:kinsoku/>
              <w:wordWrap/>
              <w:overflowPunct/>
              <w:topLinePunct w:val="0"/>
              <w:autoSpaceDE/>
              <w:autoSpaceDN/>
              <w:bidi w:val="0"/>
              <w:spacing w:after="0" w:line="360" w:lineRule="auto"/>
              <w:ind w:left="0"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A—占地面积，m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9943.87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w:t>
            </w:r>
          </w:p>
          <w:p w14:paraId="026FE164">
            <w:pPr>
              <w:pStyle w:val="14"/>
              <w:keepNext w:val="0"/>
              <w:keepLines w:val="0"/>
              <w:pageBreakBefore w:val="0"/>
              <w:widowControl w:val="0"/>
              <w:kinsoku/>
              <w:wordWrap/>
              <w:overflowPunct/>
              <w:topLinePunct w:val="0"/>
              <w:autoSpaceDE/>
              <w:autoSpaceDN/>
              <w:bidi w:val="0"/>
              <w:spacing w:line="360" w:lineRule="auto"/>
              <w:ind w:left="0" w:right="0" w:firstLine="44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sz w:val="24"/>
                <w:szCs w:val="24"/>
                <w:highlight w:val="none"/>
              </w:rPr>
              <w:t>根据计算，原料</w:t>
            </w:r>
            <w:r>
              <w:rPr>
                <w:rFonts w:hint="default" w:ascii="Times New Roman" w:hAnsi="Times New Roman" w:eastAsia="宋体" w:cs="Times New Roman"/>
                <w:color w:val="auto"/>
                <w:spacing w:val="-9"/>
                <w:sz w:val="24"/>
                <w:szCs w:val="24"/>
                <w:highlight w:val="none"/>
                <w:lang w:val="en-US" w:eastAsia="zh-CN"/>
              </w:rPr>
              <w:t>堆存</w:t>
            </w:r>
            <w:r>
              <w:rPr>
                <w:rFonts w:hint="default" w:ascii="Times New Roman" w:hAnsi="Times New Roman" w:eastAsia="宋体" w:cs="Times New Roman"/>
                <w:color w:val="auto"/>
                <w:spacing w:val="-9"/>
                <w:sz w:val="24"/>
                <w:szCs w:val="24"/>
                <w:highlight w:val="none"/>
              </w:rPr>
              <w:t>产生的扬尘量为</w:t>
            </w:r>
            <w:r>
              <w:rPr>
                <w:rFonts w:hint="eastAsia" w:cs="Times New Roman"/>
                <w:color w:val="auto"/>
                <w:sz w:val="24"/>
                <w:szCs w:val="24"/>
                <w:highlight w:val="none"/>
                <w:lang w:val="en-US" w:eastAsia="zh-CN"/>
              </w:rPr>
              <w:t>66.1334kg</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pacing w:val="-8"/>
                <w:sz w:val="24"/>
                <w:szCs w:val="24"/>
                <w:highlight w:val="none"/>
              </w:rPr>
              <w:t>。根据设计的要求，</w:t>
            </w:r>
            <w:r>
              <w:rPr>
                <w:rFonts w:hint="eastAsia" w:ascii="Times New Roman" w:hAnsi="Times New Roman" w:eastAsia="宋体" w:cs="Times New Roman"/>
                <w:color w:val="auto"/>
                <w:spacing w:val="-8"/>
                <w:sz w:val="24"/>
                <w:szCs w:val="24"/>
                <w:highlight w:val="none"/>
                <w:lang w:eastAsia="zh-CN"/>
              </w:rPr>
              <w:t>原料</w:t>
            </w:r>
            <w:r>
              <w:rPr>
                <w:rFonts w:hint="eastAsia" w:cs="Times New Roman"/>
                <w:color w:val="auto"/>
                <w:spacing w:val="-8"/>
                <w:sz w:val="24"/>
                <w:szCs w:val="24"/>
                <w:highlight w:val="none"/>
                <w:lang w:eastAsia="zh-CN"/>
              </w:rPr>
              <w:t>煤</w:t>
            </w:r>
            <w:r>
              <w:rPr>
                <w:rFonts w:hint="eastAsia" w:ascii="Times New Roman" w:hAnsi="Times New Roman" w:eastAsia="宋体" w:cs="Times New Roman"/>
                <w:color w:val="auto"/>
                <w:spacing w:val="-8"/>
                <w:sz w:val="24"/>
                <w:szCs w:val="24"/>
                <w:highlight w:val="none"/>
                <w:lang w:eastAsia="zh-CN"/>
              </w:rPr>
              <w:t>储存区为全封闭厂房，</w:t>
            </w:r>
            <w:r>
              <w:rPr>
                <w:rFonts w:hint="default" w:ascii="Times New Roman" w:hAnsi="Times New Roman" w:eastAsia="宋体" w:cs="Times New Roman"/>
                <w:color w:val="auto"/>
                <w:spacing w:val="-3"/>
                <w:sz w:val="24"/>
                <w:szCs w:val="24"/>
                <w:highlight w:val="none"/>
              </w:rPr>
              <w:t>其产生</w:t>
            </w:r>
            <w:r>
              <w:rPr>
                <w:rFonts w:hint="default" w:ascii="Times New Roman" w:hAnsi="Times New Roman" w:eastAsia="宋体" w:cs="Times New Roman"/>
                <w:color w:val="auto"/>
                <w:spacing w:val="-5"/>
                <w:sz w:val="24"/>
                <w:szCs w:val="24"/>
                <w:highlight w:val="none"/>
              </w:rPr>
              <w:t>的无组织扬尘</w:t>
            </w:r>
            <w:r>
              <w:rPr>
                <w:rFonts w:hint="eastAsia" w:cs="Times New Roman"/>
                <w:color w:val="auto"/>
                <w:spacing w:val="-5"/>
                <w:sz w:val="24"/>
                <w:szCs w:val="24"/>
                <w:highlight w:val="none"/>
                <w:lang w:eastAsia="zh-CN"/>
              </w:rPr>
              <w:t>均在堆棚内</w:t>
            </w:r>
            <w:r>
              <w:rPr>
                <w:rFonts w:hint="default" w:ascii="Times New Roman" w:hAnsi="Times New Roman" w:eastAsia="宋体" w:cs="Times New Roman"/>
                <w:color w:val="auto"/>
                <w:spacing w:val="-11"/>
                <w:sz w:val="24"/>
                <w:szCs w:val="24"/>
                <w:highlight w:val="none"/>
              </w:rPr>
              <w:t>，</w:t>
            </w:r>
            <w:r>
              <w:rPr>
                <w:rFonts w:hint="eastAsia" w:cs="Times New Roman"/>
                <w:color w:val="auto"/>
                <w:spacing w:val="-11"/>
                <w:sz w:val="24"/>
                <w:szCs w:val="24"/>
                <w:highlight w:val="none"/>
                <w:lang w:eastAsia="zh-CN"/>
              </w:rPr>
              <w:t>仅有少量扬尘在开门时溢出，为</w:t>
            </w:r>
            <w:r>
              <w:rPr>
                <w:rFonts w:hint="eastAsia" w:cs="Times New Roman"/>
                <w:color w:val="auto"/>
                <w:spacing w:val="-11"/>
                <w:sz w:val="24"/>
                <w:szCs w:val="24"/>
                <w:highlight w:val="none"/>
                <w:lang w:val="en-US" w:eastAsia="zh-CN"/>
              </w:rPr>
              <w:t>10%，</w:t>
            </w:r>
            <w:r>
              <w:rPr>
                <w:rFonts w:hint="eastAsia" w:cs="Times New Roman"/>
                <w:color w:val="auto"/>
                <w:spacing w:val="-11"/>
                <w:sz w:val="24"/>
                <w:szCs w:val="24"/>
                <w:highlight w:val="none"/>
                <w:lang w:eastAsia="zh-CN"/>
              </w:rPr>
              <w:t>则</w:t>
            </w:r>
            <w:r>
              <w:rPr>
                <w:rFonts w:hint="default" w:ascii="Times New Roman" w:hAnsi="Times New Roman" w:eastAsia="宋体" w:cs="Times New Roman"/>
                <w:color w:val="auto"/>
                <w:spacing w:val="-4"/>
                <w:sz w:val="24"/>
                <w:szCs w:val="24"/>
                <w:highlight w:val="none"/>
                <w:lang w:val="en-US" w:eastAsia="zh-CN"/>
              </w:rPr>
              <w:t>原料</w:t>
            </w:r>
            <w:r>
              <w:rPr>
                <w:rFonts w:hint="eastAsia" w:cs="Times New Roman"/>
                <w:color w:val="auto"/>
                <w:spacing w:val="-4"/>
                <w:sz w:val="24"/>
                <w:szCs w:val="24"/>
                <w:highlight w:val="none"/>
                <w:lang w:val="en-US" w:eastAsia="zh-CN"/>
              </w:rPr>
              <w:t>煤</w:t>
            </w:r>
            <w:r>
              <w:rPr>
                <w:rFonts w:hint="default" w:ascii="Times New Roman" w:hAnsi="Times New Roman" w:eastAsia="宋体" w:cs="Times New Roman"/>
                <w:color w:val="auto"/>
                <w:spacing w:val="-4"/>
                <w:sz w:val="24"/>
                <w:szCs w:val="24"/>
                <w:highlight w:val="none"/>
                <w:lang w:val="en-US" w:eastAsia="zh-CN"/>
              </w:rPr>
              <w:t>堆存过程</w:t>
            </w:r>
            <w:r>
              <w:rPr>
                <w:rFonts w:hint="default" w:ascii="Times New Roman" w:hAnsi="Times New Roman" w:eastAsia="宋体" w:cs="Times New Roman"/>
                <w:color w:val="auto"/>
                <w:spacing w:val="-4"/>
                <w:sz w:val="24"/>
                <w:szCs w:val="24"/>
                <w:highlight w:val="none"/>
              </w:rPr>
              <w:t>无组织扬尘的排放量为</w:t>
            </w:r>
            <w:r>
              <w:rPr>
                <w:rFonts w:hint="eastAsia" w:cs="Times New Roman"/>
                <w:color w:val="auto"/>
                <w:spacing w:val="-4"/>
                <w:sz w:val="24"/>
                <w:szCs w:val="24"/>
                <w:highlight w:val="none"/>
                <w:lang w:val="en-US" w:eastAsia="zh-CN"/>
              </w:rPr>
              <w:t>6.6133</w:t>
            </w:r>
            <w:r>
              <w:rPr>
                <w:rFonts w:hint="eastAsia"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rPr>
              <w:t>/a。</w:t>
            </w:r>
          </w:p>
          <w:p w14:paraId="516A8C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采取所述措施后煤尘影响局限在</w:t>
            </w:r>
            <w:r>
              <w:rPr>
                <w:rFonts w:hint="eastAsia" w:ascii="Times New Roman" w:hAnsi="Times New Roman" w:eastAsia="宋体" w:cs="Times New Roman"/>
                <w:color w:val="auto"/>
                <w:sz w:val="24"/>
                <w:szCs w:val="24"/>
                <w:highlight w:val="none"/>
                <w:lang w:eastAsia="zh-CN"/>
              </w:rPr>
              <w:t>原煤堆场</w:t>
            </w:r>
            <w:r>
              <w:rPr>
                <w:rFonts w:hint="default" w:ascii="Times New Roman" w:hAnsi="Times New Roman" w:eastAsia="宋体" w:cs="Times New Roman"/>
                <w:color w:val="auto"/>
                <w:sz w:val="24"/>
                <w:szCs w:val="24"/>
                <w:highlight w:val="none"/>
                <w:lang w:eastAsia="zh-CN"/>
              </w:rPr>
              <w:t>内</w:t>
            </w:r>
            <w:r>
              <w:rPr>
                <w:rFonts w:hint="default" w:ascii="Times New Roman" w:hAnsi="Times New Roman" w:eastAsia="宋体" w:cs="Times New Roman"/>
                <w:color w:val="auto"/>
                <w:sz w:val="24"/>
                <w:szCs w:val="24"/>
                <w:highlight w:val="none"/>
              </w:rPr>
              <w:t>，对外环境影响小。</w:t>
            </w:r>
          </w:p>
          <w:p w14:paraId="1F41EB31">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outlineLvl w:val="9"/>
              <w:rPr>
                <w:rFonts w:hint="default" w:ascii="Times New Roman" w:hAnsi="Times New Roman" w:eastAsia="宋体" w:cs="Times New Roman"/>
                <w:b/>
                <w:bCs/>
                <w:color w:val="auto"/>
                <w:spacing w:val="6"/>
                <w:kern w:val="2"/>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rPr>
              <w:t>③</w:t>
            </w:r>
            <w:r>
              <w:rPr>
                <w:rFonts w:hint="eastAsia" w:ascii="Times New Roman" w:hAnsi="Times New Roman" w:eastAsia="宋体" w:cs="Times New Roman"/>
                <w:b/>
                <w:bCs/>
                <w:color w:val="auto"/>
                <w:sz w:val="24"/>
                <w:szCs w:val="24"/>
                <w:highlight w:val="none"/>
                <w:lang w:val="en-US" w:eastAsia="zh-CN"/>
              </w:rPr>
              <w:t>破碎粉尘</w:t>
            </w:r>
          </w:p>
          <w:p w14:paraId="78903964">
            <w:pPr>
              <w:adjustRightInd w:val="0"/>
              <w:snapToGrid w:val="0"/>
              <w:spacing w:line="360" w:lineRule="auto"/>
              <w:ind w:firstLine="480" w:firstLineChars="200"/>
              <w:rPr>
                <w:rFonts w:hint="eastAsia"/>
                <w:color w:val="auto"/>
                <w:sz w:val="24"/>
              </w:rPr>
            </w:pPr>
            <w:r>
              <w:rPr>
                <w:rFonts w:hint="eastAsia"/>
                <w:color w:val="auto"/>
                <w:sz w:val="24"/>
              </w:rPr>
              <w:t>项目工程建设1个</w:t>
            </w:r>
            <w:r>
              <w:rPr>
                <w:rFonts w:hint="eastAsia"/>
                <w:color w:val="auto"/>
                <w:sz w:val="24"/>
                <w:lang w:eastAsia="zh-CN"/>
              </w:rPr>
              <w:t>破碎</w:t>
            </w:r>
            <w:r>
              <w:rPr>
                <w:rFonts w:hint="eastAsia"/>
                <w:color w:val="auto"/>
                <w:sz w:val="24"/>
              </w:rPr>
              <w:t>系统，煤破碎将有煤尘产生。由于本项目所用褐煤含水率高，且本阶段原煤破碎仅将部分不均匀大块原煤破碎成小块状，破碎程度较低，故产尘量不多。</w:t>
            </w:r>
          </w:p>
          <w:p w14:paraId="342B3B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eastAsia="宋体"/>
                <w:color w:val="auto"/>
                <w:sz w:val="24"/>
                <w:lang w:val="en-US" w:eastAsia="zh-CN"/>
              </w:rPr>
            </w:pPr>
            <w:r>
              <w:rPr>
                <w:rFonts w:hint="default" w:ascii="Times New Roman" w:hAnsi="Times New Roman" w:eastAsia="宋体" w:cs="Times New Roman"/>
                <w:color w:val="auto"/>
                <w:sz w:val="24"/>
                <w:szCs w:val="24"/>
              </w:rPr>
              <w:t>本项目</w:t>
            </w:r>
            <w:r>
              <w:rPr>
                <w:rFonts w:hint="eastAsia" w:ascii="Times New Roman" w:hAnsi="Times New Roman" w:cs="Times New Roman"/>
                <w:color w:val="auto"/>
                <w:sz w:val="24"/>
                <w:szCs w:val="24"/>
                <w:lang w:val="en-US" w:eastAsia="zh-CN"/>
              </w:rPr>
              <w:t>破碎粉尘</w:t>
            </w:r>
            <w:r>
              <w:rPr>
                <w:rFonts w:hint="eastAsia" w:cs="Times New Roman"/>
                <w:color w:val="auto"/>
                <w:sz w:val="24"/>
                <w:szCs w:val="24"/>
                <w:lang w:val="en-US" w:eastAsia="zh-CN"/>
              </w:rPr>
              <w:t>参照</w:t>
            </w:r>
            <w:r>
              <w:rPr>
                <w:rFonts w:hint="default" w:ascii="Times New Roman" w:hAnsi="Times New Roman" w:eastAsia="宋体" w:cs="Times New Roman"/>
                <w:color w:val="auto"/>
                <w:spacing w:val="-11"/>
                <w:sz w:val="24"/>
                <w:szCs w:val="24"/>
                <w:highlight w:val="none"/>
              </w:rPr>
              <w:t>《逸散性工业粉尘控制技术》表</w:t>
            </w:r>
            <w:r>
              <w:rPr>
                <w:rFonts w:hint="eastAsia" w:ascii="Times New Roman" w:hAnsi="Times New Roman" w:cs="Times New Roman"/>
                <w:color w:val="auto"/>
                <w:spacing w:val="-11"/>
                <w:sz w:val="24"/>
                <w:szCs w:val="24"/>
                <w:highlight w:val="none"/>
                <w:lang w:val="en-US" w:eastAsia="zh-CN"/>
              </w:rPr>
              <w:t>19</w:t>
            </w:r>
            <w:r>
              <w:rPr>
                <w:rFonts w:hint="default" w:ascii="Times New Roman" w:hAnsi="Times New Roman" w:eastAsia="宋体" w:cs="Times New Roman"/>
                <w:color w:val="auto"/>
                <w:spacing w:val="-5"/>
                <w:sz w:val="24"/>
                <w:szCs w:val="24"/>
                <w:highlight w:val="none"/>
              </w:rPr>
              <w:t>-</w:t>
            </w:r>
            <w:r>
              <w:rPr>
                <w:rFonts w:hint="eastAsia" w:ascii="Times New Roman" w:hAnsi="Times New Roman" w:cs="Times New Roman"/>
                <w:color w:val="auto"/>
                <w:spacing w:val="-5"/>
                <w:sz w:val="24"/>
                <w:szCs w:val="24"/>
                <w:highlight w:val="none"/>
                <w:lang w:val="en-US" w:eastAsia="zh-CN"/>
              </w:rPr>
              <w:t>2</w:t>
            </w:r>
            <w:r>
              <w:rPr>
                <w:rFonts w:hint="default" w:ascii="Times New Roman" w:hAnsi="Times New Roman" w:eastAsia="宋体" w:cs="Times New Roman"/>
                <w:color w:val="auto"/>
                <w:spacing w:val="-2"/>
                <w:sz w:val="24"/>
                <w:szCs w:val="24"/>
                <w:highlight w:val="none"/>
              </w:rPr>
              <w:t>，</w:t>
            </w:r>
            <w:r>
              <w:rPr>
                <w:rFonts w:hint="eastAsia" w:ascii="Times New Roman" w:hAnsi="Times New Roman" w:cs="Times New Roman"/>
                <w:color w:val="auto"/>
                <w:spacing w:val="-2"/>
                <w:sz w:val="24"/>
                <w:szCs w:val="24"/>
                <w:highlight w:val="none"/>
                <w:lang w:eastAsia="zh-CN"/>
              </w:rPr>
              <w:t>煤破碎过程</w:t>
            </w:r>
            <w:r>
              <w:rPr>
                <w:rFonts w:hint="default" w:ascii="Times New Roman" w:hAnsi="Times New Roman" w:eastAsia="宋体" w:cs="Times New Roman"/>
                <w:color w:val="auto"/>
                <w:spacing w:val="-2"/>
                <w:sz w:val="24"/>
                <w:szCs w:val="24"/>
                <w:highlight w:val="none"/>
              </w:rPr>
              <w:t>排放系</w:t>
            </w:r>
            <w:r>
              <w:rPr>
                <w:rFonts w:hint="default" w:ascii="Times New Roman" w:hAnsi="Times New Roman" w:eastAsia="宋体" w:cs="Times New Roman"/>
                <w:color w:val="auto"/>
                <w:spacing w:val="-30"/>
                <w:sz w:val="24"/>
                <w:szCs w:val="24"/>
                <w:highlight w:val="none"/>
              </w:rPr>
              <w:t>数</w:t>
            </w:r>
            <w:r>
              <w:rPr>
                <w:rFonts w:hint="default" w:ascii="Times New Roman" w:hAnsi="Times New Roman" w:eastAsia="宋体" w:cs="Times New Roman"/>
                <w:color w:val="auto"/>
                <w:sz w:val="24"/>
                <w:szCs w:val="24"/>
                <w:highlight w:val="none"/>
              </w:rPr>
              <w:t>0.</w:t>
            </w:r>
            <w:r>
              <w:rPr>
                <w:rFonts w:hint="eastAsia" w:ascii="Times New Roman" w:hAnsi="Times New Roman"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rPr>
              <w:t>kg/t</w:t>
            </w:r>
            <w:r>
              <w:rPr>
                <w:rFonts w:hint="default" w:ascii="Times New Roman" w:hAnsi="Times New Roman" w:eastAsia="宋体" w:cs="Times New Roman"/>
                <w:color w:val="auto"/>
                <w:spacing w:val="-12"/>
                <w:sz w:val="24"/>
                <w:szCs w:val="24"/>
                <w:highlight w:val="none"/>
              </w:rPr>
              <w:t>。</w:t>
            </w:r>
            <w:r>
              <w:rPr>
                <w:rFonts w:hint="eastAsia" w:cs="Times New Roman"/>
                <w:color w:val="auto"/>
                <w:sz w:val="24"/>
                <w:szCs w:val="24"/>
                <w:highlight w:val="none"/>
                <w:lang w:val="en-US" w:eastAsia="zh-CN"/>
              </w:rPr>
              <w:t>本项目原煤破碎量为100万t/a，</w:t>
            </w:r>
            <w:r>
              <w:rPr>
                <w:rFonts w:hint="eastAsia"/>
                <w:color w:val="auto"/>
                <w:sz w:val="24"/>
              </w:rPr>
              <w:t>则</w:t>
            </w:r>
            <w:r>
              <w:rPr>
                <w:rFonts w:hint="eastAsia"/>
                <w:color w:val="auto"/>
                <w:sz w:val="24"/>
                <w:lang w:eastAsia="zh-CN"/>
              </w:rPr>
              <w:t>原煤破碎</w:t>
            </w:r>
            <w:r>
              <w:rPr>
                <w:rFonts w:hint="eastAsia"/>
                <w:color w:val="auto"/>
                <w:sz w:val="24"/>
              </w:rPr>
              <w:t>产生的</w:t>
            </w:r>
            <w:r>
              <w:rPr>
                <w:rFonts w:hint="eastAsia"/>
                <w:color w:val="auto"/>
                <w:sz w:val="24"/>
                <w:lang w:eastAsia="zh-CN"/>
              </w:rPr>
              <w:t>粉尘量</w:t>
            </w:r>
            <w:r>
              <w:rPr>
                <w:rFonts w:hint="eastAsia"/>
                <w:color w:val="auto"/>
                <w:sz w:val="24"/>
              </w:rPr>
              <w:t>为</w:t>
            </w:r>
            <w:r>
              <w:rPr>
                <w:rFonts w:hint="eastAsia"/>
                <w:color w:val="auto"/>
                <w:sz w:val="24"/>
                <w:lang w:val="en-US" w:eastAsia="zh-CN"/>
              </w:rPr>
              <w:t>10</w:t>
            </w:r>
            <w:r>
              <w:rPr>
                <w:color w:val="auto"/>
                <w:sz w:val="24"/>
              </w:rPr>
              <w:t>t/a</w:t>
            </w:r>
            <w:r>
              <w:rPr>
                <w:rFonts w:hint="eastAsia"/>
                <w:color w:val="auto"/>
                <w:sz w:val="24"/>
                <w:lang w:val="en-US" w:eastAsia="zh-CN"/>
              </w:rPr>
              <w:t>。</w:t>
            </w:r>
          </w:p>
          <w:p w14:paraId="09284B74">
            <w:pPr>
              <w:adjustRightInd w:val="0"/>
              <w:snapToGrid w:val="0"/>
              <w:spacing w:line="360" w:lineRule="auto"/>
              <w:ind w:firstLine="480" w:firstLineChars="200"/>
              <w:rPr>
                <w:rFonts w:eastAsia="Times New Roman"/>
                <w:color w:val="auto"/>
                <w:sz w:val="24"/>
                <w:lang w:val="zh-CN"/>
              </w:rPr>
            </w:pPr>
            <w:r>
              <w:rPr>
                <w:rFonts w:hint="eastAsia"/>
                <w:color w:val="auto"/>
                <w:sz w:val="24"/>
                <w:lang w:eastAsia="zh-CN"/>
              </w:rPr>
              <w:t>项目破碎系统粉尘经集气罩</w:t>
            </w:r>
            <w:r>
              <w:rPr>
                <w:rFonts w:hint="eastAsia"/>
                <w:color w:val="auto"/>
                <w:sz w:val="24"/>
                <w:lang w:val="en-US" w:eastAsia="zh-CN"/>
              </w:rPr>
              <w:t>+</w:t>
            </w:r>
            <w:r>
              <w:rPr>
                <w:rFonts w:hint="eastAsia"/>
                <w:color w:val="auto"/>
                <w:sz w:val="24"/>
                <w:lang w:eastAsia="zh-CN"/>
              </w:rPr>
              <w:t>风管</w:t>
            </w:r>
            <w:r>
              <w:rPr>
                <w:rFonts w:hint="eastAsia"/>
                <w:color w:val="auto"/>
                <w:sz w:val="24"/>
              </w:rPr>
              <w:t>（</w:t>
            </w:r>
            <w:r>
              <w:rPr>
                <w:rFonts w:hint="eastAsia" w:eastAsia="Times New Roman"/>
                <w:color w:val="auto"/>
                <w:sz w:val="24"/>
                <w:lang w:val="zh-CN"/>
              </w:rPr>
              <w:t>集气效率为</w:t>
            </w:r>
            <w:r>
              <w:rPr>
                <w:rFonts w:hint="eastAsia" w:eastAsia="宋体"/>
                <w:color w:val="auto"/>
                <w:sz w:val="24"/>
                <w:lang w:val="en-US" w:eastAsia="zh-CN"/>
              </w:rPr>
              <w:t>8</w:t>
            </w:r>
            <w:r>
              <w:rPr>
                <w:rFonts w:hint="eastAsia"/>
                <w:color w:val="auto"/>
                <w:sz w:val="24"/>
                <w:lang w:val="en-US" w:eastAsia="zh-CN"/>
              </w:rPr>
              <w:t>5</w:t>
            </w:r>
            <w:r>
              <w:rPr>
                <w:rFonts w:hint="eastAsia"/>
                <w:color w:val="auto"/>
                <w:sz w:val="24"/>
              </w:rPr>
              <w:t>%）</w:t>
            </w:r>
            <w:r>
              <w:rPr>
                <w:rFonts w:hint="eastAsia"/>
                <w:color w:val="auto"/>
                <w:sz w:val="24"/>
                <w:lang w:eastAsia="zh-CN"/>
              </w:rPr>
              <w:t>收集</w:t>
            </w:r>
            <w:r>
              <w:rPr>
                <w:rFonts w:hint="eastAsia"/>
                <w:color w:val="auto"/>
                <w:sz w:val="24"/>
              </w:rPr>
              <w:t>后</w:t>
            </w:r>
            <w:r>
              <w:rPr>
                <w:rFonts w:eastAsia="Times New Roman"/>
                <w:color w:val="auto"/>
                <w:sz w:val="24"/>
                <w:lang w:val="zh-CN"/>
              </w:rPr>
              <w:t>通过</w:t>
            </w:r>
            <w:r>
              <w:rPr>
                <w:rFonts w:hint="eastAsia" w:eastAsia="Times New Roman"/>
                <w:color w:val="auto"/>
                <w:sz w:val="24"/>
                <w:lang w:val="zh-CN"/>
              </w:rPr>
              <w:t>引风机（风机风量</w:t>
            </w:r>
            <w:r>
              <w:rPr>
                <w:rFonts w:hint="eastAsia"/>
                <w:color w:val="auto"/>
                <w:sz w:val="24"/>
                <w:lang w:val="en-US" w:eastAsia="zh-CN"/>
              </w:rPr>
              <w:t>7388</w:t>
            </w:r>
            <w:r>
              <w:rPr>
                <w:rFonts w:hint="eastAsia"/>
                <w:color w:val="auto"/>
                <w:sz w:val="24"/>
              </w:rPr>
              <w:t>m</w:t>
            </w:r>
            <w:r>
              <w:rPr>
                <w:rFonts w:hint="eastAsia"/>
                <w:color w:val="auto"/>
                <w:sz w:val="24"/>
                <w:vertAlign w:val="superscript"/>
              </w:rPr>
              <w:t>3</w:t>
            </w:r>
            <w:r>
              <w:rPr>
                <w:rFonts w:hint="eastAsia"/>
                <w:color w:val="auto"/>
                <w:sz w:val="24"/>
              </w:rPr>
              <w:t>/h</w:t>
            </w:r>
            <w:r>
              <w:rPr>
                <w:rFonts w:hint="eastAsia" w:eastAsia="Times New Roman"/>
                <w:color w:val="auto"/>
                <w:sz w:val="24"/>
                <w:lang w:val="zh-CN"/>
              </w:rPr>
              <w:t>）引至</w:t>
            </w:r>
            <w:r>
              <w:rPr>
                <w:rFonts w:eastAsia="Times New Roman"/>
                <w:color w:val="auto"/>
                <w:sz w:val="24"/>
                <w:lang w:val="zh-CN"/>
              </w:rPr>
              <w:t>处理效率为9</w:t>
            </w:r>
            <w:r>
              <w:rPr>
                <w:rFonts w:hint="eastAsia" w:eastAsia="宋体"/>
                <w:color w:val="auto"/>
                <w:sz w:val="24"/>
                <w:lang w:val="en-US" w:eastAsia="zh-CN"/>
              </w:rPr>
              <w:t>9</w:t>
            </w:r>
            <w:r>
              <w:rPr>
                <w:rFonts w:hint="eastAsia"/>
                <w:color w:val="auto"/>
                <w:sz w:val="24"/>
                <w:lang w:val="en-US" w:eastAsia="zh-CN"/>
              </w:rPr>
              <w:t>.6</w:t>
            </w:r>
            <w:r>
              <w:rPr>
                <w:rFonts w:eastAsia="Times New Roman"/>
                <w:color w:val="auto"/>
                <w:sz w:val="24"/>
                <w:lang w:val="zh-CN"/>
              </w:rPr>
              <w:t>%的</w:t>
            </w:r>
            <w:r>
              <w:rPr>
                <w:rFonts w:hint="eastAsia" w:eastAsia="Times New Roman"/>
                <w:color w:val="auto"/>
                <w:sz w:val="24"/>
                <w:lang w:val="zh-CN"/>
              </w:rPr>
              <w:t>袋式</w:t>
            </w:r>
            <w:r>
              <w:rPr>
                <w:rFonts w:eastAsia="Times New Roman"/>
                <w:color w:val="auto"/>
                <w:sz w:val="24"/>
                <w:lang w:val="zh-CN"/>
              </w:rPr>
              <w:t>除尘器处理</w:t>
            </w:r>
            <w:r>
              <w:rPr>
                <w:rFonts w:hint="eastAsia" w:eastAsia="Times New Roman"/>
                <w:color w:val="auto"/>
                <w:sz w:val="24"/>
                <w:lang w:val="zh-CN"/>
              </w:rPr>
              <w:t>达标</w:t>
            </w:r>
            <w:r>
              <w:rPr>
                <w:rFonts w:eastAsia="Times New Roman"/>
                <w:color w:val="auto"/>
                <w:sz w:val="24"/>
                <w:lang w:val="zh-CN"/>
              </w:rPr>
              <w:t>后，由一根</w:t>
            </w:r>
            <w:r>
              <w:rPr>
                <w:rFonts w:hint="eastAsia" w:eastAsia="Times New Roman"/>
                <w:color w:val="auto"/>
                <w:sz w:val="24"/>
                <w:lang w:val="zh-CN"/>
              </w:rPr>
              <w:t>内径为</w:t>
            </w:r>
            <w:r>
              <w:rPr>
                <w:rFonts w:hint="eastAsia" w:eastAsia="宋体"/>
                <w:color w:val="auto"/>
                <w:sz w:val="24"/>
                <w:lang w:val="en-US" w:eastAsia="zh-CN"/>
              </w:rPr>
              <w:t>0.45m，15.5</w:t>
            </w:r>
            <w:r>
              <w:rPr>
                <w:rFonts w:eastAsia="Times New Roman"/>
                <w:color w:val="auto"/>
                <w:sz w:val="24"/>
                <w:lang w:val="zh-CN"/>
              </w:rPr>
              <w:t>m高的排气筒</w:t>
            </w:r>
            <w:r>
              <w:rPr>
                <w:rFonts w:hint="eastAsia" w:eastAsia="Times New Roman"/>
                <w:color w:val="auto"/>
                <w:sz w:val="24"/>
                <w:lang w:val="zh-CN"/>
              </w:rPr>
              <w:t>（</w:t>
            </w:r>
            <w:r>
              <w:rPr>
                <w:rFonts w:hint="eastAsia"/>
                <w:color w:val="auto"/>
                <w:sz w:val="24"/>
              </w:rPr>
              <w:t>DA00</w:t>
            </w:r>
            <w:r>
              <w:rPr>
                <w:rFonts w:hint="eastAsia"/>
                <w:color w:val="auto"/>
                <w:sz w:val="24"/>
                <w:lang w:val="en-US" w:eastAsia="zh-CN"/>
              </w:rPr>
              <w:t>2</w:t>
            </w:r>
            <w:r>
              <w:rPr>
                <w:rFonts w:hint="eastAsia" w:eastAsia="Times New Roman"/>
                <w:color w:val="auto"/>
                <w:sz w:val="24"/>
                <w:lang w:val="zh-CN"/>
              </w:rPr>
              <w:t>）</w:t>
            </w:r>
            <w:r>
              <w:rPr>
                <w:rFonts w:eastAsia="Times New Roman"/>
                <w:color w:val="auto"/>
                <w:sz w:val="24"/>
                <w:lang w:val="zh-CN"/>
              </w:rPr>
              <w:t>排放。</w:t>
            </w:r>
          </w:p>
          <w:p w14:paraId="2CB3CFF8">
            <w:pPr>
              <w:adjustRightInd w:val="0"/>
              <w:snapToGrid w:val="0"/>
              <w:spacing w:line="360" w:lineRule="auto"/>
              <w:ind w:firstLine="480" w:firstLineChars="200"/>
              <w:rPr>
                <w:rFonts w:hint="eastAsia"/>
                <w:color w:val="auto"/>
                <w:sz w:val="24"/>
              </w:rPr>
            </w:pPr>
            <w:r>
              <w:rPr>
                <w:rFonts w:hint="eastAsia"/>
                <w:color w:val="auto"/>
                <w:sz w:val="24"/>
                <w:lang w:val="en-US" w:eastAsia="zh-CN"/>
              </w:rPr>
              <w:t>项目工程建设完成后DA002排气筒有组织粉尘</w:t>
            </w:r>
            <w:r>
              <w:rPr>
                <w:rFonts w:hint="eastAsia" w:ascii="Times New Roman" w:hAnsi="Times New Roman" w:eastAsia="宋体" w:cs="Times New Roman"/>
                <w:color w:val="auto"/>
                <w:sz w:val="24"/>
                <w:highlight w:val="none"/>
                <w:lang w:eastAsia="zh-CN"/>
              </w:rPr>
              <w:t>产生量为</w:t>
            </w:r>
            <w:r>
              <w:rPr>
                <w:rFonts w:hint="eastAsia" w:eastAsia="宋体" w:cs="Times New Roman"/>
                <w:color w:val="auto"/>
                <w:sz w:val="24"/>
                <w:highlight w:val="none"/>
                <w:lang w:val="en-US" w:eastAsia="zh-CN"/>
              </w:rPr>
              <w:t>8.5</w:t>
            </w:r>
            <w:r>
              <w:rPr>
                <w:rFonts w:hint="eastAsia" w:ascii="Times New Roman" w:hAnsi="Times New Roman" w:eastAsia="宋体" w:cs="Times New Roman"/>
                <w:color w:val="auto"/>
                <w:sz w:val="24"/>
                <w:highlight w:val="none"/>
                <w:lang w:val="en-US" w:eastAsia="zh-CN"/>
              </w:rPr>
              <w:t>t/a，产生速率为</w:t>
            </w:r>
            <w:r>
              <w:rPr>
                <w:rFonts w:hint="eastAsia" w:eastAsia="宋体" w:cs="Times New Roman"/>
                <w:color w:val="auto"/>
                <w:sz w:val="24"/>
                <w:highlight w:val="none"/>
                <w:lang w:val="en-US" w:eastAsia="zh-CN"/>
              </w:rPr>
              <w:t>1.</w:t>
            </w:r>
            <w:r>
              <w:rPr>
                <w:rFonts w:hint="eastAsia" w:cs="Times New Roman"/>
                <w:color w:val="auto"/>
                <w:sz w:val="24"/>
                <w:highlight w:val="none"/>
                <w:lang w:val="en-US" w:eastAsia="zh-CN"/>
              </w:rPr>
              <w:t>2649</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171.21</w:t>
            </w:r>
            <w:r>
              <w:rPr>
                <w:bCs/>
                <w:color w:val="auto"/>
                <w:spacing w:val="-10"/>
                <w:szCs w:val="21"/>
              </w:rPr>
              <w:t>mg/m</w:t>
            </w:r>
            <w:r>
              <w:rPr>
                <w:bCs/>
                <w:color w:val="auto"/>
                <w:spacing w:val="-10"/>
                <w:szCs w:val="21"/>
                <w:vertAlign w:val="superscript"/>
              </w:rPr>
              <w:t>3</w:t>
            </w:r>
            <w:r>
              <w:rPr>
                <w:rFonts w:hint="eastAsia"/>
                <w:bCs/>
                <w:color w:val="auto"/>
                <w:spacing w:val="-10"/>
                <w:szCs w:val="21"/>
                <w:vertAlign w:val="baseline"/>
                <w:lang w:eastAsia="zh-CN"/>
              </w:rPr>
              <w:t>；</w:t>
            </w:r>
            <w:r>
              <w:rPr>
                <w:rFonts w:hint="eastAsia" w:eastAsia="Times New Roman"/>
                <w:color w:val="auto"/>
                <w:sz w:val="24"/>
                <w:lang w:val="zh-CN"/>
              </w:rPr>
              <w:t>有组织</w:t>
            </w:r>
            <w:r>
              <w:rPr>
                <w:rFonts w:hint="eastAsia" w:ascii="Times New Roman" w:hAnsi="Times New Roman" w:eastAsia="宋体" w:cs="Times New Roman"/>
                <w:color w:val="auto"/>
                <w:sz w:val="24"/>
                <w:highlight w:val="none"/>
                <w:lang w:eastAsia="zh-CN"/>
              </w:rPr>
              <w:t>粉尘排放量为</w:t>
            </w:r>
            <w:r>
              <w:rPr>
                <w:rFonts w:hint="eastAsia" w:eastAsia="宋体" w:cs="Times New Roman"/>
                <w:color w:val="auto"/>
                <w:sz w:val="24"/>
                <w:highlight w:val="none"/>
                <w:lang w:val="en-US" w:eastAsia="zh-CN"/>
              </w:rPr>
              <w:t>0.0</w:t>
            </w:r>
            <w:r>
              <w:rPr>
                <w:rFonts w:hint="eastAsia" w:cs="Times New Roman"/>
                <w:color w:val="auto"/>
                <w:sz w:val="24"/>
                <w:highlight w:val="none"/>
                <w:lang w:val="en-US" w:eastAsia="zh-CN"/>
              </w:rPr>
              <w:t>34</w:t>
            </w:r>
            <w:r>
              <w:rPr>
                <w:rFonts w:hint="eastAsia" w:ascii="Times New Roman" w:hAnsi="Times New Roman" w:eastAsia="宋体" w:cs="Times New Roman"/>
                <w:color w:val="auto"/>
                <w:sz w:val="24"/>
                <w:highlight w:val="none"/>
                <w:lang w:val="en-US" w:eastAsia="zh-CN"/>
              </w:rPr>
              <w:t>t/a，排放速率为0.</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051</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0.69</w:t>
            </w:r>
            <w:r>
              <w:rPr>
                <w:bCs/>
                <w:color w:val="auto"/>
                <w:spacing w:val="-10"/>
                <w:szCs w:val="21"/>
              </w:rPr>
              <w:t>mg/m</w:t>
            </w:r>
            <w:r>
              <w:rPr>
                <w:bCs/>
                <w:color w:val="auto"/>
                <w:spacing w:val="-10"/>
                <w:szCs w:val="21"/>
                <w:vertAlign w:val="superscript"/>
              </w:rPr>
              <w:t>3</w:t>
            </w:r>
            <w:r>
              <w:rPr>
                <w:rFonts w:hint="eastAsia"/>
                <w:bCs/>
                <w:color w:val="auto"/>
                <w:spacing w:val="-10"/>
                <w:szCs w:val="21"/>
                <w:vertAlign w:val="baseline"/>
                <w:lang w:eastAsia="zh-CN"/>
              </w:rPr>
              <w:t>；</w:t>
            </w:r>
            <w:r>
              <w:rPr>
                <w:rFonts w:hint="eastAsia"/>
                <w:color w:val="auto"/>
                <w:sz w:val="24"/>
              </w:rPr>
              <w:t>无组织</w:t>
            </w:r>
            <w:r>
              <w:rPr>
                <w:rFonts w:hint="eastAsia"/>
                <w:color w:val="auto"/>
                <w:sz w:val="24"/>
                <w:lang w:eastAsia="zh-CN"/>
              </w:rPr>
              <w:t>产生</w:t>
            </w:r>
            <w:r>
              <w:rPr>
                <w:rFonts w:hint="eastAsia"/>
                <w:color w:val="auto"/>
                <w:sz w:val="24"/>
              </w:rPr>
              <w:t>量为</w:t>
            </w:r>
            <w:r>
              <w:rPr>
                <w:rFonts w:hint="eastAsia"/>
                <w:color w:val="auto"/>
                <w:sz w:val="24"/>
                <w:lang w:val="en-US" w:eastAsia="zh-CN"/>
              </w:rPr>
              <w:t>1.5</w:t>
            </w:r>
            <w:r>
              <w:rPr>
                <w:rFonts w:hint="eastAsia"/>
                <w:color w:val="auto"/>
                <w:sz w:val="24"/>
              </w:rPr>
              <w:t>t/a，</w:t>
            </w:r>
            <w:r>
              <w:rPr>
                <w:rFonts w:hint="eastAsia"/>
                <w:color w:val="auto"/>
                <w:sz w:val="24"/>
                <w:lang w:eastAsia="zh-CN"/>
              </w:rPr>
              <w:t>产生</w:t>
            </w:r>
            <w:r>
              <w:rPr>
                <w:rFonts w:hint="eastAsia"/>
                <w:color w:val="auto"/>
                <w:sz w:val="24"/>
              </w:rPr>
              <w:t>速率为</w:t>
            </w:r>
            <w:r>
              <w:rPr>
                <w:rFonts w:hint="eastAsia"/>
                <w:color w:val="auto"/>
                <w:sz w:val="24"/>
                <w:lang w:val="en-US" w:eastAsia="zh-CN"/>
              </w:rPr>
              <w:t>0.2232</w:t>
            </w:r>
            <w:r>
              <w:rPr>
                <w:rFonts w:hint="eastAsia"/>
                <w:color w:val="auto"/>
                <w:sz w:val="24"/>
              </w:rPr>
              <w:t>kg/h。</w:t>
            </w:r>
          </w:p>
          <w:p w14:paraId="0A5A6BF4">
            <w:pPr>
              <w:adjustRightInd w:val="0"/>
              <w:snapToGrid w:val="0"/>
              <w:spacing w:line="360" w:lineRule="auto"/>
              <w:ind w:firstLine="480" w:firstLineChars="200"/>
              <w:rPr>
                <w:rFonts w:hint="eastAsia"/>
                <w:b/>
                <w:bCs/>
                <w:color w:val="auto"/>
                <w:sz w:val="24"/>
                <w:szCs w:val="24"/>
              </w:rPr>
            </w:pPr>
            <w:r>
              <w:rPr>
                <w:rFonts w:hint="eastAsia"/>
                <w:color w:val="auto"/>
                <w:sz w:val="24"/>
              </w:rPr>
              <w:t>项目</w:t>
            </w:r>
            <w:r>
              <w:rPr>
                <w:rFonts w:hint="eastAsia"/>
                <w:color w:val="auto"/>
                <w:sz w:val="24"/>
                <w:lang w:eastAsia="zh-CN"/>
              </w:rPr>
              <w:t>破碎站设置在全封闭式厂房内</w:t>
            </w:r>
            <w:r>
              <w:rPr>
                <w:rFonts w:hint="eastAsia"/>
                <w:color w:val="auto"/>
                <w:sz w:val="24"/>
              </w:rPr>
              <w:t>，粉尘经阻隔后，大部分在</w:t>
            </w:r>
            <w:r>
              <w:rPr>
                <w:rFonts w:hint="eastAsia"/>
                <w:color w:val="auto"/>
                <w:sz w:val="24"/>
                <w:lang w:eastAsia="zh-CN"/>
              </w:rPr>
              <w:t>厂房内</w:t>
            </w:r>
            <w:r>
              <w:rPr>
                <w:rFonts w:hint="eastAsia"/>
                <w:color w:val="auto"/>
                <w:sz w:val="24"/>
              </w:rPr>
              <w:t>沉降，少部分</w:t>
            </w:r>
            <w:r>
              <w:rPr>
                <w:rFonts w:hint="eastAsia"/>
                <w:color w:val="auto"/>
                <w:sz w:val="24"/>
                <w:lang w:eastAsia="zh-CN"/>
              </w:rPr>
              <w:t>溢出，</w:t>
            </w:r>
            <w:r>
              <w:rPr>
                <w:rFonts w:hint="eastAsia"/>
                <w:color w:val="auto"/>
                <w:sz w:val="24"/>
              </w:rPr>
              <w:t>阻隔降尘效率约</w:t>
            </w:r>
            <w:r>
              <w:rPr>
                <w:rFonts w:hint="eastAsia"/>
                <w:color w:val="auto"/>
                <w:sz w:val="24"/>
                <w:lang w:val="en-US" w:eastAsia="zh-CN"/>
              </w:rPr>
              <w:t>8</w:t>
            </w:r>
            <w:r>
              <w:rPr>
                <w:rFonts w:hint="eastAsia"/>
                <w:color w:val="auto"/>
                <w:sz w:val="24"/>
              </w:rPr>
              <w:t>0%，则无组织粉尘排放量为</w:t>
            </w:r>
            <w:r>
              <w:rPr>
                <w:rFonts w:hint="eastAsia"/>
                <w:color w:val="auto"/>
                <w:sz w:val="24"/>
                <w:lang w:val="en-US" w:eastAsia="zh-CN"/>
              </w:rPr>
              <w:t>0.3</w:t>
            </w:r>
            <w:r>
              <w:rPr>
                <w:rFonts w:hint="eastAsia"/>
                <w:color w:val="auto"/>
                <w:sz w:val="24"/>
              </w:rPr>
              <w:t>t/a，排放速率为</w:t>
            </w:r>
            <w:r>
              <w:rPr>
                <w:rFonts w:hint="eastAsia"/>
                <w:color w:val="auto"/>
                <w:sz w:val="24"/>
                <w:lang w:val="en-US" w:eastAsia="zh-CN"/>
              </w:rPr>
              <w:t>0.0446</w:t>
            </w:r>
            <w:r>
              <w:rPr>
                <w:rFonts w:hint="eastAsia"/>
                <w:color w:val="auto"/>
                <w:sz w:val="24"/>
              </w:rPr>
              <w:t>kg/h。</w:t>
            </w:r>
          </w:p>
          <w:p w14:paraId="6EFD7E58">
            <w:pPr>
              <w:adjustRightInd w:val="0"/>
              <w:snapToGrid w:val="0"/>
              <w:spacing w:line="360" w:lineRule="auto"/>
              <w:ind w:firstLine="480" w:firstLineChars="200"/>
              <w:rPr>
                <w:rFonts w:hint="default" w:ascii="Times New Roman" w:hAnsi="Times New Roman" w:eastAsia="宋体" w:cs="Times New Roman"/>
                <w:b/>
                <w:bCs/>
                <w:color w:val="auto"/>
                <w:sz w:val="21"/>
                <w:szCs w:val="21"/>
                <w:highlight w:val="none"/>
                <w:lang w:val="en-US" w:eastAsia="zh-CN"/>
              </w:rPr>
            </w:pPr>
            <w:r>
              <w:rPr>
                <w:rFonts w:hint="eastAsia"/>
                <w:color w:val="auto"/>
                <w:sz w:val="24"/>
                <w:lang w:val="en-US" w:eastAsia="zh-CN"/>
              </w:rPr>
              <w:t>DA002排气筒颗粒物排放浓度</w:t>
            </w:r>
            <w:r>
              <w:rPr>
                <w:color w:val="auto"/>
                <w:sz w:val="24"/>
              </w:rPr>
              <w:t>满足</w:t>
            </w:r>
            <w:r>
              <w:rPr>
                <w:rFonts w:hint="default" w:ascii="Times New Roman" w:hAnsi="Times New Roman" w:cs="Times New Roman"/>
                <w:color w:val="auto"/>
                <w:sz w:val="24"/>
                <w:szCs w:val="24"/>
                <w:shd w:val="clear" w:color="auto" w:fill="auto"/>
                <w:lang w:val="zh-CN" w:eastAsia="zh-CN"/>
              </w:rPr>
              <w:t>《大气污染物综合排放标准》（GB16297-1996）表2中二级标准</w:t>
            </w:r>
            <w:r>
              <w:rPr>
                <w:color w:val="auto"/>
                <w:sz w:val="24"/>
              </w:rPr>
              <w:t>要求（</w:t>
            </w:r>
            <w:r>
              <w:rPr>
                <w:rFonts w:hint="eastAsia"/>
                <w:color w:val="auto"/>
                <w:sz w:val="24"/>
              </w:rPr>
              <w:t>颗粒物</w:t>
            </w:r>
            <w:r>
              <w:rPr>
                <w:color w:val="auto"/>
                <w:sz w:val="24"/>
              </w:rPr>
              <w:t>≤</w:t>
            </w:r>
            <w:r>
              <w:rPr>
                <w:rFonts w:hint="eastAsia"/>
                <w:color w:val="auto"/>
                <w:sz w:val="24"/>
                <w:lang w:val="en-US" w:eastAsia="zh-CN"/>
              </w:rPr>
              <w:t>120</w:t>
            </w:r>
            <w:r>
              <w:rPr>
                <w:color w:val="auto"/>
                <w:sz w:val="24"/>
              </w:rPr>
              <w:t>mg/m</w:t>
            </w:r>
            <w:r>
              <w:rPr>
                <w:color w:val="auto"/>
                <w:sz w:val="24"/>
                <w:vertAlign w:val="superscript"/>
              </w:rPr>
              <w:t>3</w:t>
            </w:r>
            <w:r>
              <w:rPr>
                <w:color w:val="auto"/>
                <w:sz w:val="24"/>
              </w:rPr>
              <w:t>）。</w:t>
            </w:r>
          </w:p>
          <w:p w14:paraId="746DF4E5">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项目运营</w:t>
            </w:r>
            <w:r>
              <w:rPr>
                <w:rFonts w:hint="default" w:ascii="Times New Roman" w:hAnsi="Times New Roman" w:cs="Times New Roman"/>
                <w:b/>
                <w:bCs/>
                <w:color w:val="auto"/>
                <w:sz w:val="21"/>
                <w:szCs w:val="21"/>
                <w:highlight w:val="none"/>
                <w:lang w:val="en-US" w:eastAsia="zh-CN"/>
              </w:rPr>
              <w:t>期</w:t>
            </w:r>
            <w:r>
              <w:rPr>
                <w:rFonts w:hint="eastAsia" w:ascii="Times New Roman" w:hAnsi="Times New Roman" w:cs="Times New Roman"/>
                <w:b/>
                <w:bCs/>
                <w:color w:val="auto"/>
                <w:sz w:val="21"/>
                <w:szCs w:val="21"/>
                <w:highlight w:val="none"/>
                <w:lang w:val="en-US" w:eastAsia="zh-CN"/>
              </w:rPr>
              <w:t>破碎粉尘废气</w:t>
            </w:r>
            <w:r>
              <w:rPr>
                <w:rFonts w:hint="default" w:ascii="Times New Roman" w:hAnsi="Times New Roman" w:eastAsia="宋体" w:cs="Times New Roman"/>
                <w:b/>
                <w:bCs/>
                <w:color w:val="auto"/>
                <w:sz w:val="21"/>
                <w:szCs w:val="21"/>
                <w:highlight w:val="none"/>
                <w:lang w:val="en-US" w:eastAsia="zh-CN"/>
              </w:rPr>
              <w:t>排放源一览表</w:t>
            </w:r>
          </w:p>
          <w:tbl>
            <w:tblPr>
              <w:tblStyle w:val="28"/>
              <w:tblW w:w="8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386"/>
              <w:gridCol w:w="2592"/>
              <w:gridCol w:w="2607"/>
              <w:gridCol w:w="135"/>
              <w:gridCol w:w="1788"/>
            </w:tblGrid>
            <w:tr w14:paraId="65DC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33" w:type="dxa"/>
                  <w:gridSpan w:val="3"/>
                  <w:vAlign w:val="center"/>
                </w:tcPr>
                <w:p w14:paraId="140ADA2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4530" w:type="dxa"/>
                  <w:gridSpan w:val="3"/>
                  <w:vAlign w:val="center"/>
                </w:tcPr>
                <w:p w14:paraId="7268B60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破碎粉尘</w:t>
                  </w:r>
                </w:p>
              </w:tc>
            </w:tr>
            <w:tr w14:paraId="0959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33" w:type="dxa"/>
                  <w:gridSpan w:val="3"/>
                  <w:vAlign w:val="center"/>
                </w:tcPr>
                <w:p w14:paraId="0053180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4530" w:type="dxa"/>
                  <w:gridSpan w:val="3"/>
                  <w:vAlign w:val="center"/>
                </w:tcPr>
                <w:p w14:paraId="1D21208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r>
            <w:tr w14:paraId="6994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33" w:type="dxa"/>
                  <w:gridSpan w:val="3"/>
                  <w:vAlign w:val="center"/>
                </w:tcPr>
                <w:p w14:paraId="73DB1E1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2607" w:type="dxa"/>
                  <w:vAlign w:val="center"/>
                </w:tcPr>
                <w:p w14:paraId="1A6BF68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8.5</w:t>
                  </w:r>
                </w:p>
              </w:tc>
              <w:tc>
                <w:tcPr>
                  <w:tcW w:w="1923" w:type="dxa"/>
                  <w:gridSpan w:val="2"/>
                  <w:vAlign w:val="center"/>
                </w:tcPr>
                <w:p w14:paraId="715071C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1.5</w:t>
                  </w:r>
                </w:p>
              </w:tc>
            </w:tr>
            <w:tr w14:paraId="1F21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gridSpan w:val="3"/>
                  <w:vAlign w:val="center"/>
                </w:tcPr>
                <w:p w14:paraId="1AF977F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2607" w:type="dxa"/>
                  <w:vAlign w:val="center"/>
                </w:tcPr>
                <w:p w14:paraId="1DE3C23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171.21</w:t>
                  </w:r>
                </w:p>
              </w:tc>
              <w:tc>
                <w:tcPr>
                  <w:tcW w:w="1923" w:type="dxa"/>
                  <w:gridSpan w:val="2"/>
                  <w:vAlign w:val="center"/>
                </w:tcPr>
                <w:p w14:paraId="0DA436F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2147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gridSpan w:val="3"/>
                  <w:vAlign w:val="center"/>
                </w:tcPr>
                <w:p w14:paraId="5BB38E5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2607" w:type="dxa"/>
                  <w:vAlign w:val="center"/>
                </w:tcPr>
                <w:p w14:paraId="05B93A0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923" w:type="dxa"/>
                  <w:gridSpan w:val="2"/>
                  <w:vAlign w:val="center"/>
                </w:tcPr>
                <w:p w14:paraId="0BD4178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r>
            <w:tr w14:paraId="7DD4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955" w:type="dxa"/>
                  <w:vMerge w:val="restart"/>
                  <w:vAlign w:val="center"/>
                </w:tcPr>
                <w:p w14:paraId="15B78B2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2978" w:type="dxa"/>
                  <w:gridSpan w:val="2"/>
                  <w:vAlign w:val="center"/>
                </w:tcPr>
                <w:p w14:paraId="6B838FF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2607" w:type="dxa"/>
                  <w:vAlign w:val="center"/>
                </w:tcPr>
                <w:p w14:paraId="417F30D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7388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923" w:type="dxa"/>
                  <w:gridSpan w:val="2"/>
                  <w:vAlign w:val="center"/>
                </w:tcPr>
                <w:p w14:paraId="6E5BD21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288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666CB3A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2A8EED1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2607" w:type="dxa"/>
                  <w:vAlign w:val="center"/>
                </w:tcPr>
                <w:p w14:paraId="44EB7CC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r>
                    <w:rPr>
                      <w:rFonts w:hint="eastAsia" w:cs="Times New Roman"/>
                      <w:b w:val="0"/>
                      <w:bCs/>
                      <w:color w:val="auto"/>
                      <w:spacing w:val="-10"/>
                      <w:sz w:val="21"/>
                      <w:szCs w:val="21"/>
                      <w:highlight w:val="none"/>
                      <w:vertAlign w:val="baseline"/>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923" w:type="dxa"/>
                  <w:gridSpan w:val="2"/>
                  <w:vAlign w:val="center"/>
                </w:tcPr>
                <w:p w14:paraId="206BD30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6FB5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2914C04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22F7EE4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2607" w:type="dxa"/>
                  <w:vAlign w:val="center"/>
                </w:tcPr>
                <w:p w14:paraId="05D93FE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p>
              </w:tc>
              <w:tc>
                <w:tcPr>
                  <w:tcW w:w="1923" w:type="dxa"/>
                  <w:gridSpan w:val="2"/>
                  <w:vAlign w:val="center"/>
                </w:tcPr>
                <w:p w14:paraId="1756D19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厂房阻隔、自然沉降</w:t>
                  </w:r>
                </w:p>
              </w:tc>
            </w:tr>
            <w:tr w14:paraId="3581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955" w:type="dxa"/>
                  <w:vMerge w:val="continue"/>
                  <w:vAlign w:val="center"/>
                </w:tcPr>
                <w:p w14:paraId="3BA0A64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3EEFA7A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2607" w:type="dxa"/>
                  <w:vAlign w:val="center"/>
                </w:tcPr>
                <w:p w14:paraId="587B1DB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923" w:type="dxa"/>
                  <w:gridSpan w:val="2"/>
                  <w:vAlign w:val="center"/>
                </w:tcPr>
                <w:p w14:paraId="55D7231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w:t>
                  </w:r>
                  <w:r>
                    <w:rPr>
                      <w:rFonts w:hint="default" w:ascii="Times New Roman" w:hAnsi="Times New Roman" w:eastAsia="宋体" w:cs="Times New Roman"/>
                      <w:b w:val="0"/>
                      <w:bCs/>
                      <w:color w:val="auto"/>
                      <w:spacing w:val="-10"/>
                      <w:sz w:val="21"/>
                      <w:szCs w:val="21"/>
                      <w:highlight w:val="none"/>
                      <w:vertAlign w:val="baseline"/>
                      <w:lang w:val="en-US" w:eastAsia="zh-CN"/>
                    </w:rPr>
                    <w:t>0%</w:t>
                  </w:r>
                </w:p>
              </w:tc>
            </w:tr>
            <w:tr w14:paraId="40DE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5359769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12CEA0B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2607" w:type="dxa"/>
                  <w:vAlign w:val="center"/>
                </w:tcPr>
                <w:p w14:paraId="76E2453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923" w:type="dxa"/>
                  <w:gridSpan w:val="2"/>
                  <w:vAlign w:val="center"/>
                </w:tcPr>
                <w:p w14:paraId="6B2BF89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6E1A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gridSpan w:val="3"/>
                  <w:vAlign w:val="center"/>
                </w:tcPr>
                <w:p w14:paraId="64E684D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2607" w:type="dxa"/>
                  <w:vAlign w:val="center"/>
                </w:tcPr>
                <w:p w14:paraId="6BBBA69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0.69</w:t>
                  </w:r>
                </w:p>
              </w:tc>
              <w:tc>
                <w:tcPr>
                  <w:tcW w:w="1923" w:type="dxa"/>
                  <w:gridSpan w:val="2"/>
                  <w:vAlign w:val="center"/>
                </w:tcPr>
                <w:p w14:paraId="7792B26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45EE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933" w:type="dxa"/>
                  <w:gridSpan w:val="3"/>
                  <w:vAlign w:val="center"/>
                </w:tcPr>
                <w:p w14:paraId="0FE381E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2607" w:type="dxa"/>
                  <w:vAlign w:val="center"/>
                </w:tcPr>
                <w:p w14:paraId="58D75E1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w:t>
                  </w:r>
                  <w:r>
                    <w:rPr>
                      <w:rFonts w:hint="eastAsia" w:cs="Times New Roman"/>
                      <w:b w:val="0"/>
                      <w:bCs/>
                      <w:color w:val="auto"/>
                      <w:spacing w:val="-10"/>
                      <w:sz w:val="21"/>
                      <w:szCs w:val="21"/>
                      <w:highlight w:val="none"/>
                      <w:vertAlign w:val="baseline"/>
                      <w:lang w:val="en-US" w:eastAsia="zh-CN"/>
                    </w:rPr>
                    <w:t>051</w:t>
                  </w:r>
                </w:p>
              </w:tc>
              <w:tc>
                <w:tcPr>
                  <w:tcW w:w="1923" w:type="dxa"/>
                  <w:gridSpan w:val="2"/>
                  <w:vAlign w:val="center"/>
                </w:tcPr>
                <w:p w14:paraId="20C043D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0.0446</w:t>
                  </w:r>
                </w:p>
              </w:tc>
            </w:tr>
            <w:tr w14:paraId="101D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gridSpan w:val="3"/>
                  <w:vAlign w:val="center"/>
                </w:tcPr>
                <w:p w14:paraId="31BFDF6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2607" w:type="dxa"/>
                  <w:vAlign w:val="center"/>
                </w:tcPr>
                <w:p w14:paraId="224249C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034</w:t>
                  </w:r>
                </w:p>
              </w:tc>
              <w:tc>
                <w:tcPr>
                  <w:tcW w:w="1923" w:type="dxa"/>
                  <w:gridSpan w:val="2"/>
                  <w:vAlign w:val="center"/>
                </w:tcPr>
                <w:p w14:paraId="091E6A7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0.3</w:t>
                  </w:r>
                </w:p>
              </w:tc>
            </w:tr>
            <w:tr w14:paraId="4324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restart"/>
                  <w:vAlign w:val="center"/>
                </w:tcPr>
                <w:p w14:paraId="3EBAC94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2978" w:type="dxa"/>
                  <w:gridSpan w:val="2"/>
                  <w:vAlign w:val="center"/>
                </w:tcPr>
                <w:p w14:paraId="35C7FAA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2607" w:type="dxa"/>
                  <w:vAlign w:val="center"/>
                </w:tcPr>
                <w:p w14:paraId="7DACD4D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w:t>
                  </w:r>
                  <w:r>
                    <w:rPr>
                      <w:rFonts w:hint="eastAsia" w:cs="Times New Roman"/>
                      <w:b w:val="0"/>
                      <w:bCs/>
                      <w:color w:val="auto"/>
                      <w:spacing w:val="-10"/>
                      <w:sz w:val="21"/>
                      <w:szCs w:val="21"/>
                      <w:highlight w:val="none"/>
                      <w:vertAlign w:val="baseline"/>
                      <w:lang w:val="en-US" w:eastAsia="zh-CN"/>
                    </w:rPr>
                    <w:t>5.5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923" w:type="dxa"/>
                  <w:gridSpan w:val="2"/>
                  <w:vAlign w:val="center"/>
                </w:tcPr>
                <w:p w14:paraId="47A0BB7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01BD8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4AE1D70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43B1BD2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2607" w:type="dxa"/>
                  <w:vAlign w:val="center"/>
                </w:tcPr>
                <w:p w14:paraId="58D26EA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45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923" w:type="dxa"/>
                  <w:gridSpan w:val="2"/>
                  <w:vAlign w:val="center"/>
                </w:tcPr>
                <w:p w14:paraId="0DCFC95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057D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4F9F22F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029167A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2607" w:type="dxa"/>
                  <w:vAlign w:val="center"/>
                </w:tcPr>
                <w:p w14:paraId="17F599D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1923" w:type="dxa"/>
                  <w:gridSpan w:val="2"/>
                  <w:vAlign w:val="center"/>
                </w:tcPr>
                <w:p w14:paraId="227E359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4AB4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7974F44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23B4580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2607" w:type="dxa"/>
                  <w:vAlign w:val="center"/>
                </w:tcPr>
                <w:p w14:paraId="4C072D2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w:t>
                  </w:r>
                  <w:r>
                    <w:rPr>
                      <w:rFonts w:hint="eastAsia" w:cs="Times New Roman"/>
                      <w:b w:val="0"/>
                      <w:bCs/>
                      <w:color w:val="auto"/>
                      <w:spacing w:val="-10"/>
                      <w:sz w:val="21"/>
                      <w:szCs w:val="21"/>
                      <w:highlight w:val="none"/>
                      <w:vertAlign w:val="baseline"/>
                      <w:lang w:val="en-US" w:eastAsia="zh-CN"/>
                    </w:rPr>
                    <w:t>002</w:t>
                  </w:r>
                </w:p>
              </w:tc>
              <w:tc>
                <w:tcPr>
                  <w:tcW w:w="1923" w:type="dxa"/>
                  <w:gridSpan w:val="2"/>
                  <w:vAlign w:val="center"/>
                </w:tcPr>
                <w:p w14:paraId="4FBCFCB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5F41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10B7C89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7DDE981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2607" w:type="dxa"/>
                  <w:vAlign w:val="center"/>
                </w:tcPr>
                <w:p w14:paraId="3E50F59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923" w:type="dxa"/>
                  <w:gridSpan w:val="2"/>
                  <w:vAlign w:val="center"/>
                </w:tcPr>
                <w:p w14:paraId="67656A8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3F08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5" w:type="dxa"/>
                  <w:vMerge w:val="continue"/>
                  <w:vAlign w:val="center"/>
                </w:tcPr>
                <w:p w14:paraId="79B5DD1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6B2BAA1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4530" w:type="dxa"/>
                  <w:gridSpan w:val="3"/>
                  <w:vAlign w:val="center"/>
                </w:tcPr>
                <w:p w14:paraId="7D26806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DA002：</w:t>
                  </w:r>
                  <w:r>
                    <w:rPr>
                      <w:rFonts w:hint="default" w:ascii="Times New Roman" w:hAnsi="Times New Roman" w:eastAsia="宋体" w:cs="Times New Roman"/>
                      <w:b w:val="0"/>
                      <w:bCs/>
                      <w:color w:val="auto"/>
                      <w:spacing w:val="-10"/>
                      <w:sz w:val="21"/>
                      <w:szCs w:val="21"/>
                      <w:highlight w:val="none"/>
                      <w:vertAlign w:val="baseline"/>
                      <w:lang w:val="en-US" w:eastAsia="zh-CN"/>
                    </w:rPr>
                    <w:t>E：103°11′42.921″，N：25°33′42.633″</w:t>
                  </w:r>
                </w:p>
              </w:tc>
            </w:tr>
            <w:tr w14:paraId="57B0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gridSpan w:val="3"/>
                  <w:vAlign w:val="center"/>
                </w:tcPr>
                <w:p w14:paraId="7178278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4530" w:type="dxa"/>
                  <w:gridSpan w:val="3"/>
                  <w:vAlign w:val="center"/>
                </w:tcPr>
                <w:p w14:paraId="08478B55">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shd w:val="clear" w:color="auto" w:fill="auto"/>
                      <w:lang w:val="zh-CN" w:eastAsia="zh-CN"/>
                    </w:rPr>
                    <w:t>执行</w:t>
                  </w:r>
                  <w:r>
                    <w:rPr>
                      <w:rFonts w:hint="default" w:ascii="Times New Roman" w:hAnsi="Times New Roman" w:cs="Times New Roman"/>
                      <w:color w:val="auto"/>
                      <w:sz w:val="21"/>
                      <w:szCs w:val="21"/>
                      <w:shd w:val="clear" w:color="auto" w:fill="auto"/>
                      <w:lang w:val="zh-CN" w:eastAsia="zh-CN"/>
                    </w:rPr>
                    <w:t>《大气污染物综合排放标准》（GB16297-1996）表2中二级标准</w:t>
                  </w:r>
                  <w:r>
                    <w:rPr>
                      <w:color w:val="auto"/>
                      <w:sz w:val="21"/>
                      <w:szCs w:val="21"/>
                    </w:rPr>
                    <w:t>要求</w:t>
                  </w:r>
                  <w:r>
                    <w:rPr>
                      <w:rFonts w:hint="eastAsia"/>
                      <w:color w:val="auto"/>
                      <w:sz w:val="21"/>
                      <w:szCs w:val="21"/>
                      <w:lang w:eastAsia="zh-CN"/>
                    </w:rPr>
                    <w:t>。</w:t>
                  </w:r>
                </w:p>
              </w:tc>
            </w:tr>
            <w:tr w14:paraId="41A5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gridSpan w:val="2"/>
                  <w:vMerge w:val="restart"/>
                  <w:vAlign w:val="center"/>
                </w:tcPr>
                <w:p w14:paraId="355AEB8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2592" w:type="dxa"/>
                  <w:vAlign w:val="center"/>
                </w:tcPr>
                <w:p w14:paraId="0585378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2742" w:type="dxa"/>
                  <w:gridSpan w:val="2"/>
                  <w:vAlign w:val="center"/>
                </w:tcPr>
                <w:p w14:paraId="10E6F8D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w:t>
                  </w:r>
                  <w:r>
                    <w:rPr>
                      <w:rFonts w:hint="eastAsia" w:cs="Times New Roman"/>
                      <w:b w:val="0"/>
                      <w:bCs w:val="0"/>
                      <w:color w:val="auto"/>
                      <w:spacing w:val="-10"/>
                      <w:sz w:val="21"/>
                      <w:szCs w:val="21"/>
                      <w:highlight w:val="none"/>
                      <w:vertAlign w:val="baseline"/>
                      <w:lang w:val="en-US" w:eastAsia="zh-CN"/>
                    </w:rPr>
                    <w:t>2</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c>
                <w:tcPr>
                  <w:tcW w:w="1788" w:type="dxa"/>
                  <w:vAlign w:val="center"/>
                </w:tcPr>
                <w:p w14:paraId="61B6251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r>
            <w:tr w14:paraId="18AA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gridSpan w:val="2"/>
                  <w:vMerge w:val="continue"/>
                  <w:vAlign w:val="center"/>
                </w:tcPr>
                <w:p w14:paraId="150C59C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592" w:type="dxa"/>
                  <w:vAlign w:val="center"/>
                </w:tcPr>
                <w:p w14:paraId="49A00BB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4530" w:type="dxa"/>
                  <w:gridSpan w:val="3"/>
                  <w:vAlign w:val="center"/>
                </w:tcPr>
                <w:p w14:paraId="2C223BE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r>
            <w:tr w14:paraId="12150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gridSpan w:val="2"/>
                  <w:vMerge w:val="continue"/>
                  <w:vAlign w:val="center"/>
                </w:tcPr>
                <w:p w14:paraId="53E4FFB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592" w:type="dxa"/>
                  <w:vAlign w:val="center"/>
                </w:tcPr>
                <w:p w14:paraId="1C04570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2742" w:type="dxa"/>
                  <w:gridSpan w:val="2"/>
                  <w:vAlign w:val="center"/>
                </w:tcPr>
                <w:p w14:paraId="33D94C5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c>
                <w:tcPr>
                  <w:tcW w:w="1788" w:type="dxa"/>
                  <w:vAlign w:val="center"/>
                </w:tcPr>
                <w:p w14:paraId="0E3A07B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r>
          </w:tbl>
          <w:p w14:paraId="794A39DB">
            <w:pPr>
              <w:pStyle w:val="82"/>
              <w:keepNext w:val="0"/>
              <w:keepLines w:val="0"/>
              <w:pageBreakBefore w:val="0"/>
              <w:kinsoku/>
              <w:wordWrap/>
              <w:overflowPunct/>
              <w:topLinePunct w:val="0"/>
              <w:autoSpaceDE w:val="0"/>
              <w:autoSpaceDN w:val="0"/>
              <w:bidi w:val="0"/>
              <w:adjustRightInd/>
              <w:spacing w:before="0" w:after="0" w:line="360" w:lineRule="auto"/>
              <w:ind w:right="0" w:firstLine="506"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pacing w:val="6"/>
                <w:kern w:val="2"/>
                <w:sz w:val="24"/>
                <w:szCs w:val="24"/>
                <w:highlight w:val="none"/>
                <w:lang w:val="en-US" w:eastAsia="zh-CN" w:bidi="ar-SA"/>
              </w:rPr>
              <w:t>④</w:t>
            </w:r>
            <w:r>
              <w:rPr>
                <w:rFonts w:hint="eastAsia" w:cs="Times New Roman"/>
                <w:b/>
                <w:bCs/>
                <w:color w:val="auto"/>
                <w:sz w:val="24"/>
                <w:szCs w:val="24"/>
                <w:highlight w:val="none"/>
                <w:lang w:val="en-US" w:eastAsia="zh-CN"/>
              </w:rPr>
              <w:t>原料</w:t>
            </w:r>
            <w:r>
              <w:rPr>
                <w:rFonts w:hint="eastAsia" w:ascii="Times New Roman" w:hAnsi="Times New Roman" w:eastAsia="宋体" w:cs="Times New Roman"/>
                <w:b/>
                <w:bCs/>
                <w:color w:val="auto"/>
                <w:sz w:val="24"/>
                <w:szCs w:val="24"/>
                <w:highlight w:val="none"/>
                <w:lang w:val="en-US" w:eastAsia="zh-CN"/>
              </w:rPr>
              <w:t>转载点落料粉尘</w:t>
            </w:r>
          </w:p>
          <w:p w14:paraId="29342CC3">
            <w:pPr>
              <w:adjustRightInd w:val="0"/>
              <w:snapToGrid w:val="0"/>
              <w:spacing w:line="360" w:lineRule="auto"/>
              <w:ind w:firstLine="480" w:firstLineChars="200"/>
              <w:rPr>
                <w:rFonts w:hint="eastAsia"/>
                <w:color w:val="auto"/>
                <w:sz w:val="24"/>
                <w:lang w:eastAsia="zh-CN"/>
              </w:rPr>
            </w:pPr>
            <w:r>
              <w:rPr>
                <w:rFonts w:hint="eastAsia"/>
                <w:color w:val="auto"/>
                <w:sz w:val="24"/>
              </w:rPr>
              <w:t>项目原煤从</w:t>
            </w:r>
            <w:r>
              <w:rPr>
                <w:rFonts w:hint="eastAsia"/>
                <w:color w:val="auto"/>
                <w:sz w:val="24"/>
                <w:lang w:eastAsia="zh-CN"/>
              </w:rPr>
              <w:t>堆场</w:t>
            </w:r>
            <w:r>
              <w:rPr>
                <w:rFonts w:hint="eastAsia"/>
                <w:color w:val="auto"/>
                <w:sz w:val="24"/>
              </w:rPr>
              <w:t>储存均化堆场输送至工程</w:t>
            </w:r>
            <w:r>
              <w:rPr>
                <w:rFonts w:hint="eastAsia"/>
                <w:color w:val="auto"/>
                <w:sz w:val="24"/>
                <w:lang w:eastAsia="zh-CN"/>
              </w:rPr>
              <w:t>烘干</w:t>
            </w:r>
            <w:r>
              <w:rPr>
                <w:rFonts w:hint="eastAsia"/>
                <w:color w:val="auto"/>
                <w:sz w:val="24"/>
              </w:rPr>
              <w:t>生产线的过程中，需经</w:t>
            </w:r>
            <w:r>
              <w:rPr>
                <w:rFonts w:hint="eastAsia"/>
                <w:color w:val="auto"/>
                <w:sz w:val="24"/>
                <w:lang w:eastAsia="zh-CN"/>
              </w:rPr>
              <w:t>一</w:t>
            </w:r>
            <w:r>
              <w:rPr>
                <w:rFonts w:hint="eastAsia"/>
                <w:color w:val="auto"/>
                <w:sz w:val="24"/>
              </w:rPr>
              <w:t>次转载</w:t>
            </w:r>
            <w:r>
              <w:rPr>
                <w:rFonts w:hint="eastAsia"/>
                <w:color w:val="auto"/>
                <w:sz w:val="24"/>
                <w:lang w:eastAsia="zh-CN"/>
              </w:rPr>
              <w:t>。</w:t>
            </w:r>
            <w:r>
              <w:rPr>
                <w:rFonts w:hint="eastAsia"/>
                <w:color w:val="auto"/>
                <w:sz w:val="24"/>
              </w:rPr>
              <w:t>转载站内原煤落料将产生一定扬尘</w:t>
            </w:r>
            <w:r>
              <w:rPr>
                <w:rFonts w:hint="eastAsia"/>
                <w:color w:val="auto"/>
                <w:sz w:val="24"/>
                <w:lang w:eastAsia="zh-CN"/>
              </w:rPr>
              <w:t>，</w:t>
            </w:r>
            <w:r>
              <w:rPr>
                <w:rFonts w:hint="eastAsia"/>
                <w:color w:val="auto"/>
                <w:sz w:val="24"/>
              </w:rPr>
              <w:t>转载站内落煤高度约3m</w:t>
            </w:r>
            <w:r>
              <w:rPr>
                <w:rFonts w:hint="eastAsia"/>
                <w:color w:val="auto"/>
                <w:sz w:val="24"/>
                <w:lang w:eastAsia="zh-CN"/>
              </w:rPr>
              <w:t>。</w:t>
            </w:r>
          </w:p>
          <w:p w14:paraId="32932B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color w:val="auto"/>
                <w:sz w:val="24"/>
                <w:highlight w:val="none"/>
                <w:lang w:val="en-US"/>
              </w:rPr>
              <w:t>采用“秦皇岛港口煤炭装卸起尘及其扩散规律研究”得出的公式计算，计算公式如下：</w:t>
            </w:r>
          </w:p>
          <w:p w14:paraId="7BE16BB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Q=0.03V</w:t>
            </w:r>
            <w:r>
              <w:rPr>
                <w:rFonts w:hint="default" w:ascii="Times New Roman" w:hAnsi="Times New Roman" w:eastAsia="宋体" w:cs="Times New Roman"/>
                <w:b w:val="0"/>
                <w:bCs w:val="0"/>
                <w:color w:val="auto"/>
                <w:sz w:val="24"/>
                <w:highlight w:val="none"/>
                <w:vertAlign w:val="superscript"/>
                <w:lang w:val="en-US" w:eastAsia="zh-CN"/>
              </w:rPr>
              <w:t>1.8</w:t>
            </w:r>
            <w:r>
              <w:rPr>
                <w:rFonts w:hint="default" w:ascii="Times New Roman" w:hAnsi="Times New Roman" w:eastAsia="宋体" w:cs="Times New Roman"/>
                <w:b w:val="0"/>
                <w:bCs w:val="0"/>
                <w:color w:val="auto"/>
                <w:sz w:val="24"/>
                <w:highlight w:val="none"/>
                <w:vertAlign w:val="baseline"/>
                <w:lang w:val="en-US" w:eastAsia="zh-CN"/>
              </w:rPr>
              <w:t>·H</w:t>
            </w:r>
            <w:r>
              <w:rPr>
                <w:rFonts w:hint="default" w:ascii="Times New Roman" w:hAnsi="Times New Roman" w:eastAsia="宋体" w:cs="Times New Roman"/>
                <w:b w:val="0"/>
                <w:bCs w:val="0"/>
                <w:color w:val="auto"/>
                <w:sz w:val="24"/>
                <w:highlight w:val="none"/>
                <w:vertAlign w:val="superscript"/>
                <w:lang w:val="en-US" w:eastAsia="zh-CN"/>
              </w:rPr>
              <w:t>1.23</w:t>
            </w:r>
            <w:r>
              <w:rPr>
                <w:rFonts w:hint="default" w:ascii="Times New Roman" w:hAnsi="Times New Roman" w:eastAsia="宋体" w:cs="Times New Roman"/>
                <w:b w:val="0"/>
                <w:bCs w:val="0"/>
                <w:color w:val="auto"/>
                <w:sz w:val="24"/>
                <w:highlight w:val="none"/>
                <w:vertAlign w:val="baseline"/>
                <w:lang w:val="en-US" w:eastAsia="zh-CN"/>
              </w:rPr>
              <w:t>·e</w:t>
            </w:r>
            <w:r>
              <w:rPr>
                <w:rFonts w:hint="default" w:ascii="Times New Roman" w:hAnsi="Times New Roman" w:eastAsia="宋体" w:cs="Times New Roman"/>
                <w:b w:val="0"/>
                <w:bCs w:val="0"/>
                <w:color w:val="auto"/>
                <w:sz w:val="24"/>
                <w:highlight w:val="none"/>
                <w:vertAlign w:val="superscript"/>
                <w:lang w:val="en-US" w:eastAsia="zh-CN"/>
              </w:rPr>
              <w:t>-0.23w</w:t>
            </w:r>
          </w:p>
          <w:p w14:paraId="5B2E93C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式中：Q</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煤炭装卸起尘量，kg/t；</w:t>
            </w:r>
          </w:p>
          <w:p w14:paraId="5667F4E8">
            <w:pPr>
              <w:keepNext w:val="0"/>
              <w:keepLines w:val="0"/>
              <w:pageBreakBefore w:val="0"/>
              <w:widowControl w:val="0"/>
              <w:kinsoku/>
              <w:wordWrap/>
              <w:overflowPunct/>
              <w:topLinePunct w:val="0"/>
              <w:autoSpaceDE/>
              <w:autoSpaceDN/>
              <w:bidi w:val="0"/>
              <w:adjustRightInd w:val="0"/>
              <w:snapToGrid w:val="0"/>
              <w:spacing w:line="360" w:lineRule="auto"/>
              <w:ind w:firstLine="1262" w:firstLineChars="526"/>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V</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风速，m/s，取</w:t>
            </w:r>
            <w:r>
              <w:rPr>
                <w:rFonts w:hint="eastAsia" w:ascii="Times New Roman" w:hAnsi="Times New Roman" w:eastAsia="宋体" w:cs="Times New Roman"/>
                <w:color w:val="auto"/>
                <w:sz w:val="24"/>
                <w:highlight w:val="none"/>
                <w:lang w:val="en-US" w:eastAsia="zh-CN"/>
              </w:rPr>
              <w:t>0.5</w:t>
            </w:r>
            <w:r>
              <w:rPr>
                <w:rFonts w:hint="default" w:ascii="Times New Roman" w:hAnsi="Times New Roman" w:eastAsia="宋体" w:cs="Times New Roman"/>
                <w:color w:val="auto"/>
                <w:sz w:val="24"/>
                <w:highlight w:val="none"/>
                <w:lang w:val="en-US"/>
              </w:rPr>
              <w:t>m/s</w:t>
            </w:r>
            <w:r>
              <w:rPr>
                <w:rFonts w:hint="eastAsia"/>
                <w:color w:val="auto"/>
                <w:sz w:val="24"/>
              </w:rPr>
              <w:t>（</w:t>
            </w:r>
            <w:r>
              <w:rPr>
                <w:rFonts w:hint="eastAsia"/>
                <w:color w:val="auto"/>
                <w:sz w:val="24"/>
                <w:lang w:eastAsia="zh-CN"/>
              </w:rPr>
              <w:t>转载站</w:t>
            </w:r>
            <w:r>
              <w:rPr>
                <w:rFonts w:hint="eastAsia"/>
                <w:color w:val="auto"/>
                <w:sz w:val="24"/>
              </w:rPr>
              <w:t>封闭式设置，考虑扰动风速取0.5</w:t>
            </w:r>
            <w:r>
              <w:rPr>
                <w:color w:val="auto"/>
                <w:sz w:val="24"/>
              </w:rPr>
              <w:t>m/s</w:t>
            </w:r>
            <w:r>
              <w:rPr>
                <w:rFonts w:hint="eastAsia"/>
                <w:color w:val="auto"/>
                <w:sz w:val="24"/>
              </w:rPr>
              <w:t>）</w:t>
            </w:r>
            <w:r>
              <w:rPr>
                <w:rFonts w:hint="default" w:ascii="Times New Roman" w:hAnsi="Times New Roman" w:eastAsia="宋体" w:cs="Times New Roman"/>
                <w:color w:val="auto"/>
                <w:sz w:val="24"/>
                <w:highlight w:val="none"/>
                <w:lang w:val="en-US"/>
              </w:rPr>
              <w:t>；</w:t>
            </w:r>
          </w:p>
          <w:p w14:paraId="156FE5ED">
            <w:pPr>
              <w:keepNext w:val="0"/>
              <w:keepLines w:val="0"/>
              <w:pageBreakBefore w:val="0"/>
              <w:widowControl w:val="0"/>
              <w:kinsoku/>
              <w:wordWrap/>
              <w:overflowPunct/>
              <w:topLinePunct w:val="0"/>
              <w:autoSpaceDE/>
              <w:autoSpaceDN/>
              <w:bidi w:val="0"/>
              <w:adjustRightInd w:val="0"/>
              <w:snapToGrid w:val="0"/>
              <w:spacing w:line="360" w:lineRule="auto"/>
              <w:ind w:firstLine="1262" w:firstLineChars="526"/>
              <w:textAlignment w:val="auto"/>
              <w:outlineLvl w:val="9"/>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rPr>
              <w:t>W</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含水率，%，取</w:t>
            </w:r>
            <w:r>
              <w:rPr>
                <w:rFonts w:hint="eastAsia" w:eastAsia="宋体" w:cs="Times New Roman"/>
                <w:color w:val="auto"/>
                <w:sz w:val="24"/>
                <w:highlight w:val="none"/>
                <w:lang w:val="en-US" w:eastAsia="zh-CN"/>
              </w:rPr>
              <w:t>55</w:t>
            </w:r>
            <w:r>
              <w:rPr>
                <w:rFonts w:hint="default" w:ascii="Times New Roman" w:hAnsi="Times New Roman" w:eastAsia="宋体" w:cs="Times New Roman"/>
                <w:color w:val="auto"/>
                <w:sz w:val="24"/>
                <w:highlight w:val="none"/>
                <w:lang w:val="en-US"/>
              </w:rPr>
              <w:t>%</w:t>
            </w:r>
            <w:r>
              <w:rPr>
                <w:rFonts w:hint="eastAsia" w:eastAsia="宋体" w:cs="Times New Roman"/>
                <w:color w:val="auto"/>
                <w:sz w:val="24"/>
                <w:highlight w:val="none"/>
                <w:lang w:val="en-US" w:eastAsia="zh-CN"/>
              </w:rPr>
              <w:t>（本项目原煤含水率为55%-60%）</w:t>
            </w:r>
          </w:p>
          <w:p w14:paraId="35D616F2">
            <w:pPr>
              <w:keepNext w:val="0"/>
              <w:keepLines w:val="0"/>
              <w:pageBreakBefore w:val="0"/>
              <w:widowControl w:val="0"/>
              <w:kinsoku/>
              <w:wordWrap/>
              <w:overflowPunct/>
              <w:topLinePunct w:val="0"/>
              <w:autoSpaceDE/>
              <w:autoSpaceDN/>
              <w:bidi w:val="0"/>
              <w:adjustRightInd w:val="0"/>
              <w:snapToGrid w:val="0"/>
              <w:spacing w:line="360" w:lineRule="auto"/>
              <w:ind w:firstLine="1262" w:firstLineChars="526"/>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H</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装卸落差高度，</w:t>
            </w:r>
            <w:r>
              <w:rPr>
                <w:rFonts w:hint="default" w:ascii="Times New Roman" w:hAnsi="Times New Roman" w:eastAsia="宋体" w:cs="Times New Roman"/>
                <w:color w:val="auto"/>
                <w:sz w:val="24"/>
                <w:highlight w:val="none"/>
                <w:lang w:val="en-US" w:eastAsia="zh-CN"/>
              </w:rPr>
              <w:t>取</w:t>
            </w:r>
            <w:r>
              <w:rPr>
                <w:rFonts w:hint="eastAsia"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rPr>
              <w:t>m。</w:t>
            </w:r>
          </w:p>
          <w:p w14:paraId="064B47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eastAsia="宋体"/>
                <w:color w:val="auto"/>
                <w:sz w:val="24"/>
                <w:lang w:val="en-US" w:eastAsia="zh-CN"/>
              </w:rPr>
            </w:pPr>
            <w:r>
              <w:rPr>
                <w:rFonts w:hint="default" w:ascii="Times New Roman" w:hAnsi="Times New Roman" w:eastAsia="宋体" w:cs="Times New Roman"/>
                <w:color w:val="auto"/>
                <w:sz w:val="24"/>
                <w:highlight w:val="none"/>
                <w:lang w:val="en-US"/>
              </w:rPr>
              <w:t>根据公式计</w:t>
            </w:r>
            <w:r>
              <w:rPr>
                <w:rFonts w:hint="default" w:ascii="Times New Roman" w:hAnsi="Times New Roman" w:eastAsia="宋体" w:cs="Times New Roman"/>
                <w:color w:val="auto"/>
                <w:sz w:val="24"/>
                <w:szCs w:val="24"/>
                <w:highlight w:val="none"/>
                <w:lang w:val="en-US"/>
              </w:rPr>
              <w:t>算得本项目</w:t>
            </w:r>
            <w:r>
              <w:rPr>
                <w:rFonts w:hint="eastAsia" w:ascii="Times New Roman" w:hAnsi="Times New Roman" w:eastAsia="宋体" w:cs="Times New Roman"/>
                <w:color w:val="auto"/>
                <w:sz w:val="24"/>
                <w:szCs w:val="24"/>
                <w:highlight w:val="none"/>
                <w:lang w:val="en-US" w:eastAsia="zh-CN"/>
              </w:rPr>
              <w:t>转载点落料粉尘</w:t>
            </w:r>
            <w:r>
              <w:rPr>
                <w:rFonts w:hint="default" w:ascii="Times New Roman" w:hAnsi="Times New Roman" w:eastAsia="宋体" w:cs="Times New Roman"/>
                <w:color w:val="auto"/>
                <w:sz w:val="24"/>
                <w:szCs w:val="24"/>
                <w:highlight w:val="none"/>
                <w:lang w:val="en-US"/>
              </w:rPr>
              <w:t>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029</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t，</w:t>
            </w:r>
            <w:r>
              <w:rPr>
                <w:rFonts w:hint="eastAsia" w:cs="Times New Roman"/>
                <w:color w:val="auto"/>
                <w:sz w:val="24"/>
                <w:szCs w:val="24"/>
                <w:highlight w:val="none"/>
                <w:lang w:val="en-US" w:eastAsia="zh-CN"/>
              </w:rPr>
              <w:t>本项目</w:t>
            </w:r>
            <w:r>
              <w:rPr>
                <w:rFonts w:hint="eastAsia"/>
                <w:color w:val="auto"/>
                <w:sz w:val="24"/>
                <w:lang w:eastAsia="zh-CN"/>
              </w:rPr>
              <w:t>转</w:t>
            </w:r>
            <w:r>
              <w:rPr>
                <w:rFonts w:hint="eastAsia" w:cs="Times New Roman"/>
                <w:color w:val="auto"/>
                <w:sz w:val="24"/>
                <w:szCs w:val="24"/>
                <w:highlight w:val="none"/>
                <w:lang w:val="en-US" w:eastAsia="zh-CN"/>
              </w:rPr>
              <w:t>载原料量为100万t/a，</w:t>
            </w:r>
            <w:r>
              <w:rPr>
                <w:rFonts w:hint="eastAsia"/>
                <w:color w:val="auto"/>
                <w:sz w:val="24"/>
              </w:rPr>
              <w:t>则</w:t>
            </w:r>
            <w:r>
              <w:rPr>
                <w:rFonts w:hint="eastAsia"/>
                <w:color w:val="auto"/>
                <w:sz w:val="24"/>
                <w:lang w:eastAsia="zh-CN"/>
              </w:rPr>
              <w:t>原料</w:t>
            </w:r>
            <w:r>
              <w:rPr>
                <w:rFonts w:hint="eastAsia"/>
                <w:color w:val="auto"/>
                <w:sz w:val="24"/>
              </w:rPr>
              <w:t>转载</w:t>
            </w:r>
            <w:r>
              <w:rPr>
                <w:rFonts w:hint="eastAsia"/>
                <w:color w:val="auto"/>
                <w:sz w:val="24"/>
                <w:lang w:eastAsia="zh-CN"/>
              </w:rPr>
              <w:t>点</w:t>
            </w:r>
            <w:r>
              <w:rPr>
                <w:rFonts w:hint="eastAsia"/>
                <w:color w:val="auto"/>
                <w:sz w:val="24"/>
              </w:rPr>
              <w:t>产生的</w:t>
            </w:r>
            <w:r>
              <w:rPr>
                <w:rFonts w:hint="eastAsia"/>
                <w:color w:val="auto"/>
                <w:sz w:val="24"/>
                <w:lang w:eastAsia="zh-CN"/>
              </w:rPr>
              <w:t>粉尘量</w:t>
            </w:r>
            <w:r>
              <w:rPr>
                <w:rFonts w:hint="eastAsia"/>
                <w:color w:val="auto"/>
                <w:sz w:val="24"/>
              </w:rPr>
              <w:t>为</w:t>
            </w:r>
            <w:r>
              <w:rPr>
                <w:rFonts w:hint="eastAsia"/>
                <w:color w:val="auto"/>
                <w:sz w:val="24"/>
                <w:lang w:val="en-US" w:eastAsia="zh-CN"/>
              </w:rPr>
              <w:t>29</w:t>
            </w:r>
            <w:r>
              <w:rPr>
                <w:color w:val="auto"/>
                <w:sz w:val="24"/>
              </w:rPr>
              <w:t>t/a</w:t>
            </w:r>
            <w:r>
              <w:rPr>
                <w:rFonts w:hint="eastAsia"/>
                <w:color w:val="auto"/>
                <w:sz w:val="24"/>
                <w:lang w:val="en-US" w:eastAsia="zh-CN"/>
              </w:rPr>
              <w:t>。</w:t>
            </w:r>
          </w:p>
          <w:p w14:paraId="698923CD">
            <w:pPr>
              <w:adjustRightInd w:val="0"/>
              <w:snapToGrid w:val="0"/>
              <w:spacing w:line="360" w:lineRule="auto"/>
              <w:ind w:firstLine="480" w:firstLineChars="200"/>
              <w:rPr>
                <w:rFonts w:eastAsia="Times New Roman"/>
                <w:color w:val="auto"/>
                <w:sz w:val="24"/>
                <w:lang w:val="zh-CN"/>
              </w:rPr>
            </w:pPr>
            <w:r>
              <w:rPr>
                <w:rFonts w:hint="eastAsia"/>
                <w:color w:val="auto"/>
                <w:sz w:val="24"/>
                <w:lang w:eastAsia="zh-CN"/>
              </w:rPr>
              <w:t>项目使用一个转载站，粉尘经集气罩</w:t>
            </w:r>
            <w:r>
              <w:rPr>
                <w:rFonts w:hint="eastAsia"/>
                <w:color w:val="auto"/>
                <w:sz w:val="24"/>
                <w:lang w:val="en-US" w:eastAsia="zh-CN"/>
              </w:rPr>
              <w:t>+</w:t>
            </w:r>
            <w:r>
              <w:rPr>
                <w:rFonts w:hint="eastAsia"/>
                <w:color w:val="auto"/>
                <w:sz w:val="24"/>
                <w:lang w:eastAsia="zh-CN"/>
              </w:rPr>
              <w:t>风管</w:t>
            </w:r>
            <w:r>
              <w:rPr>
                <w:rFonts w:hint="eastAsia"/>
                <w:color w:val="auto"/>
                <w:sz w:val="24"/>
              </w:rPr>
              <w:t>（</w:t>
            </w:r>
            <w:r>
              <w:rPr>
                <w:rFonts w:hint="eastAsia" w:eastAsia="Times New Roman"/>
                <w:color w:val="auto"/>
                <w:sz w:val="24"/>
                <w:lang w:val="zh-CN"/>
              </w:rPr>
              <w:t>集气效率为</w:t>
            </w:r>
            <w:r>
              <w:rPr>
                <w:rFonts w:hint="eastAsia" w:eastAsia="宋体"/>
                <w:color w:val="auto"/>
                <w:sz w:val="24"/>
                <w:lang w:val="en-US" w:eastAsia="zh-CN"/>
              </w:rPr>
              <w:t>8</w:t>
            </w:r>
            <w:r>
              <w:rPr>
                <w:rFonts w:hint="eastAsia"/>
                <w:color w:val="auto"/>
                <w:sz w:val="24"/>
                <w:lang w:val="en-US" w:eastAsia="zh-CN"/>
              </w:rPr>
              <w:t>5</w:t>
            </w:r>
            <w:r>
              <w:rPr>
                <w:rFonts w:hint="eastAsia"/>
                <w:color w:val="auto"/>
                <w:sz w:val="24"/>
              </w:rPr>
              <w:t>%）</w:t>
            </w:r>
            <w:r>
              <w:rPr>
                <w:rFonts w:hint="eastAsia"/>
                <w:color w:val="auto"/>
                <w:sz w:val="24"/>
                <w:lang w:eastAsia="zh-CN"/>
              </w:rPr>
              <w:t>收集</w:t>
            </w:r>
            <w:r>
              <w:rPr>
                <w:rFonts w:hint="eastAsia"/>
                <w:color w:val="auto"/>
                <w:sz w:val="24"/>
              </w:rPr>
              <w:t>后</w:t>
            </w:r>
            <w:r>
              <w:rPr>
                <w:rFonts w:eastAsia="Times New Roman"/>
                <w:color w:val="auto"/>
                <w:sz w:val="24"/>
                <w:lang w:val="zh-CN"/>
              </w:rPr>
              <w:t>通过</w:t>
            </w:r>
            <w:r>
              <w:rPr>
                <w:rFonts w:hint="eastAsia" w:eastAsia="Times New Roman"/>
                <w:color w:val="auto"/>
                <w:sz w:val="24"/>
                <w:lang w:val="zh-CN"/>
              </w:rPr>
              <w:t>引风机（风机风量</w:t>
            </w:r>
            <w:r>
              <w:rPr>
                <w:rFonts w:hint="eastAsia"/>
                <w:color w:val="auto"/>
                <w:sz w:val="24"/>
                <w:lang w:val="en-US" w:eastAsia="zh-CN"/>
              </w:rPr>
              <w:t>7388</w:t>
            </w:r>
            <w:r>
              <w:rPr>
                <w:rFonts w:hint="eastAsia"/>
                <w:color w:val="auto"/>
                <w:sz w:val="24"/>
              </w:rPr>
              <w:t>m</w:t>
            </w:r>
            <w:r>
              <w:rPr>
                <w:rFonts w:hint="eastAsia"/>
                <w:color w:val="auto"/>
                <w:sz w:val="24"/>
                <w:vertAlign w:val="superscript"/>
              </w:rPr>
              <w:t>3</w:t>
            </w:r>
            <w:r>
              <w:rPr>
                <w:rFonts w:hint="eastAsia"/>
                <w:color w:val="auto"/>
                <w:sz w:val="24"/>
              </w:rPr>
              <w:t>/h</w:t>
            </w:r>
            <w:r>
              <w:rPr>
                <w:rFonts w:hint="eastAsia" w:eastAsia="Times New Roman"/>
                <w:color w:val="auto"/>
                <w:sz w:val="24"/>
                <w:lang w:val="zh-CN"/>
              </w:rPr>
              <w:t>）引至</w:t>
            </w:r>
            <w:r>
              <w:rPr>
                <w:rFonts w:eastAsia="Times New Roman"/>
                <w:color w:val="auto"/>
                <w:sz w:val="24"/>
                <w:lang w:val="zh-CN"/>
              </w:rPr>
              <w:t>处理效率为9</w:t>
            </w:r>
            <w:r>
              <w:rPr>
                <w:rFonts w:hint="eastAsia" w:eastAsia="宋体"/>
                <w:color w:val="auto"/>
                <w:sz w:val="24"/>
                <w:lang w:val="en-US" w:eastAsia="zh-CN"/>
              </w:rPr>
              <w:t>9</w:t>
            </w:r>
            <w:r>
              <w:rPr>
                <w:rFonts w:hint="eastAsia"/>
                <w:color w:val="auto"/>
                <w:sz w:val="24"/>
                <w:lang w:val="en-US" w:eastAsia="zh-CN"/>
              </w:rPr>
              <w:t>.6</w:t>
            </w:r>
            <w:r>
              <w:rPr>
                <w:rFonts w:eastAsia="Times New Roman"/>
                <w:color w:val="auto"/>
                <w:sz w:val="24"/>
                <w:lang w:val="zh-CN"/>
              </w:rPr>
              <w:t>%的</w:t>
            </w:r>
            <w:r>
              <w:rPr>
                <w:rFonts w:hint="eastAsia" w:eastAsia="Times New Roman"/>
                <w:color w:val="auto"/>
                <w:sz w:val="24"/>
                <w:lang w:val="zh-CN"/>
              </w:rPr>
              <w:t>袋式</w:t>
            </w:r>
            <w:r>
              <w:rPr>
                <w:rFonts w:eastAsia="Times New Roman"/>
                <w:color w:val="auto"/>
                <w:sz w:val="24"/>
                <w:lang w:val="zh-CN"/>
              </w:rPr>
              <w:t>除尘器处理</w:t>
            </w:r>
            <w:r>
              <w:rPr>
                <w:rFonts w:hint="eastAsia" w:eastAsia="Times New Roman"/>
                <w:color w:val="auto"/>
                <w:sz w:val="24"/>
                <w:lang w:val="zh-CN"/>
              </w:rPr>
              <w:t>达标</w:t>
            </w:r>
            <w:r>
              <w:rPr>
                <w:rFonts w:eastAsia="Times New Roman"/>
                <w:color w:val="auto"/>
                <w:sz w:val="24"/>
                <w:lang w:val="zh-CN"/>
              </w:rPr>
              <w:t>后，由一根</w:t>
            </w:r>
            <w:r>
              <w:rPr>
                <w:rFonts w:hint="eastAsia" w:eastAsia="Times New Roman"/>
                <w:color w:val="auto"/>
                <w:sz w:val="24"/>
                <w:lang w:val="zh-CN"/>
              </w:rPr>
              <w:t>内径为</w:t>
            </w:r>
            <w:r>
              <w:rPr>
                <w:rFonts w:hint="eastAsia" w:eastAsia="宋体"/>
                <w:color w:val="auto"/>
                <w:sz w:val="24"/>
                <w:lang w:val="en-US" w:eastAsia="zh-CN"/>
              </w:rPr>
              <w:t>0.45m，15.5</w:t>
            </w:r>
            <w:r>
              <w:rPr>
                <w:rFonts w:eastAsia="Times New Roman"/>
                <w:color w:val="auto"/>
                <w:sz w:val="24"/>
                <w:lang w:val="zh-CN"/>
              </w:rPr>
              <w:t>m高的排气筒</w:t>
            </w:r>
            <w:r>
              <w:rPr>
                <w:rFonts w:hint="eastAsia" w:eastAsia="Times New Roman"/>
                <w:color w:val="auto"/>
                <w:sz w:val="24"/>
                <w:lang w:val="zh-CN"/>
              </w:rPr>
              <w:t>（</w:t>
            </w:r>
            <w:r>
              <w:rPr>
                <w:rFonts w:hint="eastAsia"/>
                <w:color w:val="auto"/>
                <w:sz w:val="24"/>
              </w:rPr>
              <w:t>DA00</w:t>
            </w:r>
            <w:r>
              <w:rPr>
                <w:rFonts w:hint="eastAsia"/>
                <w:color w:val="auto"/>
                <w:sz w:val="24"/>
                <w:lang w:val="en-US" w:eastAsia="zh-CN"/>
              </w:rPr>
              <w:t>3</w:t>
            </w:r>
            <w:r>
              <w:rPr>
                <w:rFonts w:hint="eastAsia" w:eastAsia="Times New Roman"/>
                <w:color w:val="auto"/>
                <w:sz w:val="24"/>
                <w:lang w:val="zh-CN"/>
              </w:rPr>
              <w:t>）</w:t>
            </w:r>
            <w:r>
              <w:rPr>
                <w:rFonts w:eastAsia="Times New Roman"/>
                <w:color w:val="auto"/>
                <w:sz w:val="24"/>
                <w:lang w:val="zh-CN"/>
              </w:rPr>
              <w:t>排放。</w:t>
            </w:r>
          </w:p>
          <w:p w14:paraId="7F79717B">
            <w:pPr>
              <w:adjustRightInd w:val="0"/>
              <w:snapToGrid w:val="0"/>
              <w:spacing w:line="360" w:lineRule="auto"/>
              <w:ind w:firstLine="480" w:firstLineChars="200"/>
              <w:rPr>
                <w:rFonts w:hint="eastAsia"/>
                <w:color w:val="auto"/>
                <w:sz w:val="24"/>
              </w:rPr>
            </w:pPr>
            <w:r>
              <w:rPr>
                <w:rFonts w:hint="eastAsia"/>
                <w:color w:val="auto"/>
                <w:sz w:val="24"/>
                <w:lang w:val="en-US" w:eastAsia="zh-CN"/>
              </w:rPr>
              <w:t>项目工程建设完成后DA003排气筒有组织粉尘</w:t>
            </w:r>
            <w:r>
              <w:rPr>
                <w:rFonts w:hint="eastAsia" w:ascii="Times New Roman" w:hAnsi="Times New Roman" w:eastAsia="宋体" w:cs="Times New Roman"/>
                <w:color w:val="auto"/>
                <w:sz w:val="24"/>
                <w:highlight w:val="none"/>
                <w:lang w:eastAsia="zh-CN"/>
              </w:rPr>
              <w:t>产生量为</w:t>
            </w:r>
            <w:r>
              <w:rPr>
                <w:rFonts w:hint="eastAsia" w:eastAsia="宋体" w:cs="Times New Roman"/>
                <w:color w:val="auto"/>
                <w:sz w:val="24"/>
                <w:highlight w:val="none"/>
                <w:lang w:val="en-US" w:eastAsia="zh-CN"/>
              </w:rPr>
              <w:t>24.65</w:t>
            </w:r>
            <w:r>
              <w:rPr>
                <w:rFonts w:hint="eastAsia" w:ascii="Times New Roman" w:hAnsi="Times New Roman" w:eastAsia="宋体" w:cs="Times New Roman"/>
                <w:color w:val="auto"/>
                <w:sz w:val="24"/>
                <w:highlight w:val="none"/>
                <w:lang w:val="en-US" w:eastAsia="zh-CN"/>
              </w:rPr>
              <w:t>t/a，产生速率为</w:t>
            </w:r>
            <w:r>
              <w:rPr>
                <w:rFonts w:hint="eastAsia" w:eastAsia="宋体" w:cs="Times New Roman"/>
                <w:color w:val="auto"/>
                <w:sz w:val="24"/>
                <w:highlight w:val="none"/>
                <w:lang w:val="en-US" w:eastAsia="zh-CN"/>
              </w:rPr>
              <w:t>3.</w:t>
            </w:r>
            <w:r>
              <w:rPr>
                <w:rFonts w:hint="eastAsia" w:cs="Times New Roman"/>
                <w:color w:val="auto"/>
                <w:sz w:val="24"/>
                <w:highlight w:val="none"/>
                <w:lang w:val="en-US" w:eastAsia="zh-CN"/>
              </w:rPr>
              <w:t>6682</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496.51</w:t>
            </w:r>
            <w:r>
              <w:rPr>
                <w:bCs/>
                <w:color w:val="auto"/>
                <w:spacing w:val="-10"/>
                <w:szCs w:val="21"/>
              </w:rPr>
              <w:t>mg/m</w:t>
            </w:r>
            <w:r>
              <w:rPr>
                <w:bCs/>
                <w:color w:val="auto"/>
                <w:spacing w:val="-10"/>
                <w:szCs w:val="21"/>
                <w:vertAlign w:val="superscript"/>
              </w:rPr>
              <w:t>3</w:t>
            </w:r>
            <w:r>
              <w:rPr>
                <w:rFonts w:hint="eastAsia"/>
                <w:bCs/>
                <w:color w:val="auto"/>
                <w:spacing w:val="-10"/>
                <w:szCs w:val="21"/>
                <w:vertAlign w:val="baseline"/>
                <w:lang w:eastAsia="zh-CN"/>
              </w:rPr>
              <w:t>；</w:t>
            </w:r>
            <w:r>
              <w:rPr>
                <w:rFonts w:hint="eastAsia" w:eastAsia="Times New Roman"/>
                <w:color w:val="auto"/>
                <w:sz w:val="24"/>
                <w:lang w:val="zh-CN"/>
              </w:rPr>
              <w:t>有组织</w:t>
            </w:r>
            <w:r>
              <w:rPr>
                <w:rFonts w:hint="eastAsia" w:ascii="Times New Roman" w:hAnsi="Times New Roman" w:eastAsia="宋体" w:cs="Times New Roman"/>
                <w:color w:val="auto"/>
                <w:sz w:val="24"/>
                <w:highlight w:val="none"/>
                <w:lang w:eastAsia="zh-CN"/>
              </w:rPr>
              <w:t>粉尘排放量为</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0986</w:t>
            </w:r>
            <w:r>
              <w:rPr>
                <w:rFonts w:hint="eastAsia" w:ascii="Times New Roman" w:hAnsi="Times New Roman" w:eastAsia="宋体" w:cs="Times New Roman"/>
                <w:color w:val="auto"/>
                <w:sz w:val="24"/>
                <w:highlight w:val="none"/>
                <w:lang w:val="en-US" w:eastAsia="zh-CN"/>
              </w:rPr>
              <w:t>t/a，排放速率为0.</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147</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1.99</w:t>
            </w:r>
            <w:r>
              <w:rPr>
                <w:bCs/>
                <w:color w:val="auto"/>
                <w:spacing w:val="-10"/>
                <w:szCs w:val="21"/>
              </w:rPr>
              <w:t>mg/m</w:t>
            </w:r>
            <w:r>
              <w:rPr>
                <w:bCs/>
                <w:color w:val="auto"/>
                <w:spacing w:val="-10"/>
                <w:szCs w:val="21"/>
                <w:vertAlign w:val="superscript"/>
              </w:rPr>
              <w:t>3</w:t>
            </w:r>
            <w:r>
              <w:rPr>
                <w:rFonts w:hint="eastAsia"/>
                <w:bCs/>
                <w:color w:val="auto"/>
                <w:spacing w:val="-10"/>
                <w:szCs w:val="21"/>
                <w:vertAlign w:val="baseline"/>
                <w:lang w:eastAsia="zh-CN"/>
              </w:rPr>
              <w:t>；</w:t>
            </w:r>
            <w:r>
              <w:rPr>
                <w:rFonts w:hint="eastAsia"/>
                <w:color w:val="auto"/>
                <w:sz w:val="24"/>
              </w:rPr>
              <w:t>无组织</w:t>
            </w:r>
            <w:r>
              <w:rPr>
                <w:rFonts w:hint="eastAsia"/>
                <w:color w:val="auto"/>
                <w:sz w:val="24"/>
                <w:lang w:eastAsia="zh-CN"/>
              </w:rPr>
              <w:t>产生</w:t>
            </w:r>
            <w:r>
              <w:rPr>
                <w:rFonts w:hint="eastAsia"/>
                <w:color w:val="auto"/>
                <w:sz w:val="24"/>
              </w:rPr>
              <w:t>量</w:t>
            </w:r>
            <w:r>
              <w:rPr>
                <w:rFonts w:hint="eastAsia"/>
                <w:color w:val="auto"/>
                <w:sz w:val="24"/>
                <w:lang w:val="en-US" w:eastAsia="zh-CN"/>
              </w:rPr>
              <w:t>4.35</w:t>
            </w:r>
            <w:r>
              <w:rPr>
                <w:rFonts w:hint="eastAsia"/>
                <w:color w:val="auto"/>
                <w:sz w:val="24"/>
              </w:rPr>
              <w:t>t/a，</w:t>
            </w:r>
            <w:r>
              <w:rPr>
                <w:rFonts w:hint="eastAsia"/>
                <w:color w:val="auto"/>
                <w:sz w:val="24"/>
                <w:lang w:eastAsia="zh-CN"/>
              </w:rPr>
              <w:t>产生</w:t>
            </w:r>
            <w:r>
              <w:rPr>
                <w:rFonts w:hint="eastAsia"/>
                <w:color w:val="auto"/>
                <w:sz w:val="24"/>
              </w:rPr>
              <w:t>速率为</w:t>
            </w:r>
            <w:r>
              <w:rPr>
                <w:rFonts w:hint="eastAsia"/>
                <w:color w:val="auto"/>
                <w:sz w:val="24"/>
                <w:lang w:val="en-US" w:eastAsia="zh-CN"/>
              </w:rPr>
              <w:t>0.6473</w:t>
            </w:r>
            <w:r>
              <w:rPr>
                <w:rFonts w:hint="eastAsia"/>
                <w:color w:val="auto"/>
                <w:sz w:val="24"/>
              </w:rPr>
              <w:t>kg/h。</w:t>
            </w:r>
          </w:p>
          <w:p w14:paraId="6A16E3DA">
            <w:pPr>
              <w:adjustRightInd w:val="0"/>
              <w:snapToGrid w:val="0"/>
              <w:spacing w:line="360" w:lineRule="auto"/>
              <w:ind w:firstLine="480" w:firstLineChars="200"/>
              <w:rPr>
                <w:rFonts w:hint="eastAsia"/>
                <w:color w:val="auto"/>
                <w:sz w:val="24"/>
                <w:lang w:eastAsia="zh-CN"/>
              </w:rPr>
            </w:pPr>
            <w:r>
              <w:rPr>
                <w:rFonts w:hint="eastAsia"/>
                <w:color w:val="auto"/>
                <w:sz w:val="24"/>
              </w:rPr>
              <w:t>项目</w:t>
            </w:r>
            <w:r>
              <w:rPr>
                <w:rFonts w:hint="eastAsia"/>
                <w:color w:val="auto"/>
                <w:sz w:val="24"/>
                <w:lang w:eastAsia="zh-CN"/>
              </w:rPr>
              <w:t>转载站为全封闭式</w:t>
            </w:r>
            <w:r>
              <w:rPr>
                <w:rFonts w:hint="eastAsia"/>
                <w:color w:val="auto"/>
                <w:sz w:val="24"/>
              </w:rPr>
              <w:t>，粉尘经阻隔后，大部分在</w:t>
            </w:r>
            <w:r>
              <w:rPr>
                <w:rFonts w:hint="eastAsia"/>
                <w:color w:val="auto"/>
                <w:sz w:val="24"/>
                <w:lang w:eastAsia="zh-CN"/>
              </w:rPr>
              <w:t>转载站内</w:t>
            </w:r>
            <w:r>
              <w:rPr>
                <w:rFonts w:hint="eastAsia"/>
                <w:color w:val="auto"/>
                <w:sz w:val="24"/>
              </w:rPr>
              <w:t>沉降，少部分</w:t>
            </w:r>
            <w:r>
              <w:rPr>
                <w:rFonts w:hint="eastAsia"/>
                <w:color w:val="auto"/>
                <w:sz w:val="24"/>
                <w:lang w:eastAsia="zh-CN"/>
              </w:rPr>
              <w:t>溢出，</w:t>
            </w:r>
            <w:r>
              <w:rPr>
                <w:rFonts w:hint="eastAsia"/>
                <w:color w:val="auto"/>
                <w:sz w:val="24"/>
              </w:rPr>
              <w:t>阻隔降尘效率约</w:t>
            </w:r>
            <w:r>
              <w:rPr>
                <w:rFonts w:hint="eastAsia"/>
                <w:color w:val="auto"/>
                <w:sz w:val="24"/>
                <w:lang w:val="en-US" w:eastAsia="zh-CN"/>
              </w:rPr>
              <w:t>8</w:t>
            </w:r>
            <w:r>
              <w:rPr>
                <w:rFonts w:hint="eastAsia"/>
                <w:color w:val="auto"/>
                <w:sz w:val="24"/>
              </w:rPr>
              <w:t>0%，则无组织粉尘排放量为</w:t>
            </w:r>
            <w:r>
              <w:rPr>
                <w:rFonts w:hint="eastAsia"/>
                <w:color w:val="auto"/>
                <w:sz w:val="24"/>
                <w:lang w:val="en-US" w:eastAsia="zh-CN"/>
              </w:rPr>
              <w:t>0.87</w:t>
            </w:r>
            <w:r>
              <w:rPr>
                <w:rFonts w:hint="eastAsia"/>
                <w:color w:val="auto"/>
                <w:sz w:val="24"/>
              </w:rPr>
              <w:t>t/a，排放速率为</w:t>
            </w:r>
            <w:r>
              <w:rPr>
                <w:rFonts w:hint="eastAsia"/>
                <w:color w:val="auto"/>
                <w:sz w:val="24"/>
                <w:lang w:val="en-US" w:eastAsia="zh-CN"/>
              </w:rPr>
              <w:t>0.1295</w:t>
            </w:r>
            <w:r>
              <w:rPr>
                <w:rFonts w:hint="eastAsia"/>
                <w:color w:val="auto"/>
                <w:sz w:val="24"/>
              </w:rPr>
              <w:t>kg/h。</w:t>
            </w:r>
          </w:p>
          <w:p w14:paraId="05074DFD">
            <w:pPr>
              <w:adjustRightInd w:val="0"/>
              <w:snapToGrid w:val="0"/>
              <w:spacing w:line="360" w:lineRule="auto"/>
              <w:ind w:firstLine="480" w:firstLineChars="200"/>
              <w:rPr>
                <w:color w:val="auto"/>
              </w:rPr>
            </w:pPr>
            <w:r>
              <w:rPr>
                <w:rFonts w:hint="eastAsia"/>
                <w:color w:val="auto"/>
                <w:sz w:val="24"/>
                <w:lang w:val="en-US" w:eastAsia="zh-CN"/>
              </w:rPr>
              <w:t>DA003排气筒颗粒物排放浓度</w:t>
            </w:r>
            <w:r>
              <w:rPr>
                <w:color w:val="auto"/>
                <w:sz w:val="24"/>
              </w:rPr>
              <w:t>满足</w:t>
            </w:r>
            <w:r>
              <w:rPr>
                <w:rFonts w:hint="default" w:ascii="Times New Roman" w:hAnsi="Times New Roman" w:cs="Times New Roman"/>
                <w:color w:val="auto"/>
                <w:sz w:val="24"/>
                <w:szCs w:val="24"/>
                <w:shd w:val="clear" w:color="auto" w:fill="auto"/>
                <w:lang w:val="zh-CN" w:eastAsia="zh-CN"/>
              </w:rPr>
              <w:t>《大气污染物综合排放标准》（GB16297-1996）表2中二级标准</w:t>
            </w:r>
            <w:r>
              <w:rPr>
                <w:color w:val="auto"/>
                <w:sz w:val="24"/>
              </w:rPr>
              <w:t>要求（</w:t>
            </w:r>
            <w:r>
              <w:rPr>
                <w:rFonts w:hint="eastAsia"/>
                <w:color w:val="auto"/>
                <w:sz w:val="24"/>
              </w:rPr>
              <w:t>颗粒物</w:t>
            </w:r>
            <w:r>
              <w:rPr>
                <w:color w:val="auto"/>
                <w:sz w:val="24"/>
              </w:rPr>
              <w:t>≤</w:t>
            </w:r>
            <w:r>
              <w:rPr>
                <w:rFonts w:hint="eastAsia"/>
                <w:color w:val="auto"/>
                <w:sz w:val="24"/>
                <w:lang w:val="en-US" w:eastAsia="zh-CN"/>
              </w:rPr>
              <w:t>120</w:t>
            </w:r>
            <w:r>
              <w:rPr>
                <w:color w:val="auto"/>
                <w:sz w:val="24"/>
              </w:rPr>
              <w:t>mg/m</w:t>
            </w:r>
            <w:r>
              <w:rPr>
                <w:color w:val="auto"/>
                <w:sz w:val="24"/>
                <w:vertAlign w:val="superscript"/>
              </w:rPr>
              <w:t>3</w:t>
            </w:r>
            <w:r>
              <w:rPr>
                <w:color w:val="auto"/>
                <w:sz w:val="24"/>
              </w:rPr>
              <w:t>）。</w:t>
            </w:r>
          </w:p>
          <w:p w14:paraId="7259E806">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项目运营</w:t>
            </w:r>
            <w:r>
              <w:rPr>
                <w:rFonts w:hint="default" w:ascii="Times New Roman" w:hAnsi="Times New Roman" w:cs="Times New Roman"/>
                <w:b/>
                <w:bCs/>
                <w:color w:val="auto"/>
                <w:sz w:val="21"/>
                <w:szCs w:val="21"/>
                <w:highlight w:val="none"/>
                <w:lang w:val="en-US" w:eastAsia="zh-CN"/>
              </w:rPr>
              <w:t>期</w:t>
            </w:r>
            <w:r>
              <w:rPr>
                <w:rFonts w:hint="eastAsia" w:ascii="Times New Roman" w:hAnsi="Times New Roman" w:cs="Times New Roman"/>
                <w:b/>
                <w:bCs/>
                <w:color w:val="auto"/>
                <w:sz w:val="21"/>
                <w:szCs w:val="21"/>
                <w:highlight w:val="none"/>
                <w:lang w:val="en-US" w:eastAsia="zh-CN"/>
              </w:rPr>
              <w:t>原料转载点落料粉尘废气</w:t>
            </w:r>
            <w:r>
              <w:rPr>
                <w:rFonts w:hint="default" w:ascii="Times New Roman" w:hAnsi="Times New Roman" w:eastAsia="宋体" w:cs="Times New Roman"/>
                <w:b/>
                <w:bCs/>
                <w:color w:val="auto"/>
                <w:sz w:val="21"/>
                <w:szCs w:val="21"/>
                <w:highlight w:val="none"/>
                <w:lang w:val="en-US" w:eastAsia="zh-CN"/>
              </w:rPr>
              <w:t>排放源一览表</w:t>
            </w:r>
          </w:p>
          <w:tbl>
            <w:tblPr>
              <w:tblStyle w:val="28"/>
              <w:tblW w:w="8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83"/>
              <w:gridCol w:w="2590"/>
              <w:gridCol w:w="2609"/>
              <w:gridCol w:w="139"/>
              <w:gridCol w:w="1783"/>
            </w:tblGrid>
            <w:tr w14:paraId="467D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32" w:type="dxa"/>
                  <w:gridSpan w:val="3"/>
                  <w:vAlign w:val="center"/>
                </w:tcPr>
                <w:p w14:paraId="4526930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4531" w:type="dxa"/>
                  <w:gridSpan w:val="3"/>
                  <w:vAlign w:val="center"/>
                </w:tcPr>
                <w:p w14:paraId="17FF5E3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原料转载点落料粉尘</w:t>
                  </w:r>
                </w:p>
              </w:tc>
            </w:tr>
            <w:tr w14:paraId="7ACE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32" w:type="dxa"/>
                  <w:gridSpan w:val="3"/>
                  <w:vAlign w:val="center"/>
                </w:tcPr>
                <w:p w14:paraId="132BC63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4531" w:type="dxa"/>
                  <w:gridSpan w:val="3"/>
                  <w:vAlign w:val="center"/>
                </w:tcPr>
                <w:p w14:paraId="1373CEF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r>
            <w:tr w14:paraId="5126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32" w:type="dxa"/>
                  <w:gridSpan w:val="3"/>
                  <w:vAlign w:val="center"/>
                </w:tcPr>
                <w:p w14:paraId="5EE4D3E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2609" w:type="dxa"/>
                  <w:vAlign w:val="center"/>
                </w:tcPr>
                <w:p w14:paraId="4AD065D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24.65</w:t>
                  </w:r>
                </w:p>
              </w:tc>
              <w:tc>
                <w:tcPr>
                  <w:tcW w:w="1922" w:type="dxa"/>
                  <w:gridSpan w:val="2"/>
                  <w:vAlign w:val="center"/>
                </w:tcPr>
                <w:p w14:paraId="2DE4CBB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4.35</w:t>
                  </w:r>
                </w:p>
              </w:tc>
            </w:tr>
            <w:tr w14:paraId="1E62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2" w:type="dxa"/>
                  <w:gridSpan w:val="3"/>
                  <w:vAlign w:val="center"/>
                </w:tcPr>
                <w:p w14:paraId="070CB51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2609" w:type="dxa"/>
                  <w:vAlign w:val="center"/>
                </w:tcPr>
                <w:p w14:paraId="25B3DE8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496.51</w:t>
                  </w:r>
                </w:p>
              </w:tc>
              <w:tc>
                <w:tcPr>
                  <w:tcW w:w="1922" w:type="dxa"/>
                  <w:gridSpan w:val="2"/>
                  <w:vAlign w:val="center"/>
                </w:tcPr>
                <w:p w14:paraId="39A6B6C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5D82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2" w:type="dxa"/>
                  <w:gridSpan w:val="3"/>
                  <w:vAlign w:val="center"/>
                </w:tcPr>
                <w:p w14:paraId="7B6F293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2609" w:type="dxa"/>
                  <w:vAlign w:val="center"/>
                </w:tcPr>
                <w:p w14:paraId="4A69CD7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922" w:type="dxa"/>
                  <w:gridSpan w:val="2"/>
                  <w:vAlign w:val="center"/>
                </w:tcPr>
                <w:p w14:paraId="77F527A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r>
            <w:tr w14:paraId="5727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959" w:type="dxa"/>
                  <w:vMerge w:val="restart"/>
                  <w:vAlign w:val="center"/>
                </w:tcPr>
                <w:p w14:paraId="4A47A48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2973" w:type="dxa"/>
                  <w:gridSpan w:val="2"/>
                  <w:vAlign w:val="center"/>
                </w:tcPr>
                <w:p w14:paraId="0A4E83B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2609" w:type="dxa"/>
                  <w:vAlign w:val="center"/>
                </w:tcPr>
                <w:p w14:paraId="5B2EF68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7388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922" w:type="dxa"/>
                  <w:gridSpan w:val="2"/>
                  <w:vAlign w:val="center"/>
                </w:tcPr>
                <w:p w14:paraId="4CFF8B4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BDD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2504904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3" w:type="dxa"/>
                  <w:gridSpan w:val="2"/>
                  <w:vAlign w:val="center"/>
                </w:tcPr>
                <w:p w14:paraId="65D09BD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2609" w:type="dxa"/>
                  <w:vAlign w:val="center"/>
                </w:tcPr>
                <w:p w14:paraId="79315B9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r>
                    <w:rPr>
                      <w:rFonts w:hint="eastAsia" w:cs="Times New Roman"/>
                      <w:b w:val="0"/>
                      <w:bCs/>
                      <w:color w:val="auto"/>
                      <w:spacing w:val="-10"/>
                      <w:sz w:val="21"/>
                      <w:szCs w:val="21"/>
                      <w:highlight w:val="none"/>
                      <w:vertAlign w:val="baseline"/>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922" w:type="dxa"/>
                  <w:gridSpan w:val="2"/>
                  <w:vAlign w:val="center"/>
                </w:tcPr>
                <w:p w14:paraId="681FE7C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1A48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17C291C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3" w:type="dxa"/>
                  <w:gridSpan w:val="2"/>
                  <w:vAlign w:val="center"/>
                </w:tcPr>
                <w:p w14:paraId="26CA458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2609" w:type="dxa"/>
                  <w:vAlign w:val="center"/>
                </w:tcPr>
                <w:p w14:paraId="4F5F1AD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p>
              </w:tc>
              <w:tc>
                <w:tcPr>
                  <w:tcW w:w="1922" w:type="dxa"/>
                  <w:gridSpan w:val="2"/>
                  <w:vAlign w:val="center"/>
                </w:tcPr>
                <w:p w14:paraId="25877D0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厂房阻隔、自然沉降</w:t>
                  </w:r>
                </w:p>
              </w:tc>
            </w:tr>
            <w:tr w14:paraId="19EA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959" w:type="dxa"/>
                  <w:vMerge w:val="continue"/>
                  <w:vAlign w:val="center"/>
                </w:tcPr>
                <w:p w14:paraId="3CE6F0B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3" w:type="dxa"/>
                  <w:gridSpan w:val="2"/>
                  <w:vAlign w:val="center"/>
                </w:tcPr>
                <w:p w14:paraId="5274495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2609" w:type="dxa"/>
                  <w:vAlign w:val="center"/>
                </w:tcPr>
                <w:p w14:paraId="686E562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922" w:type="dxa"/>
                  <w:gridSpan w:val="2"/>
                  <w:vAlign w:val="center"/>
                </w:tcPr>
                <w:p w14:paraId="1AD0CB0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w:t>
                  </w:r>
                  <w:r>
                    <w:rPr>
                      <w:rFonts w:hint="default" w:ascii="Times New Roman" w:hAnsi="Times New Roman" w:eastAsia="宋体" w:cs="Times New Roman"/>
                      <w:b w:val="0"/>
                      <w:bCs/>
                      <w:color w:val="auto"/>
                      <w:spacing w:val="-10"/>
                      <w:sz w:val="21"/>
                      <w:szCs w:val="21"/>
                      <w:highlight w:val="none"/>
                      <w:vertAlign w:val="baseline"/>
                      <w:lang w:val="en-US" w:eastAsia="zh-CN"/>
                    </w:rPr>
                    <w:t>0%</w:t>
                  </w:r>
                </w:p>
              </w:tc>
            </w:tr>
            <w:tr w14:paraId="087A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596C209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3" w:type="dxa"/>
                  <w:gridSpan w:val="2"/>
                  <w:vAlign w:val="center"/>
                </w:tcPr>
                <w:p w14:paraId="5BDBC2C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2609" w:type="dxa"/>
                  <w:vAlign w:val="center"/>
                </w:tcPr>
                <w:p w14:paraId="7FC28B9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922" w:type="dxa"/>
                  <w:gridSpan w:val="2"/>
                  <w:vAlign w:val="center"/>
                </w:tcPr>
                <w:p w14:paraId="16A6685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0C2A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2" w:type="dxa"/>
                  <w:gridSpan w:val="3"/>
                  <w:vAlign w:val="center"/>
                </w:tcPr>
                <w:p w14:paraId="7B1A34C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2609" w:type="dxa"/>
                  <w:vAlign w:val="center"/>
                </w:tcPr>
                <w:p w14:paraId="0C3DD69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1.99</w:t>
                  </w:r>
                </w:p>
              </w:tc>
              <w:tc>
                <w:tcPr>
                  <w:tcW w:w="1922" w:type="dxa"/>
                  <w:gridSpan w:val="2"/>
                  <w:vAlign w:val="center"/>
                </w:tcPr>
                <w:p w14:paraId="3731998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69C2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932" w:type="dxa"/>
                  <w:gridSpan w:val="3"/>
                  <w:vAlign w:val="center"/>
                </w:tcPr>
                <w:p w14:paraId="16F96CE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2609" w:type="dxa"/>
                  <w:vAlign w:val="center"/>
                </w:tcPr>
                <w:p w14:paraId="41C644C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w:t>
                  </w:r>
                  <w:r>
                    <w:rPr>
                      <w:rFonts w:hint="eastAsia" w:cs="Times New Roman"/>
                      <w:b w:val="0"/>
                      <w:bCs/>
                      <w:color w:val="auto"/>
                      <w:spacing w:val="-10"/>
                      <w:sz w:val="21"/>
                      <w:szCs w:val="21"/>
                      <w:highlight w:val="none"/>
                      <w:vertAlign w:val="baseline"/>
                      <w:lang w:val="en-US" w:eastAsia="zh-CN"/>
                    </w:rPr>
                    <w:t>147</w:t>
                  </w:r>
                </w:p>
              </w:tc>
              <w:tc>
                <w:tcPr>
                  <w:tcW w:w="1922" w:type="dxa"/>
                  <w:gridSpan w:val="2"/>
                  <w:vAlign w:val="center"/>
                </w:tcPr>
                <w:p w14:paraId="233E70D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0.1169</w:t>
                  </w:r>
                </w:p>
              </w:tc>
            </w:tr>
            <w:tr w14:paraId="646F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2" w:type="dxa"/>
                  <w:gridSpan w:val="3"/>
                  <w:vAlign w:val="center"/>
                </w:tcPr>
                <w:p w14:paraId="53D7EFF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2609" w:type="dxa"/>
                  <w:vAlign w:val="center"/>
                </w:tcPr>
                <w:p w14:paraId="7EB08FE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0986</w:t>
                  </w:r>
                </w:p>
              </w:tc>
              <w:tc>
                <w:tcPr>
                  <w:tcW w:w="1922" w:type="dxa"/>
                  <w:gridSpan w:val="2"/>
                  <w:vAlign w:val="center"/>
                </w:tcPr>
                <w:p w14:paraId="02BECFA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0.87</w:t>
                  </w:r>
                </w:p>
              </w:tc>
            </w:tr>
            <w:tr w14:paraId="1D03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vAlign w:val="center"/>
                </w:tcPr>
                <w:p w14:paraId="3FF8EBC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2973" w:type="dxa"/>
                  <w:gridSpan w:val="2"/>
                  <w:vAlign w:val="center"/>
                </w:tcPr>
                <w:p w14:paraId="5254001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2609" w:type="dxa"/>
                  <w:vAlign w:val="center"/>
                </w:tcPr>
                <w:p w14:paraId="05C1321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w:t>
                  </w:r>
                  <w:r>
                    <w:rPr>
                      <w:rFonts w:hint="eastAsia" w:cs="Times New Roman"/>
                      <w:b w:val="0"/>
                      <w:bCs/>
                      <w:color w:val="auto"/>
                      <w:spacing w:val="-10"/>
                      <w:sz w:val="21"/>
                      <w:szCs w:val="21"/>
                      <w:highlight w:val="none"/>
                      <w:vertAlign w:val="baseline"/>
                      <w:lang w:val="en-US" w:eastAsia="zh-CN"/>
                    </w:rPr>
                    <w:t>5.5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922" w:type="dxa"/>
                  <w:gridSpan w:val="2"/>
                  <w:vAlign w:val="center"/>
                </w:tcPr>
                <w:p w14:paraId="6CF532D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297B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3CD5772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3" w:type="dxa"/>
                  <w:gridSpan w:val="2"/>
                  <w:vAlign w:val="center"/>
                </w:tcPr>
                <w:p w14:paraId="7214BCF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2609" w:type="dxa"/>
                  <w:vAlign w:val="center"/>
                </w:tcPr>
                <w:p w14:paraId="26FB8A1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45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922" w:type="dxa"/>
                  <w:gridSpan w:val="2"/>
                  <w:vAlign w:val="center"/>
                </w:tcPr>
                <w:p w14:paraId="0B8CFD8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3C60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0FDE74E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3" w:type="dxa"/>
                  <w:gridSpan w:val="2"/>
                  <w:vAlign w:val="center"/>
                </w:tcPr>
                <w:p w14:paraId="10E77EF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2609" w:type="dxa"/>
                  <w:vAlign w:val="center"/>
                </w:tcPr>
                <w:p w14:paraId="779712B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1922" w:type="dxa"/>
                  <w:gridSpan w:val="2"/>
                  <w:vAlign w:val="center"/>
                </w:tcPr>
                <w:p w14:paraId="7BE1724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2E6B5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72D2655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3" w:type="dxa"/>
                  <w:gridSpan w:val="2"/>
                  <w:vAlign w:val="center"/>
                </w:tcPr>
                <w:p w14:paraId="602235A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2609" w:type="dxa"/>
                  <w:vAlign w:val="center"/>
                </w:tcPr>
                <w:p w14:paraId="5DDBAD0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w:t>
                  </w:r>
                  <w:r>
                    <w:rPr>
                      <w:rFonts w:hint="eastAsia" w:cs="Times New Roman"/>
                      <w:b w:val="0"/>
                      <w:bCs/>
                      <w:color w:val="auto"/>
                      <w:spacing w:val="-10"/>
                      <w:sz w:val="21"/>
                      <w:szCs w:val="21"/>
                      <w:highlight w:val="none"/>
                      <w:vertAlign w:val="baseline"/>
                      <w:lang w:val="en-US" w:eastAsia="zh-CN"/>
                    </w:rPr>
                    <w:t>003</w:t>
                  </w:r>
                </w:p>
              </w:tc>
              <w:tc>
                <w:tcPr>
                  <w:tcW w:w="1922" w:type="dxa"/>
                  <w:gridSpan w:val="2"/>
                  <w:vAlign w:val="center"/>
                </w:tcPr>
                <w:p w14:paraId="287C61E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4E95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48586D1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3" w:type="dxa"/>
                  <w:gridSpan w:val="2"/>
                  <w:vAlign w:val="center"/>
                </w:tcPr>
                <w:p w14:paraId="32B248E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2609" w:type="dxa"/>
                  <w:vAlign w:val="center"/>
                </w:tcPr>
                <w:p w14:paraId="53E666B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922" w:type="dxa"/>
                  <w:gridSpan w:val="2"/>
                  <w:vAlign w:val="center"/>
                </w:tcPr>
                <w:p w14:paraId="57D8832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02ED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7084C6F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3" w:type="dxa"/>
                  <w:gridSpan w:val="2"/>
                  <w:vAlign w:val="center"/>
                </w:tcPr>
                <w:p w14:paraId="20AA0FA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4531" w:type="dxa"/>
                  <w:gridSpan w:val="3"/>
                  <w:vAlign w:val="center"/>
                </w:tcPr>
                <w:p w14:paraId="6FBCDE7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DA003：</w:t>
                  </w:r>
                  <w:r>
                    <w:rPr>
                      <w:rFonts w:hint="default" w:ascii="Times New Roman" w:hAnsi="Times New Roman" w:eastAsia="宋体" w:cs="Times New Roman"/>
                      <w:b w:val="0"/>
                      <w:bCs/>
                      <w:color w:val="auto"/>
                      <w:spacing w:val="-10"/>
                      <w:sz w:val="21"/>
                      <w:szCs w:val="21"/>
                      <w:highlight w:val="none"/>
                      <w:vertAlign w:val="baseline"/>
                      <w:lang w:val="en-US" w:eastAsia="zh-CN"/>
                    </w:rPr>
                    <w:t>E：103°11′43.501″，N：25°33′42.440″</w:t>
                  </w:r>
                </w:p>
              </w:tc>
            </w:tr>
            <w:tr w14:paraId="124B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2" w:type="dxa"/>
                  <w:gridSpan w:val="3"/>
                  <w:vAlign w:val="center"/>
                </w:tcPr>
                <w:p w14:paraId="0C9C4EA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4531" w:type="dxa"/>
                  <w:gridSpan w:val="3"/>
                  <w:vAlign w:val="center"/>
                </w:tcPr>
                <w:p w14:paraId="03088A8E">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shd w:val="clear" w:color="auto" w:fill="auto"/>
                      <w:lang w:val="zh-CN" w:eastAsia="zh-CN"/>
                    </w:rPr>
                    <w:t>执行</w:t>
                  </w:r>
                  <w:r>
                    <w:rPr>
                      <w:rFonts w:hint="default" w:ascii="Times New Roman" w:hAnsi="Times New Roman" w:cs="Times New Roman"/>
                      <w:color w:val="auto"/>
                      <w:sz w:val="21"/>
                      <w:szCs w:val="21"/>
                      <w:shd w:val="clear" w:color="auto" w:fill="auto"/>
                      <w:lang w:val="zh-CN" w:eastAsia="zh-CN"/>
                    </w:rPr>
                    <w:t>《大气污染物综合排放标准》（GB16297-1996）表2中二级标准</w:t>
                  </w:r>
                  <w:r>
                    <w:rPr>
                      <w:color w:val="auto"/>
                      <w:sz w:val="21"/>
                      <w:szCs w:val="21"/>
                    </w:rPr>
                    <w:t>要求</w:t>
                  </w:r>
                  <w:r>
                    <w:rPr>
                      <w:rFonts w:hint="eastAsia"/>
                      <w:color w:val="auto"/>
                      <w:sz w:val="21"/>
                      <w:szCs w:val="21"/>
                      <w:lang w:eastAsia="zh-CN"/>
                    </w:rPr>
                    <w:t>。</w:t>
                  </w:r>
                </w:p>
              </w:tc>
            </w:tr>
            <w:tr w14:paraId="09A8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gridSpan w:val="2"/>
                  <w:vMerge w:val="restart"/>
                  <w:vAlign w:val="center"/>
                </w:tcPr>
                <w:p w14:paraId="3C2E60B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2590" w:type="dxa"/>
                  <w:vAlign w:val="center"/>
                </w:tcPr>
                <w:p w14:paraId="5F2608F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2748" w:type="dxa"/>
                  <w:gridSpan w:val="2"/>
                  <w:vAlign w:val="center"/>
                </w:tcPr>
                <w:p w14:paraId="05E1C76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w:t>
                  </w:r>
                  <w:r>
                    <w:rPr>
                      <w:rFonts w:hint="eastAsia" w:cs="Times New Roman"/>
                      <w:b w:val="0"/>
                      <w:bCs w:val="0"/>
                      <w:color w:val="auto"/>
                      <w:spacing w:val="-10"/>
                      <w:sz w:val="21"/>
                      <w:szCs w:val="21"/>
                      <w:highlight w:val="none"/>
                      <w:vertAlign w:val="baseline"/>
                      <w:lang w:val="en-US" w:eastAsia="zh-CN"/>
                    </w:rPr>
                    <w:t>3</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c>
                <w:tcPr>
                  <w:tcW w:w="1783" w:type="dxa"/>
                  <w:vAlign w:val="center"/>
                </w:tcPr>
                <w:p w14:paraId="3D29314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r>
            <w:tr w14:paraId="122E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gridSpan w:val="2"/>
                  <w:vMerge w:val="continue"/>
                  <w:vAlign w:val="center"/>
                </w:tcPr>
                <w:p w14:paraId="78F870F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590" w:type="dxa"/>
                  <w:vAlign w:val="center"/>
                </w:tcPr>
                <w:p w14:paraId="7835AA4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4531" w:type="dxa"/>
                  <w:gridSpan w:val="3"/>
                  <w:vAlign w:val="center"/>
                </w:tcPr>
                <w:p w14:paraId="43F174F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r>
            <w:tr w14:paraId="6690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gridSpan w:val="2"/>
                  <w:vMerge w:val="continue"/>
                  <w:vAlign w:val="center"/>
                </w:tcPr>
                <w:p w14:paraId="0807E20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590" w:type="dxa"/>
                  <w:vAlign w:val="center"/>
                </w:tcPr>
                <w:p w14:paraId="6CC96C3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2748" w:type="dxa"/>
                  <w:gridSpan w:val="2"/>
                  <w:vAlign w:val="center"/>
                </w:tcPr>
                <w:p w14:paraId="4831FBB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c>
                <w:tcPr>
                  <w:tcW w:w="1783" w:type="dxa"/>
                  <w:vAlign w:val="center"/>
                </w:tcPr>
                <w:p w14:paraId="04AB4F3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r>
          </w:tbl>
          <w:p w14:paraId="40D716B2">
            <w:pPr>
              <w:keepNext w:val="0"/>
              <w:keepLines w:val="0"/>
              <w:pageBreakBefore w:val="0"/>
              <w:widowControl w:val="0"/>
              <w:kinsoku/>
              <w:wordWrap/>
              <w:overflowPunct/>
              <w:topLinePunct w:val="0"/>
              <w:autoSpaceDE/>
              <w:autoSpaceDN/>
              <w:bidi w:val="0"/>
              <w:adjustRightInd w:val="0"/>
              <w:snapToGrid w:val="0"/>
              <w:spacing w:line="360" w:lineRule="auto"/>
              <w:ind w:firstLine="506"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b/>
                <w:bCs/>
                <w:color w:val="auto"/>
                <w:spacing w:val="6"/>
                <w:kern w:val="2"/>
                <w:sz w:val="24"/>
                <w:szCs w:val="24"/>
                <w:highlight w:val="none"/>
                <w:lang w:val="en-US" w:eastAsia="zh-CN" w:bidi="ar-SA"/>
              </w:rPr>
              <w:t>⑤</w:t>
            </w:r>
            <w:r>
              <w:rPr>
                <w:rFonts w:hint="eastAsia" w:ascii="Times New Roman" w:hAnsi="Times New Roman" w:cs="Times New Roman"/>
                <w:b/>
                <w:bCs/>
                <w:color w:val="auto"/>
                <w:sz w:val="24"/>
                <w:highlight w:val="none"/>
                <w:u w:val="none"/>
                <w:lang w:val="en-US" w:eastAsia="zh-CN"/>
              </w:rPr>
              <w:t>喂煤仓粉尘</w:t>
            </w:r>
          </w:p>
          <w:p w14:paraId="7A0C25E9">
            <w:pPr>
              <w:adjustRightInd w:val="0"/>
              <w:snapToGrid w:val="0"/>
              <w:spacing w:line="360" w:lineRule="auto"/>
              <w:ind w:firstLine="480" w:firstLineChars="200"/>
              <w:rPr>
                <w:rFonts w:hint="eastAsia" w:cs="Times New Roman"/>
                <w:color w:val="auto"/>
                <w:sz w:val="24"/>
                <w:szCs w:val="24"/>
                <w:lang w:val="zh-CN"/>
              </w:rPr>
            </w:pP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lang w:val="zh-CN"/>
              </w:rPr>
              <w:t>篦式烘干机设两座喂料仓</w:t>
            </w:r>
            <w:r>
              <w:rPr>
                <w:rFonts w:hint="eastAsia" w:cs="Times New Roman"/>
                <w:color w:val="auto"/>
                <w:sz w:val="24"/>
                <w:szCs w:val="24"/>
                <w:lang w:val="zh-CN" w:eastAsia="zh-CN"/>
              </w:rPr>
              <w:t>，单个容积为</w:t>
            </w:r>
            <w:r>
              <w:rPr>
                <w:rFonts w:hint="eastAsia" w:cs="Times New Roman"/>
                <w:color w:val="auto"/>
                <w:sz w:val="24"/>
                <w:szCs w:val="24"/>
                <w:lang w:val="en-US" w:eastAsia="zh-CN"/>
              </w:rPr>
              <w:t>85m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w:t>
            </w:r>
            <w:r>
              <w:rPr>
                <w:rFonts w:hint="eastAsia" w:cs="Times New Roman"/>
                <w:color w:val="auto"/>
                <w:sz w:val="24"/>
                <w:szCs w:val="24"/>
                <w:lang w:val="zh-CN"/>
              </w:rPr>
              <w:t>每座喂料仓底部设置一台定量给料机，仓内褐煤原煤通过定量给料机计量出料，分别经气动双重锤翻板锁风阀喂入篦式烘干机进行流态化烘干，使原煤水分从55%</w:t>
            </w:r>
            <w:r>
              <w:rPr>
                <w:rFonts w:hint="eastAsia" w:cs="Times New Roman"/>
                <w:color w:val="auto"/>
                <w:sz w:val="24"/>
                <w:szCs w:val="24"/>
                <w:lang w:val="en-US" w:eastAsia="zh-CN"/>
              </w:rPr>
              <w:t>-60%</w:t>
            </w:r>
            <w:r>
              <w:rPr>
                <w:rFonts w:hint="eastAsia" w:cs="Times New Roman"/>
                <w:color w:val="auto"/>
                <w:sz w:val="24"/>
                <w:szCs w:val="24"/>
                <w:lang w:val="zh-CN"/>
              </w:rPr>
              <w:t>下降到30%</w:t>
            </w:r>
            <w:r>
              <w:rPr>
                <w:rFonts w:hint="eastAsia" w:cs="Times New Roman"/>
                <w:color w:val="auto"/>
                <w:sz w:val="24"/>
                <w:szCs w:val="24"/>
                <w:lang w:val="en-US" w:eastAsia="zh-CN"/>
              </w:rPr>
              <w:t>-25%</w:t>
            </w:r>
            <w:r>
              <w:rPr>
                <w:rFonts w:hint="eastAsia" w:cs="Times New Roman"/>
                <w:color w:val="auto"/>
                <w:sz w:val="24"/>
                <w:szCs w:val="24"/>
                <w:lang w:val="zh-CN"/>
              </w:rPr>
              <w:t>。</w:t>
            </w:r>
          </w:p>
          <w:p w14:paraId="0D32A828">
            <w:pPr>
              <w:adjustRightInd w:val="0"/>
              <w:snapToGrid w:val="0"/>
              <w:spacing w:line="360" w:lineRule="auto"/>
              <w:ind w:firstLine="480" w:firstLineChars="200"/>
              <w:rPr>
                <w:rFonts w:hint="eastAsia" w:eastAsia="宋体"/>
                <w:color w:val="auto"/>
                <w:sz w:val="24"/>
                <w:lang w:val="en-US" w:eastAsia="zh-CN"/>
              </w:rPr>
            </w:pPr>
            <w:r>
              <w:rPr>
                <w:rFonts w:hint="eastAsia"/>
                <w:color w:val="auto"/>
                <w:sz w:val="24"/>
              </w:rPr>
              <w:t>在原煤</w:t>
            </w:r>
            <w:r>
              <w:rPr>
                <w:rFonts w:hint="eastAsia"/>
                <w:color w:val="auto"/>
                <w:sz w:val="24"/>
                <w:lang w:eastAsia="zh-CN"/>
              </w:rPr>
              <w:t>喂</w:t>
            </w:r>
            <w:r>
              <w:rPr>
                <w:rFonts w:hint="eastAsia"/>
                <w:color w:val="auto"/>
                <w:sz w:val="24"/>
              </w:rPr>
              <w:t>料仓内，</w:t>
            </w:r>
            <w:r>
              <w:rPr>
                <w:rFonts w:hint="eastAsia"/>
                <w:color w:val="auto"/>
                <w:sz w:val="24"/>
                <w:lang w:eastAsia="zh-CN"/>
              </w:rPr>
              <w:t>给料机</w:t>
            </w:r>
            <w:r>
              <w:rPr>
                <w:rFonts w:hint="eastAsia"/>
                <w:color w:val="auto"/>
                <w:sz w:val="24"/>
              </w:rPr>
              <w:t>送入的原煤在落料时将有煤尘产生，同时</w:t>
            </w:r>
            <w:r>
              <w:rPr>
                <w:rFonts w:hint="eastAsia"/>
                <w:color w:val="auto"/>
                <w:sz w:val="24"/>
                <w:lang w:eastAsia="zh-CN"/>
              </w:rPr>
              <w:t>喂</w:t>
            </w:r>
            <w:r>
              <w:rPr>
                <w:rFonts w:hint="eastAsia"/>
                <w:color w:val="auto"/>
                <w:sz w:val="24"/>
              </w:rPr>
              <w:t>煤仓向预烘干系统喂料时，原煤受到扰动也将产生一定扬尘。</w:t>
            </w:r>
            <w:r>
              <w:rPr>
                <w:rFonts w:hint="eastAsia"/>
                <w:color w:val="auto"/>
                <w:sz w:val="24"/>
                <w:lang w:eastAsia="zh-CN"/>
              </w:rPr>
              <w:t>参考《</w:t>
            </w:r>
            <w:r>
              <w:rPr>
                <w:rFonts w:hint="eastAsia"/>
                <w:color w:val="auto"/>
                <w:sz w:val="24"/>
              </w:rPr>
              <w:t>弥勒羚羊能源有限公司年处理200万吨褐煤提质项目》</w:t>
            </w:r>
            <w:r>
              <w:rPr>
                <w:rFonts w:hint="eastAsia"/>
                <w:color w:val="auto"/>
                <w:sz w:val="24"/>
                <w:lang w:eastAsia="zh-CN"/>
              </w:rPr>
              <w:t>喂</w:t>
            </w:r>
            <w:r>
              <w:rPr>
                <w:rFonts w:hint="eastAsia"/>
                <w:color w:val="auto"/>
                <w:sz w:val="24"/>
              </w:rPr>
              <w:t>煤仓内的扬尘产生系数约为0.05</w:t>
            </w:r>
            <w:r>
              <w:rPr>
                <w:color w:val="auto"/>
                <w:sz w:val="24"/>
              </w:rPr>
              <w:t>kg/t-</w:t>
            </w:r>
            <w:r>
              <w:rPr>
                <w:rFonts w:hint="eastAsia"/>
                <w:color w:val="auto"/>
                <w:sz w:val="24"/>
              </w:rPr>
              <w:t>原煤。</w:t>
            </w:r>
            <w:r>
              <w:rPr>
                <w:rFonts w:hint="eastAsia"/>
                <w:color w:val="auto"/>
                <w:sz w:val="24"/>
                <w:lang w:eastAsia="zh-CN"/>
              </w:rPr>
              <w:t>项目给料</w:t>
            </w:r>
            <w:r>
              <w:rPr>
                <w:rFonts w:hint="eastAsia"/>
                <w:color w:val="auto"/>
                <w:sz w:val="24"/>
                <w:lang w:val="en-US" w:eastAsia="zh-CN"/>
              </w:rPr>
              <w:t>100万t/a，</w:t>
            </w:r>
            <w:r>
              <w:rPr>
                <w:rFonts w:hint="eastAsia"/>
                <w:color w:val="auto"/>
                <w:sz w:val="24"/>
              </w:rPr>
              <w:t>则</w:t>
            </w:r>
            <w:r>
              <w:rPr>
                <w:rFonts w:hint="eastAsia"/>
                <w:color w:val="auto"/>
                <w:sz w:val="24"/>
                <w:lang w:eastAsia="zh-CN"/>
              </w:rPr>
              <w:t>喂</w:t>
            </w:r>
            <w:r>
              <w:rPr>
                <w:rFonts w:hint="eastAsia"/>
                <w:color w:val="auto"/>
                <w:sz w:val="24"/>
              </w:rPr>
              <w:t>煤仓内煤尘产生量约为50</w:t>
            </w:r>
            <w:r>
              <w:rPr>
                <w:color w:val="auto"/>
                <w:sz w:val="24"/>
              </w:rPr>
              <w:t>t/</w:t>
            </w:r>
            <w:r>
              <w:rPr>
                <w:rFonts w:hint="eastAsia"/>
                <w:color w:val="auto"/>
                <w:sz w:val="24"/>
                <w:lang w:val="en-US" w:eastAsia="zh-CN"/>
              </w:rPr>
              <w:t>a。</w:t>
            </w:r>
          </w:p>
          <w:p w14:paraId="772AB1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eastAsia="Times New Roman"/>
                <w:color w:val="auto"/>
                <w:sz w:val="24"/>
                <w:lang w:val="zh-CN"/>
              </w:rPr>
            </w:pPr>
            <w:r>
              <w:rPr>
                <w:rFonts w:hint="eastAsia" w:cs="Times New Roman"/>
                <w:color w:val="auto"/>
                <w:sz w:val="24"/>
                <w:szCs w:val="24"/>
                <w:lang w:val="zh-CN"/>
              </w:rPr>
              <w:t>喂煤仓顶部设置一个布袋除尘器，</w:t>
            </w:r>
            <w:r>
              <w:rPr>
                <w:rFonts w:hint="eastAsia"/>
                <w:color w:val="auto"/>
                <w:sz w:val="24"/>
                <w:lang w:eastAsia="zh-CN"/>
              </w:rPr>
              <w:t>粉尘经集气罩</w:t>
            </w:r>
            <w:r>
              <w:rPr>
                <w:rFonts w:hint="eastAsia"/>
                <w:color w:val="auto"/>
                <w:sz w:val="24"/>
                <w:lang w:val="en-US" w:eastAsia="zh-CN"/>
              </w:rPr>
              <w:t>+</w:t>
            </w:r>
            <w:r>
              <w:rPr>
                <w:rFonts w:hint="eastAsia"/>
                <w:color w:val="auto"/>
                <w:sz w:val="24"/>
                <w:lang w:eastAsia="zh-CN"/>
              </w:rPr>
              <w:t>风管</w:t>
            </w:r>
            <w:r>
              <w:rPr>
                <w:rFonts w:hint="eastAsia"/>
                <w:color w:val="auto"/>
                <w:sz w:val="24"/>
              </w:rPr>
              <w:t>（</w:t>
            </w:r>
            <w:r>
              <w:rPr>
                <w:rFonts w:hint="eastAsia" w:eastAsia="Times New Roman"/>
                <w:color w:val="auto"/>
                <w:sz w:val="24"/>
                <w:lang w:val="zh-CN"/>
              </w:rPr>
              <w:t>集气效率为</w:t>
            </w:r>
            <w:r>
              <w:rPr>
                <w:rFonts w:hint="eastAsia" w:eastAsia="宋体"/>
                <w:color w:val="auto"/>
                <w:sz w:val="24"/>
                <w:lang w:val="en-US" w:eastAsia="zh-CN"/>
              </w:rPr>
              <w:t>8</w:t>
            </w:r>
            <w:r>
              <w:rPr>
                <w:rFonts w:hint="eastAsia"/>
                <w:color w:val="auto"/>
                <w:sz w:val="24"/>
                <w:lang w:val="en-US" w:eastAsia="zh-CN"/>
              </w:rPr>
              <w:t>5</w:t>
            </w:r>
            <w:r>
              <w:rPr>
                <w:rFonts w:hint="eastAsia"/>
                <w:color w:val="auto"/>
                <w:sz w:val="24"/>
              </w:rPr>
              <w:t>%）</w:t>
            </w:r>
            <w:r>
              <w:rPr>
                <w:rFonts w:hint="eastAsia"/>
                <w:color w:val="auto"/>
                <w:sz w:val="24"/>
                <w:lang w:eastAsia="zh-CN"/>
              </w:rPr>
              <w:t>收集</w:t>
            </w:r>
            <w:r>
              <w:rPr>
                <w:rFonts w:hint="eastAsia"/>
                <w:color w:val="auto"/>
                <w:sz w:val="24"/>
              </w:rPr>
              <w:t>后</w:t>
            </w:r>
            <w:r>
              <w:rPr>
                <w:rFonts w:eastAsia="Times New Roman"/>
                <w:color w:val="auto"/>
                <w:sz w:val="24"/>
                <w:lang w:val="zh-CN"/>
              </w:rPr>
              <w:t>通过</w:t>
            </w:r>
            <w:r>
              <w:rPr>
                <w:rFonts w:hint="eastAsia" w:eastAsia="Times New Roman"/>
                <w:color w:val="auto"/>
                <w:sz w:val="24"/>
                <w:lang w:val="zh-CN"/>
              </w:rPr>
              <w:t>引风机（风机风量</w:t>
            </w:r>
            <w:r>
              <w:rPr>
                <w:rFonts w:hint="eastAsia"/>
                <w:color w:val="auto"/>
                <w:sz w:val="24"/>
                <w:lang w:val="en-US" w:eastAsia="zh-CN"/>
              </w:rPr>
              <w:t>9639</w:t>
            </w:r>
            <w:r>
              <w:rPr>
                <w:rFonts w:hint="eastAsia"/>
                <w:color w:val="auto"/>
                <w:sz w:val="24"/>
              </w:rPr>
              <w:t>m</w:t>
            </w:r>
            <w:r>
              <w:rPr>
                <w:rFonts w:hint="eastAsia"/>
                <w:color w:val="auto"/>
                <w:sz w:val="24"/>
                <w:vertAlign w:val="superscript"/>
              </w:rPr>
              <w:t>3</w:t>
            </w:r>
            <w:r>
              <w:rPr>
                <w:rFonts w:hint="eastAsia"/>
                <w:color w:val="auto"/>
                <w:sz w:val="24"/>
              </w:rPr>
              <w:t>/h</w:t>
            </w:r>
            <w:r>
              <w:rPr>
                <w:rFonts w:hint="eastAsia" w:eastAsia="Times New Roman"/>
                <w:color w:val="auto"/>
                <w:sz w:val="24"/>
                <w:lang w:val="zh-CN"/>
              </w:rPr>
              <w:t>）引至</w:t>
            </w:r>
            <w:r>
              <w:rPr>
                <w:rFonts w:eastAsia="Times New Roman"/>
                <w:color w:val="auto"/>
                <w:sz w:val="24"/>
                <w:lang w:val="zh-CN"/>
              </w:rPr>
              <w:t>处理效率为9</w:t>
            </w:r>
            <w:r>
              <w:rPr>
                <w:rFonts w:hint="eastAsia" w:eastAsia="宋体"/>
                <w:color w:val="auto"/>
                <w:sz w:val="24"/>
                <w:lang w:val="en-US" w:eastAsia="zh-CN"/>
              </w:rPr>
              <w:t>9</w:t>
            </w:r>
            <w:r>
              <w:rPr>
                <w:rFonts w:hint="eastAsia"/>
                <w:color w:val="auto"/>
                <w:sz w:val="24"/>
                <w:lang w:val="en-US" w:eastAsia="zh-CN"/>
              </w:rPr>
              <w:t>.6</w:t>
            </w:r>
            <w:r>
              <w:rPr>
                <w:rFonts w:eastAsia="Times New Roman"/>
                <w:color w:val="auto"/>
                <w:sz w:val="24"/>
                <w:lang w:val="zh-CN"/>
              </w:rPr>
              <w:t>%的</w:t>
            </w:r>
            <w:r>
              <w:rPr>
                <w:rFonts w:hint="eastAsia" w:eastAsia="Times New Roman"/>
                <w:color w:val="auto"/>
                <w:sz w:val="24"/>
                <w:lang w:val="zh-CN"/>
              </w:rPr>
              <w:t>袋式</w:t>
            </w:r>
            <w:r>
              <w:rPr>
                <w:rFonts w:eastAsia="Times New Roman"/>
                <w:color w:val="auto"/>
                <w:sz w:val="24"/>
                <w:lang w:val="zh-CN"/>
              </w:rPr>
              <w:t>除尘器处理</w:t>
            </w:r>
            <w:r>
              <w:rPr>
                <w:rFonts w:hint="eastAsia" w:eastAsia="Times New Roman"/>
                <w:color w:val="auto"/>
                <w:sz w:val="24"/>
                <w:lang w:val="zh-CN"/>
              </w:rPr>
              <w:t>达标</w:t>
            </w:r>
            <w:r>
              <w:rPr>
                <w:rFonts w:eastAsia="Times New Roman"/>
                <w:color w:val="auto"/>
                <w:sz w:val="24"/>
                <w:lang w:val="zh-CN"/>
              </w:rPr>
              <w:t>后，由一根</w:t>
            </w:r>
            <w:r>
              <w:rPr>
                <w:rFonts w:hint="eastAsia" w:eastAsia="Times New Roman"/>
                <w:color w:val="auto"/>
                <w:sz w:val="24"/>
                <w:lang w:val="zh-CN"/>
              </w:rPr>
              <w:t>内径为</w:t>
            </w:r>
            <w:r>
              <w:rPr>
                <w:rFonts w:hint="eastAsia" w:eastAsia="宋体"/>
                <w:color w:val="auto"/>
                <w:sz w:val="24"/>
                <w:lang w:val="en-US" w:eastAsia="zh-CN"/>
              </w:rPr>
              <w:t>0.</w:t>
            </w:r>
            <w:r>
              <w:rPr>
                <w:rFonts w:hint="eastAsia"/>
                <w:color w:val="auto"/>
                <w:sz w:val="24"/>
                <w:lang w:val="en-US" w:eastAsia="zh-CN"/>
              </w:rPr>
              <w:t>5</w:t>
            </w:r>
            <w:r>
              <w:rPr>
                <w:rFonts w:hint="eastAsia" w:eastAsia="宋体"/>
                <w:color w:val="auto"/>
                <w:sz w:val="24"/>
                <w:lang w:val="en-US" w:eastAsia="zh-CN"/>
              </w:rPr>
              <w:t>m，36</w:t>
            </w:r>
            <w:r>
              <w:rPr>
                <w:rFonts w:eastAsia="Times New Roman"/>
                <w:color w:val="auto"/>
                <w:sz w:val="24"/>
                <w:lang w:val="zh-CN"/>
              </w:rPr>
              <w:t>m高的排气筒</w:t>
            </w:r>
            <w:r>
              <w:rPr>
                <w:rFonts w:hint="eastAsia" w:eastAsia="Times New Roman"/>
                <w:color w:val="auto"/>
                <w:sz w:val="24"/>
                <w:lang w:val="zh-CN"/>
              </w:rPr>
              <w:t>（</w:t>
            </w:r>
            <w:r>
              <w:rPr>
                <w:rFonts w:hint="eastAsia"/>
                <w:color w:val="auto"/>
                <w:sz w:val="24"/>
              </w:rPr>
              <w:t>DA00</w:t>
            </w:r>
            <w:r>
              <w:rPr>
                <w:rFonts w:hint="eastAsia"/>
                <w:color w:val="auto"/>
                <w:sz w:val="24"/>
                <w:lang w:val="en-US" w:eastAsia="zh-CN"/>
              </w:rPr>
              <w:t>4）</w:t>
            </w:r>
            <w:r>
              <w:rPr>
                <w:rFonts w:eastAsia="Times New Roman"/>
                <w:color w:val="auto"/>
                <w:sz w:val="24"/>
                <w:lang w:val="zh-CN"/>
              </w:rPr>
              <w:t>排放。</w:t>
            </w:r>
          </w:p>
          <w:p w14:paraId="6030BF29">
            <w:pPr>
              <w:adjustRightInd w:val="0"/>
              <w:snapToGrid w:val="0"/>
              <w:spacing w:line="360" w:lineRule="auto"/>
              <w:ind w:firstLine="480" w:firstLineChars="200"/>
              <w:rPr>
                <w:rFonts w:hint="eastAsia"/>
                <w:color w:val="auto"/>
                <w:sz w:val="24"/>
              </w:rPr>
            </w:pPr>
            <w:r>
              <w:rPr>
                <w:rFonts w:hint="eastAsia"/>
                <w:color w:val="auto"/>
                <w:sz w:val="24"/>
                <w:lang w:val="en-US" w:eastAsia="zh-CN"/>
              </w:rPr>
              <w:t>项目工程建设完成后DA004排气筒有组织粉尘</w:t>
            </w:r>
            <w:r>
              <w:rPr>
                <w:rFonts w:hint="eastAsia" w:ascii="Times New Roman" w:hAnsi="Times New Roman" w:eastAsia="宋体" w:cs="Times New Roman"/>
                <w:color w:val="auto"/>
                <w:sz w:val="24"/>
                <w:highlight w:val="none"/>
                <w:lang w:eastAsia="zh-CN"/>
              </w:rPr>
              <w:t>产生量为</w:t>
            </w:r>
            <w:r>
              <w:rPr>
                <w:rFonts w:hint="eastAsia" w:ascii="Times New Roman" w:hAnsi="Times New Roman" w:eastAsia="宋体" w:cs="Times New Roman"/>
                <w:color w:val="auto"/>
                <w:sz w:val="24"/>
                <w:highlight w:val="none"/>
                <w:lang w:val="en-US" w:eastAsia="zh-CN"/>
              </w:rPr>
              <w:t>42.5t/a，产生速率为</w:t>
            </w:r>
            <w:r>
              <w:rPr>
                <w:rFonts w:hint="eastAsia" w:cs="Times New Roman"/>
                <w:color w:val="auto"/>
                <w:sz w:val="24"/>
                <w:highlight w:val="none"/>
                <w:lang w:val="en-US" w:eastAsia="zh-CN"/>
              </w:rPr>
              <w:t>6.3244</w:t>
            </w:r>
            <w:r>
              <w:rPr>
                <w:rFonts w:hint="eastAsia" w:ascii="Times New Roman" w:hAnsi="Times New Roman" w:eastAsia="宋体" w:cs="Times New Roman"/>
                <w:color w:val="auto"/>
                <w:sz w:val="24"/>
                <w:highlight w:val="none"/>
                <w:lang w:val="en-US" w:eastAsia="zh-CN"/>
              </w:rPr>
              <w:t>kg/h，产生浓度</w:t>
            </w:r>
            <w:r>
              <w:rPr>
                <w:rFonts w:hint="eastAsia" w:cs="Times New Roman"/>
                <w:color w:val="auto"/>
                <w:sz w:val="24"/>
                <w:highlight w:val="none"/>
                <w:lang w:val="en-US" w:eastAsia="zh-CN"/>
              </w:rPr>
              <w:t>656.13</w:t>
            </w:r>
            <w:r>
              <w:rPr>
                <w:bCs/>
                <w:color w:val="auto"/>
                <w:spacing w:val="-10"/>
                <w:szCs w:val="21"/>
              </w:rPr>
              <w:t>mg/m</w:t>
            </w:r>
            <w:r>
              <w:rPr>
                <w:bCs/>
                <w:color w:val="auto"/>
                <w:spacing w:val="-10"/>
                <w:szCs w:val="21"/>
                <w:vertAlign w:val="superscript"/>
              </w:rPr>
              <w:t>3</w:t>
            </w:r>
            <w:r>
              <w:rPr>
                <w:rFonts w:hint="eastAsia"/>
                <w:bCs/>
                <w:color w:val="auto"/>
                <w:spacing w:val="-10"/>
                <w:szCs w:val="21"/>
                <w:vertAlign w:val="baseline"/>
                <w:lang w:eastAsia="zh-CN"/>
              </w:rPr>
              <w:t>；</w:t>
            </w:r>
            <w:r>
              <w:rPr>
                <w:rFonts w:hint="eastAsia" w:eastAsia="Times New Roman"/>
                <w:color w:val="auto"/>
                <w:sz w:val="24"/>
                <w:lang w:val="zh-CN"/>
              </w:rPr>
              <w:t>有组织</w:t>
            </w:r>
            <w:r>
              <w:rPr>
                <w:rFonts w:hint="eastAsia" w:ascii="Times New Roman" w:hAnsi="Times New Roman" w:eastAsia="宋体" w:cs="Times New Roman"/>
                <w:color w:val="auto"/>
                <w:sz w:val="24"/>
                <w:highlight w:val="none"/>
                <w:lang w:eastAsia="zh-CN"/>
              </w:rPr>
              <w:t>粉尘排放量为</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17</w:t>
            </w:r>
            <w:r>
              <w:rPr>
                <w:rFonts w:hint="eastAsia" w:ascii="Times New Roman" w:hAnsi="Times New Roman" w:eastAsia="宋体" w:cs="Times New Roman"/>
                <w:color w:val="auto"/>
                <w:sz w:val="24"/>
                <w:highlight w:val="none"/>
                <w:lang w:val="en-US" w:eastAsia="zh-CN"/>
              </w:rPr>
              <w:t>t/a，排放速率为0.</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253</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2.62</w:t>
            </w:r>
            <w:r>
              <w:rPr>
                <w:bCs/>
                <w:color w:val="auto"/>
                <w:spacing w:val="-10"/>
                <w:szCs w:val="21"/>
              </w:rPr>
              <w:t>mg/m</w:t>
            </w:r>
            <w:r>
              <w:rPr>
                <w:bCs/>
                <w:color w:val="auto"/>
                <w:spacing w:val="-10"/>
                <w:szCs w:val="21"/>
                <w:vertAlign w:val="superscript"/>
              </w:rPr>
              <w:t>3</w:t>
            </w:r>
            <w:r>
              <w:rPr>
                <w:rFonts w:hint="eastAsia"/>
                <w:bCs/>
                <w:color w:val="auto"/>
                <w:spacing w:val="-10"/>
                <w:szCs w:val="21"/>
                <w:vertAlign w:val="baseline"/>
                <w:lang w:eastAsia="zh-CN"/>
              </w:rPr>
              <w:t>；</w:t>
            </w:r>
            <w:r>
              <w:rPr>
                <w:rFonts w:hint="eastAsia"/>
                <w:color w:val="auto"/>
                <w:sz w:val="24"/>
              </w:rPr>
              <w:t>无组织</w:t>
            </w:r>
            <w:r>
              <w:rPr>
                <w:rFonts w:hint="eastAsia"/>
                <w:color w:val="auto"/>
                <w:sz w:val="24"/>
                <w:lang w:eastAsia="zh-CN"/>
              </w:rPr>
              <w:t>产生</w:t>
            </w:r>
            <w:r>
              <w:rPr>
                <w:rFonts w:hint="eastAsia"/>
                <w:color w:val="auto"/>
                <w:sz w:val="24"/>
              </w:rPr>
              <w:t>量为</w:t>
            </w:r>
            <w:r>
              <w:rPr>
                <w:rFonts w:hint="eastAsia"/>
                <w:color w:val="auto"/>
                <w:sz w:val="24"/>
                <w:lang w:val="en-US" w:eastAsia="zh-CN"/>
              </w:rPr>
              <w:t>7.5</w:t>
            </w:r>
            <w:r>
              <w:rPr>
                <w:rFonts w:hint="eastAsia"/>
                <w:color w:val="auto"/>
                <w:sz w:val="24"/>
              </w:rPr>
              <w:t>t/a，</w:t>
            </w:r>
            <w:r>
              <w:rPr>
                <w:rFonts w:hint="eastAsia"/>
                <w:color w:val="auto"/>
                <w:sz w:val="24"/>
                <w:lang w:eastAsia="zh-CN"/>
              </w:rPr>
              <w:t>产生</w:t>
            </w:r>
            <w:r>
              <w:rPr>
                <w:rFonts w:hint="eastAsia"/>
                <w:color w:val="auto"/>
                <w:sz w:val="24"/>
              </w:rPr>
              <w:t>速率为</w:t>
            </w:r>
            <w:r>
              <w:rPr>
                <w:rFonts w:hint="eastAsia"/>
                <w:color w:val="auto"/>
                <w:sz w:val="24"/>
                <w:lang w:val="en-US" w:eastAsia="zh-CN"/>
              </w:rPr>
              <w:t>1.1161</w:t>
            </w:r>
            <w:r>
              <w:rPr>
                <w:rFonts w:hint="eastAsia"/>
                <w:color w:val="auto"/>
                <w:sz w:val="24"/>
              </w:rPr>
              <w:t>kg/h。</w:t>
            </w:r>
          </w:p>
          <w:p w14:paraId="32FC7DE0">
            <w:pPr>
              <w:adjustRightInd w:val="0"/>
              <w:snapToGrid w:val="0"/>
              <w:spacing w:line="360" w:lineRule="auto"/>
              <w:ind w:firstLine="480" w:firstLineChars="200"/>
              <w:rPr>
                <w:rFonts w:hint="eastAsia" w:eastAsia="宋体"/>
                <w:color w:val="auto"/>
                <w:sz w:val="24"/>
                <w:lang w:val="en-US" w:eastAsia="zh-CN"/>
              </w:rPr>
            </w:pPr>
            <w:r>
              <w:rPr>
                <w:rFonts w:hint="eastAsia"/>
                <w:color w:val="auto"/>
                <w:sz w:val="24"/>
              </w:rPr>
              <w:t>项目</w:t>
            </w:r>
            <w:r>
              <w:rPr>
                <w:rFonts w:hint="eastAsia"/>
                <w:color w:val="auto"/>
                <w:sz w:val="24"/>
                <w:lang w:eastAsia="zh-CN"/>
              </w:rPr>
              <w:t>喂料仓为全封闭式</w:t>
            </w:r>
            <w:r>
              <w:rPr>
                <w:rFonts w:hint="eastAsia"/>
                <w:color w:val="auto"/>
                <w:sz w:val="24"/>
              </w:rPr>
              <w:t>，粉尘经阻隔后，大部分在</w:t>
            </w:r>
            <w:r>
              <w:rPr>
                <w:rFonts w:hint="eastAsia"/>
                <w:color w:val="auto"/>
                <w:sz w:val="24"/>
                <w:lang w:eastAsia="zh-CN"/>
              </w:rPr>
              <w:t>喂料仓</w:t>
            </w:r>
            <w:r>
              <w:rPr>
                <w:rFonts w:hint="eastAsia"/>
                <w:color w:val="auto"/>
                <w:sz w:val="24"/>
              </w:rPr>
              <w:t>内沉降，少部分</w:t>
            </w:r>
            <w:r>
              <w:rPr>
                <w:rFonts w:hint="eastAsia"/>
                <w:color w:val="auto"/>
                <w:sz w:val="24"/>
                <w:lang w:eastAsia="zh-CN"/>
              </w:rPr>
              <w:t>溢出，</w:t>
            </w:r>
            <w:r>
              <w:rPr>
                <w:rFonts w:hint="eastAsia"/>
                <w:color w:val="auto"/>
                <w:sz w:val="24"/>
              </w:rPr>
              <w:t>阻隔降尘效率约</w:t>
            </w:r>
            <w:r>
              <w:rPr>
                <w:rFonts w:hint="eastAsia"/>
                <w:color w:val="auto"/>
                <w:sz w:val="24"/>
                <w:lang w:val="en-US" w:eastAsia="zh-CN"/>
              </w:rPr>
              <w:t>8</w:t>
            </w:r>
            <w:r>
              <w:rPr>
                <w:rFonts w:hint="eastAsia"/>
                <w:color w:val="auto"/>
                <w:sz w:val="24"/>
              </w:rPr>
              <w:t>0%，则无组织粉尘排放量为</w:t>
            </w:r>
            <w:r>
              <w:rPr>
                <w:rFonts w:hint="eastAsia"/>
                <w:color w:val="auto"/>
                <w:sz w:val="24"/>
                <w:lang w:val="en-US" w:eastAsia="zh-CN"/>
              </w:rPr>
              <w:t>1.5</w:t>
            </w:r>
            <w:r>
              <w:rPr>
                <w:rFonts w:hint="eastAsia"/>
                <w:color w:val="auto"/>
                <w:sz w:val="24"/>
              </w:rPr>
              <w:t>t/a，排放速率为</w:t>
            </w:r>
            <w:r>
              <w:rPr>
                <w:rFonts w:hint="eastAsia"/>
                <w:color w:val="auto"/>
                <w:sz w:val="24"/>
                <w:lang w:val="en-US" w:eastAsia="zh-CN"/>
              </w:rPr>
              <w:t>0.2232</w:t>
            </w:r>
            <w:r>
              <w:rPr>
                <w:rFonts w:hint="eastAsia"/>
                <w:color w:val="auto"/>
                <w:sz w:val="24"/>
              </w:rPr>
              <w:t>kg/h。</w:t>
            </w:r>
          </w:p>
          <w:p w14:paraId="5E5A4B9A">
            <w:pPr>
              <w:adjustRightInd w:val="0"/>
              <w:snapToGrid w:val="0"/>
              <w:spacing w:line="360" w:lineRule="auto"/>
              <w:ind w:firstLine="480" w:firstLineChars="200"/>
              <w:rPr>
                <w:color w:val="auto"/>
              </w:rPr>
            </w:pPr>
            <w:r>
              <w:rPr>
                <w:rFonts w:hint="eastAsia"/>
                <w:color w:val="auto"/>
                <w:sz w:val="24"/>
                <w:lang w:val="en-US" w:eastAsia="zh-CN"/>
              </w:rPr>
              <w:t>DA004排气筒颗粒物排放浓度</w:t>
            </w:r>
            <w:r>
              <w:rPr>
                <w:color w:val="auto"/>
                <w:sz w:val="24"/>
              </w:rPr>
              <w:t>满足</w:t>
            </w:r>
            <w:r>
              <w:rPr>
                <w:rFonts w:hint="default" w:ascii="Times New Roman" w:hAnsi="Times New Roman" w:cs="Times New Roman"/>
                <w:color w:val="auto"/>
                <w:sz w:val="24"/>
                <w:szCs w:val="24"/>
                <w:shd w:val="clear" w:color="auto" w:fill="auto"/>
                <w:lang w:val="zh-CN" w:eastAsia="zh-CN"/>
              </w:rPr>
              <w:t>《大气污染物综合排放标准》（GB16297-1996）表2中二级标准</w:t>
            </w:r>
            <w:r>
              <w:rPr>
                <w:color w:val="auto"/>
                <w:sz w:val="24"/>
              </w:rPr>
              <w:t>要求（</w:t>
            </w:r>
            <w:r>
              <w:rPr>
                <w:rFonts w:hint="eastAsia"/>
                <w:color w:val="auto"/>
                <w:sz w:val="24"/>
              </w:rPr>
              <w:t>颗粒物</w:t>
            </w:r>
            <w:r>
              <w:rPr>
                <w:color w:val="auto"/>
                <w:sz w:val="24"/>
              </w:rPr>
              <w:t>≤</w:t>
            </w:r>
            <w:r>
              <w:rPr>
                <w:rFonts w:hint="eastAsia"/>
                <w:color w:val="auto"/>
                <w:sz w:val="24"/>
                <w:lang w:val="en-US" w:eastAsia="zh-CN"/>
              </w:rPr>
              <w:t>120</w:t>
            </w:r>
            <w:r>
              <w:rPr>
                <w:color w:val="auto"/>
                <w:sz w:val="24"/>
              </w:rPr>
              <w:t>mg/m</w:t>
            </w:r>
            <w:r>
              <w:rPr>
                <w:color w:val="auto"/>
                <w:sz w:val="24"/>
                <w:vertAlign w:val="superscript"/>
              </w:rPr>
              <w:t>3</w:t>
            </w:r>
            <w:r>
              <w:rPr>
                <w:color w:val="auto"/>
                <w:sz w:val="24"/>
              </w:rPr>
              <w:t>）。</w:t>
            </w:r>
          </w:p>
          <w:p w14:paraId="77FA990D">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 xml:space="preserve">  项目运营</w:t>
            </w:r>
            <w:r>
              <w:rPr>
                <w:rFonts w:hint="default" w:ascii="Times New Roman" w:hAnsi="Times New Roman" w:cs="Times New Roman"/>
                <w:b/>
                <w:bCs/>
                <w:color w:val="auto"/>
                <w:sz w:val="21"/>
                <w:szCs w:val="21"/>
                <w:highlight w:val="none"/>
                <w:lang w:val="en-US" w:eastAsia="zh-CN"/>
              </w:rPr>
              <w:t>期</w:t>
            </w:r>
            <w:r>
              <w:rPr>
                <w:rFonts w:hint="eastAsia" w:ascii="Times New Roman" w:hAnsi="Times New Roman" w:cs="Times New Roman"/>
                <w:b/>
                <w:bCs/>
                <w:color w:val="auto"/>
                <w:sz w:val="21"/>
                <w:szCs w:val="21"/>
                <w:highlight w:val="none"/>
                <w:lang w:val="en-US" w:eastAsia="zh-CN"/>
              </w:rPr>
              <w:t>喂煤仓粉尘废气</w:t>
            </w:r>
            <w:r>
              <w:rPr>
                <w:rFonts w:hint="default" w:ascii="Times New Roman" w:hAnsi="Times New Roman" w:eastAsia="宋体" w:cs="Times New Roman"/>
                <w:b/>
                <w:bCs/>
                <w:color w:val="auto"/>
                <w:sz w:val="21"/>
                <w:szCs w:val="21"/>
                <w:highlight w:val="none"/>
                <w:lang w:val="en-US" w:eastAsia="zh-CN"/>
              </w:rPr>
              <w:t>排放源一览表</w:t>
            </w:r>
          </w:p>
          <w:tbl>
            <w:tblPr>
              <w:tblStyle w:val="28"/>
              <w:tblW w:w="8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386"/>
              <w:gridCol w:w="2592"/>
              <w:gridCol w:w="2607"/>
              <w:gridCol w:w="135"/>
              <w:gridCol w:w="1788"/>
            </w:tblGrid>
            <w:tr w14:paraId="5D53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33" w:type="dxa"/>
                  <w:gridSpan w:val="3"/>
                  <w:vAlign w:val="center"/>
                </w:tcPr>
                <w:p w14:paraId="5933C87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4530" w:type="dxa"/>
                  <w:gridSpan w:val="3"/>
                  <w:vAlign w:val="center"/>
                </w:tcPr>
                <w:p w14:paraId="274D1BA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喂煤仓粉尘</w:t>
                  </w:r>
                </w:p>
              </w:tc>
            </w:tr>
            <w:tr w14:paraId="1B34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33" w:type="dxa"/>
                  <w:gridSpan w:val="3"/>
                  <w:vAlign w:val="center"/>
                </w:tcPr>
                <w:p w14:paraId="3D49DAA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4530" w:type="dxa"/>
                  <w:gridSpan w:val="3"/>
                  <w:vAlign w:val="center"/>
                </w:tcPr>
                <w:p w14:paraId="7BF6A36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r>
            <w:tr w14:paraId="6FBF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33" w:type="dxa"/>
                  <w:gridSpan w:val="3"/>
                  <w:vAlign w:val="center"/>
                </w:tcPr>
                <w:p w14:paraId="3F8388C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2607" w:type="dxa"/>
                  <w:vAlign w:val="center"/>
                </w:tcPr>
                <w:p w14:paraId="405430E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42.5</w:t>
                  </w:r>
                </w:p>
              </w:tc>
              <w:tc>
                <w:tcPr>
                  <w:tcW w:w="1923" w:type="dxa"/>
                  <w:gridSpan w:val="2"/>
                  <w:vAlign w:val="center"/>
                </w:tcPr>
                <w:p w14:paraId="5EB056C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7.5</w:t>
                  </w:r>
                </w:p>
              </w:tc>
            </w:tr>
            <w:tr w14:paraId="731A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gridSpan w:val="3"/>
                  <w:vAlign w:val="center"/>
                </w:tcPr>
                <w:p w14:paraId="2839974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2607" w:type="dxa"/>
                  <w:vAlign w:val="center"/>
                </w:tcPr>
                <w:p w14:paraId="252F82F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656.13</w:t>
                  </w:r>
                </w:p>
              </w:tc>
              <w:tc>
                <w:tcPr>
                  <w:tcW w:w="1923" w:type="dxa"/>
                  <w:gridSpan w:val="2"/>
                  <w:vAlign w:val="center"/>
                </w:tcPr>
                <w:p w14:paraId="4111A0E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4787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gridSpan w:val="3"/>
                  <w:vAlign w:val="center"/>
                </w:tcPr>
                <w:p w14:paraId="2E93673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2607" w:type="dxa"/>
                  <w:vAlign w:val="center"/>
                </w:tcPr>
                <w:p w14:paraId="5044FFC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923" w:type="dxa"/>
                  <w:gridSpan w:val="2"/>
                  <w:vAlign w:val="center"/>
                </w:tcPr>
                <w:p w14:paraId="4698309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r>
            <w:tr w14:paraId="21D7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955" w:type="dxa"/>
                  <w:vMerge w:val="restart"/>
                  <w:vAlign w:val="center"/>
                </w:tcPr>
                <w:p w14:paraId="52F0522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2978" w:type="dxa"/>
                  <w:gridSpan w:val="2"/>
                  <w:vAlign w:val="center"/>
                </w:tcPr>
                <w:p w14:paraId="08A3CD5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2607" w:type="dxa"/>
                  <w:vAlign w:val="center"/>
                </w:tcPr>
                <w:p w14:paraId="21C5D41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9639</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923" w:type="dxa"/>
                  <w:gridSpan w:val="2"/>
                  <w:vAlign w:val="center"/>
                </w:tcPr>
                <w:p w14:paraId="132ADA5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E8F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6FBFC2E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27AF2F6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2607" w:type="dxa"/>
                  <w:vAlign w:val="center"/>
                </w:tcPr>
                <w:p w14:paraId="4BFBEFE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r>
                    <w:rPr>
                      <w:rFonts w:hint="eastAsia" w:cs="Times New Roman"/>
                      <w:b w:val="0"/>
                      <w:bCs/>
                      <w:color w:val="auto"/>
                      <w:spacing w:val="-10"/>
                      <w:sz w:val="21"/>
                      <w:szCs w:val="21"/>
                      <w:highlight w:val="none"/>
                      <w:vertAlign w:val="baseline"/>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923" w:type="dxa"/>
                  <w:gridSpan w:val="2"/>
                  <w:vAlign w:val="center"/>
                </w:tcPr>
                <w:p w14:paraId="43054F2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4871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1F9552D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1ECCB71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2607" w:type="dxa"/>
                  <w:vAlign w:val="center"/>
                </w:tcPr>
                <w:p w14:paraId="311D3DB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p>
              </w:tc>
              <w:tc>
                <w:tcPr>
                  <w:tcW w:w="1923" w:type="dxa"/>
                  <w:gridSpan w:val="2"/>
                  <w:vAlign w:val="center"/>
                </w:tcPr>
                <w:p w14:paraId="5C11849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厂房阻隔、自然沉降</w:t>
                  </w:r>
                </w:p>
              </w:tc>
            </w:tr>
            <w:tr w14:paraId="6637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955" w:type="dxa"/>
                  <w:vMerge w:val="continue"/>
                  <w:vAlign w:val="center"/>
                </w:tcPr>
                <w:p w14:paraId="3DA1C94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1D42687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2607" w:type="dxa"/>
                  <w:vAlign w:val="center"/>
                </w:tcPr>
                <w:p w14:paraId="64B1103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923" w:type="dxa"/>
                  <w:gridSpan w:val="2"/>
                  <w:vAlign w:val="center"/>
                </w:tcPr>
                <w:p w14:paraId="290C38D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w:t>
                  </w:r>
                  <w:r>
                    <w:rPr>
                      <w:rFonts w:hint="default" w:ascii="Times New Roman" w:hAnsi="Times New Roman" w:eastAsia="宋体" w:cs="Times New Roman"/>
                      <w:b w:val="0"/>
                      <w:bCs/>
                      <w:color w:val="auto"/>
                      <w:spacing w:val="-10"/>
                      <w:sz w:val="21"/>
                      <w:szCs w:val="21"/>
                      <w:highlight w:val="none"/>
                      <w:vertAlign w:val="baseline"/>
                      <w:lang w:val="en-US" w:eastAsia="zh-CN"/>
                    </w:rPr>
                    <w:t>0%</w:t>
                  </w:r>
                </w:p>
              </w:tc>
            </w:tr>
            <w:tr w14:paraId="1711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0234018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1D98A6D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2607" w:type="dxa"/>
                  <w:vAlign w:val="center"/>
                </w:tcPr>
                <w:p w14:paraId="76DE6E7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923" w:type="dxa"/>
                  <w:gridSpan w:val="2"/>
                  <w:vAlign w:val="center"/>
                </w:tcPr>
                <w:p w14:paraId="5E6D327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21A3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gridSpan w:val="3"/>
                  <w:vAlign w:val="center"/>
                </w:tcPr>
                <w:p w14:paraId="4F064B8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2607" w:type="dxa"/>
                  <w:vAlign w:val="center"/>
                </w:tcPr>
                <w:p w14:paraId="38BF444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2.62</w:t>
                  </w:r>
                </w:p>
              </w:tc>
              <w:tc>
                <w:tcPr>
                  <w:tcW w:w="1923" w:type="dxa"/>
                  <w:gridSpan w:val="2"/>
                  <w:vAlign w:val="center"/>
                </w:tcPr>
                <w:p w14:paraId="3EFF905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2D57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933" w:type="dxa"/>
                  <w:gridSpan w:val="3"/>
                  <w:vAlign w:val="center"/>
                </w:tcPr>
                <w:p w14:paraId="238AF54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2607" w:type="dxa"/>
                  <w:vAlign w:val="center"/>
                </w:tcPr>
                <w:p w14:paraId="10B6C25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0.0253</w:t>
                  </w:r>
                </w:p>
              </w:tc>
              <w:tc>
                <w:tcPr>
                  <w:tcW w:w="1923" w:type="dxa"/>
                  <w:gridSpan w:val="2"/>
                  <w:vAlign w:val="center"/>
                </w:tcPr>
                <w:p w14:paraId="4A850AC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0.2232</w:t>
                  </w:r>
                </w:p>
              </w:tc>
            </w:tr>
            <w:tr w14:paraId="6A22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gridSpan w:val="3"/>
                  <w:vAlign w:val="center"/>
                </w:tcPr>
                <w:p w14:paraId="1C384DA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2607" w:type="dxa"/>
                  <w:vAlign w:val="center"/>
                </w:tcPr>
                <w:p w14:paraId="4C2A6E3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0.17</w:t>
                  </w:r>
                </w:p>
              </w:tc>
              <w:tc>
                <w:tcPr>
                  <w:tcW w:w="1923" w:type="dxa"/>
                  <w:gridSpan w:val="2"/>
                  <w:vAlign w:val="center"/>
                </w:tcPr>
                <w:p w14:paraId="056C24A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1.5</w:t>
                  </w:r>
                </w:p>
              </w:tc>
            </w:tr>
            <w:tr w14:paraId="2C40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restart"/>
                  <w:vAlign w:val="center"/>
                </w:tcPr>
                <w:p w14:paraId="4AE0D2C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2978" w:type="dxa"/>
                  <w:gridSpan w:val="2"/>
                  <w:vAlign w:val="center"/>
                </w:tcPr>
                <w:p w14:paraId="3B8C22F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2607" w:type="dxa"/>
                  <w:vAlign w:val="center"/>
                </w:tcPr>
                <w:p w14:paraId="4665A54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36</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923" w:type="dxa"/>
                  <w:gridSpan w:val="2"/>
                  <w:vAlign w:val="center"/>
                </w:tcPr>
                <w:p w14:paraId="36E2837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6A1C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3CFAA99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4AF11FC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2607" w:type="dxa"/>
                  <w:vAlign w:val="center"/>
                </w:tcPr>
                <w:p w14:paraId="6489C44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923" w:type="dxa"/>
                  <w:gridSpan w:val="2"/>
                  <w:vAlign w:val="center"/>
                </w:tcPr>
                <w:p w14:paraId="43CF1B0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0EDA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311A932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56BDBFC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2607" w:type="dxa"/>
                  <w:vAlign w:val="center"/>
                </w:tcPr>
                <w:p w14:paraId="48EE187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1923" w:type="dxa"/>
                  <w:gridSpan w:val="2"/>
                  <w:vAlign w:val="center"/>
                </w:tcPr>
                <w:p w14:paraId="5189519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2AE3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7527F1A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7AD4F7E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2607" w:type="dxa"/>
                  <w:vAlign w:val="center"/>
                </w:tcPr>
                <w:p w14:paraId="6D1DF06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w:t>
                  </w:r>
                  <w:r>
                    <w:rPr>
                      <w:rFonts w:hint="eastAsia" w:cs="Times New Roman"/>
                      <w:b w:val="0"/>
                      <w:bCs/>
                      <w:color w:val="auto"/>
                      <w:spacing w:val="-10"/>
                      <w:sz w:val="21"/>
                      <w:szCs w:val="21"/>
                      <w:highlight w:val="none"/>
                      <w:vertAlign w:val="baseline"/>
                      <w:lang w:val="en-US" w:eastAsia="zh-CN"/>
                    </w:rPr>
                    <w:t>4</w:t>
                  </w:r>
                </w:p>
              </w:tc>
              <w:tc>
                <w:tcPr>
                  <w:tcW w:w="1923" w:type="dxa"/>
                  <w:gridSpan w:val="2"/>
                  <w:vAlign w:val="center"/>
                </w:tcPr>
                <w:p w14:paraId="60BFAE9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068A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52975D6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7B02899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2607" w:type="dxa"/>
                  <w:vAlign w:val="center"/>
                </w:tcPr>
                <w:p w14:paraId="59643DF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923" w:type="dxa"/>
                  <w:gridSpan w:val="2"/>
                  <w:vAlign w:val="center"/>
                </w:tcPr>
                <w:p w14:paraId="5E50657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6290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7813975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978" w:type="dxa"/>
                  <w:gridSpan w:val="2"/>
                  <w:vAlign w:val="center"/>
                </w:tcPr>
                <w:p w14:paraId="08581C0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4530" w:type="dxa"/>
                  <w:gridSpan w:val="3"/>
                  <w:vAlign w:val="center"/>
                </w:tcPr>
                <w:p w14:paraId="5325DCD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DA004：</w:t>
                  </w:r>
                  <w:r>
                    <w:rPr>
                      <w:rFonts w:hint="default" w:ascii="Times New Roman" w:hAnsi="Times New Roman" w:eastAsia="宋体" w:cs="Times New Roman"/>
                      <w:b w:val="0"/>
                      <w:bCs/>
                      <w:color w:val="auto"/>
                      <w:spacing w:val="-10"/>
                      <w:sz w:val="21"/>
                      <w:szCs w:val="21"/>
                      <w:highlight w:val="none"/>
                      <w:vertAlign w:val="baseline"/>
                      <w:lang w:val="en-US" w:eastAsia="zh-CN"/>
                    </w:rPr>
                    <w:t>E：103°11′4</w:t>
                  </w:r>
                  <w:r>
                    <w:rPr>
                      <w:rFonts w:hint="eastAsia" w:cs="Times New Roman"/>
                      <w:b w:val="0"/>
                      <w:bCs/>
                      <w:color w:val="auto"/>
                      <w:spacing w:val="-10"/>
                      <w:sz w:val="21"/>
                      <w:szCs w:val="21"/>
                      <w:highlight w:val="none"/>
                      <w:vertAlign w:val="baseline"/>
                      <w:lang w:val="en-US" w:eastAsia="zh-CN"/>
                    </w:rPr>
                    <w:t>4.774</w:t>
                  </w:r>
                  <w:r>
                    <w:rPr>
                      <w:rFonts w:hint="default" w:ascii="Times New Roman" w:hAnsi="Times New Roman" w:eastAsia="宋体" w:cs="Times New Roman"/>
                      <w:b w:val="0"/>
                      <w:bCs/>
                      <w:color w:val="auto"/>
                      <w:spacing w:val="-10"/>
                      <w:sz w:val="21"/>
                      <w:szCs w:val="21"/>
                      <w:highlight w:val="none"/>
                      <w:vertAlign w:val="baseline"/>
                      <w:lang w:val="en-US" w:eastAsia="zh-CN"/>
                    </w:rPr>
                    <w:t>″，N：25°33′40.</w:t>
                  </w:r>
                  <w:r>
                    <w:rPr>
                      <w:rFonts w:hint="eastAsia" w:cs="Times New Roman"/>
                      <w:b w:val="0"/>
                      <w:bCs/>
                      <w:color w:val="auto"/>
                      <w:spacing w:val="-10"/>
                      <w:sz w:val="21"/>
                      <w:szCs w:val="21"/>
                      <w:highlight w:val="none"/>
                      <w:vertAlign w:val="baseline"/>
                      <w:lang w:val="en-US" w:eastAsia="zh-CN"/>
                    </w:rPr>
                    <w:t>44</w:t>
                  </w:r>
                  <w:r>
                    <w:rPr>
                      <w:rFonts w:hint="default" w:ascii="Times New Roman" w:hAnsi="Times New Roman" w:eastAsia="宋体" w:cs="Times New Roman"/>
                      <w:b w:val="0"/>
                      <w:bCs/>
                      <w:color w:val="auto"/>
                      <w:spacing w:val="-10"/>
                      <w:sz w:val="21"/>
                      <w:szCs w:val="21"/>
                      <w:highlight w:val="none"/>
                      <w:vertAlign w:val="baseline"/>
                      <w:lang w:val="en-US" w:eastAsia="zh-CN"/>
                    </w:rPr>
                    <w:t>8″</w:t>
                  </w:r>
                </w:p>
              </w:tc>
            </w:tr>
            <w:tr w14:paraId="749D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3" w:type="dxa"/>
                  <w:gridSpan w:val="3"/>
                  <w:vAlign w:val="center"/>
                </w:tcPr>
                <w:p w14:paraId="22576A1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4530" w:type="dxa"/>
                  <w:gridSpan w:val="3"/>
                  <w:vAlign w:val="center"/>
                </w:tcPr>
                <w:p w14:paraId="17E1DAC8">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shd w:val="clear" w:color="auto" w:fill="auto"/>
                      <w:lang w:val="zh-CN" w:eastAsia="zh-CN"/>
                    </w:rPr>
                    <w:t>执行</w:t>
                  </w:r>
                  <w:r>
                    <w:rPr>
                      <w:rFonts w:hint="default" w:ascii="Times New Roman" w:hAnsi="Times New Roman" w:cs="Times New Roman"/>
                      <w:color w:val="auto"/>
                      <w:sz w:val="21"/>
                      <w:szCs w:val="21"/>
                      <w:shd w:val="clear" w:color="auto" w:fill="auto"/>
                      <w:lang w:val="zh-CN" w:eastAsia="zh-CN"/>
                    </w:rPr>
                    <w:t>《大气污染物综合排放标准》（GB16297-1996）表2中二级标准</w:t>
                  </w:r>
                  <w:r>
                    <w:rPr>
                      <w:color w:val="auto"/>
                      <w:sz w:val="21"/>
                      <w:szCs w:val="21"/>
                    </w:rPr>
                    <w:t>要求</w:t>
                  </w:r>
                  <w:r>
                    <w:rPr>
                      <w:rFonts w:hint="eastAsia"/>
                      <w:color w:val="auto"/>
                      <w:sz w:val="21"/>
                      <w:szCs w:val="21"/>
                      <w:lang w:eastAsia="zh-CN"/>
                    </w:rPr>
                    <w:t>。</w:t>
                  </w:r>
                </w:p>
              </w:tc>
            </w:tr>
            <w:tr w14:paraId="4C0D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gridSpan w:val="2"/>
                  <w:vMerge w:val="restart"/>
                  <w:vAlign w:val="center"/>
                </w:tcPr>
                <w:p w14:paraId="433DEC9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2592" w:type="dxa"/>
                  <w:vAlign w:val="center"/>
                </w:tcPr>
                <w:p w14:paraId="3BA611B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2742" w:type="dxa"/>
                  <w:gridSpan w:val="2"/>
                  <w:vAlign w:val="center"/>
                </w:tcPr>
                <w:p w14:paraId="22173E6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w:t>
                  </w:r>
                  <w:r>
                    <w:rPr>
                      <w:rFonts w:hint="eastAsia" w:cs="Times New Roman"/>
                      <w:b w:val="0"/>
                      <w:bCs w:val="0"/>
                      <w:color w:val="auto"/>
                      <w:spacing w:val="-10"/>
                      <w:sz w:val="21"/>
                      <w:szCs w:val="21"/>
                      <w:highlight w:val="none"/>
                      <w:vertAlign w:val="baseline"/>
                      <w:lang w:val="en-US" w:eastAsia="zh-CN"/>
                    </w:rPr>
                    <w:t>4</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c>
                <w:tcPr>
                  <w:tcW w:w="1788" w:type="dxa"/>
                  <w:vAlign w:val="center"/>
                </w:tcPr>
                <w:p w14:paraId="38FB89F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r>
            <w:tr w14:paraId="548C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gridSpan w:val="2"/>
                  <w:vMerge w:val="continue"/>
                  <w:vAlign w:val="center"/>
                </w:tcPr>
                <w:p w14:paraId="6A140E6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592" w:type="dxa"/>
                  <w:vAlign w:val="center"/>
                </w:tcPr>
                <w:p w14:paraId="255A56A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4530" w:type="dxa"/>
                  <w:gridSpan w:val="3"/>
                  <w:vAlign w:val="center"/>
                </w:tcPr>
                <w:p w14:paraId="220BDEC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r>
            <w:tr w14:paraId="749A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gridSpan w:val="2"/>
                  <w:vMerge w:val="continue"/>
                  <w:vAlign w:val="center"/>
                </w:tcPr>
                <w:p w14:paraId="0D03A1C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592" w:type="dxa"/>
                  <w:vAlign w:val="center"/>
                </w:tcPr>
                <w:p w14:paraId="0CBD659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2742" w:type="dxa"/>
                  <w:gridSpan w:val="2"/>
                  <w:vAlign w:val="center"/>
                </w:tcPr>
                <w:p w14:paraId="52EF06D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c>
                <w:tcPr>
                  <w:tcW w:w="1788" w:type="dxa"/>
                  <w:vAlign w:val="center"/>
                </w:tcPr>
                <w:p w14:paraId="6B7EF28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r>
          </w:tbl>
          <w:p w14:paraId="13C63E26">
            <w:pPr>
              <w:keepNext w:val="0"/>
              <w:keepLines w:val="0"/>
              <w:pageBreakBefore w:val="0"/>
              <w:widowControl w:val="0"/>
              <w:kinsoku/>
              <w:wordWrap/>
              <w:overflowPunct/>
              <w:topLinePunct w:val="0"/>
              <w:autoSpaceDE/>
              <w:autoSpaceDN/>
              <w:bidi w:val="0"/>
              <w:adjustRightInd/>
              <w:snapToGrid/>
              <w:spacing w:line="348" w:lineRule="auto"/>
              <w:ind w:firstLine="506" w:firstLineChars="200"/>
              <w:textAlignment w:val="auto"/>
              <w:outlineLvl w:val="9"/>
              <w:rPr>
                <w:rFonts w:hint="default" w:ascii="Times New Roman" w:hAnsi="Times New Roman" w:eastAsia="宋体" w:cs="Times New Roman"/>
                <w:b/>
                <w:bCs/>
                <w:color w:val="auto"/>
                <w:spacing w:val="6"/>
                <w:kern w:val="2"/>
                <w:sz w:val="24"/>
                <w:szCs w:val="24"/>
                <w:highlight w:val="none"/>
                <w:lang w:val="en-US" w:eastAsia="zh-CN" w:bidi="ar-SA"/>
              </w:rPr>
            </w:pPr>
            <w:r>
              <w:rPr>
                <w:rFonts w:hint="eastAsia" w:cs="Times New Roman"/>
                <w:b/>
                <w:bCs/>
                <w:color w:val="auto"/>
                <w:spacing w:val="6"/>
                <w:kern w:val="2"/>
                <w:sz w:val="24"/>
                <w:szCs w:val="24"/>
                <w:highlight w:val="none"/>
                <w:lang w:val="en-US" w:eastAsia="zh-CN" w:bidi="ar-SA"/>
              </w:rPr>
              <w:t>⑥烘干废气</w:t>
            </w:r>
          </w:p>
          <w:p w14:paraId="5B115FAE">
            <w:pPr>
              <w:spacing w:line="360" w:lineRule="auto"/>
              <w:ind w:firstLine="480" w:firstLineChars="200"/>
              <w:outlineLvl w:val="0"/>
              <w:rPr>
                <w:rFonts w:hint="default" w:ascii="Times New Roman" w:hAnsi="Times New Roman" w:eastAsia="宋体" w:cs="Times New Roman"/>
                <w:b w:val="0"/>
                <w:bCs w:val="0"/>
                <w:color w:val="auto"/>
                <w:sz w:val="24"/>
                <w:szCs w:val="24"/>
                <w:highlight w:val="none"/>
                <w:vertAlign w:val="baseline"/>
                <w:lang w:val="en-US" w:eastAsia="zh-CN"/>
              </w:rPr>
            </w:pPr>
            <w:bookmarkStart w:id="21" w:name="_Toc3943"/>
            <w:r>
              <w:rPr>
                <w:rFonts w:hint="default" w:ascii="Times New Roman" w:hAnsi="Times New Roman" w:eastAsia="宋体" w:cs="Times New Roman"/>
                <w:b w:val="0"/>
                <w:bCs w:val="0"/>
                <w:color w:val="auto"/>
                <w:sz w:val="24"/>
                <w:highlight w:val="none"/>
                <w:vertAlign w:val="baseline"/>
                <w:lang w:val="en-US" w:eastAsia="zh-CN"/>
              </w:rPr>
              <w:t>项目建有1座</w:t>
            </w:r>
            <w:r>
              <w:rPr>
                <w:rFonts w:hint="eastAsia" w:ascii="Times New Roman" w:hAnsi="Times New Roman" w:eastAsia="宋体" w:cs="Times New Roman"/>
                <w:b w:val="0"/>
                <w:bCs w:val="0"/>
                <w:color w:val="auto"/>
                <w:sz w:val="24"/>
                <w:highlight w:val="none"/>
                <w:vertAlign w:val="baseline"/>
                <w:lang w:val="en-US" w:eastAsia="zh-CN"/>
              </w:rPr>
              <w:t>热风</w:t>
            </w:r>
            <w:r>
              <w:rPr>
                <w:rFonts w:hint="default" w:ascii="Times New Roman" w:hAnsi="Times New Roman" w:eastAsia="宋体" w:cs="Times New Roman"/>
                <w:b w:val="0"/>
                <w:bCs w:val="0"/>
                <w:color w:val="auto"/>
                <w:sz w:val="24"/>
                <w:highlight w:val="none"/>
                <w:vertAlign w:val="baseline"/>
                <w:lang w:val="en-US" w:eastAsia="zh-CN"/>
              </w:rPr>
              <w:t>炉，其产生的废气为烟尘、二氧化硫、氮氧化物，产生的废气直接</w:t>
            </w:r>
            <w:r>
              <w:rPr>
                <w:rFonts w:hint="eastAsia" w:ascii="Times New Roman" w:hAnsi="Times New Roman" w:eastAsia="宋体" w:cs="Times New Roman"/>
                <w:b w:val="0"/>
                <w:bCs w:val="0"/>
                <w:color w:val="auto"/>
                <w:sz w:val="24"/>
                <w:highlight w:val="none"/>
                <w:vertAlign w:val="baseline"/>
                <w:lang w:val="en-US" w:eastAsia="zh-CN"/>
              </w:rPr>
              <w:t>通过管道全部排入</w:t>
            </w:r>
            <w:r>
              <w:rPr>
                <w:rFonts w:hint="default" w:ascii="Times New Roman" w:hAnsi="Times New Roman" w:eastAsia="宋体" w:cs="Times New Roman"/>
                <w:b w:val="0"/>
                <w:bCs w:val="0"/>
                <w:color w:val="auto"/>
                <w:sz w:val="24"/>
                <w:highlight w:val="none"/>
                <w:vertAlign w:val="baseline"/>
                <w:lang w:val="en-US" w:eastAsia="zh-CN"/>
              </w:rPr>
              <w:t>烘干炉与褐煤直接接触，将褐煤中的水分烘干</w:t>
            </w:r>
            <w:r>
              <w:rPr>
                <w:rFonts w:hint="eastAsia" w:ascii="Times New Roman" w:hAnsi="Times New Roman" w:eastAsia="宋体" w:cs="Times New Roman"/>
                <w:b w:val="0"/>
                <w:bCs w:val="0"/>
                <w:color w:val="auto"/>
                <w:sz w:val="24"/>
                <w:highlight w:val="none"/>
                <w:vertAlign w:val="baseline"/>
                <w:lang w:val="en-US" w:eastAsia="zh-CN"/>
              </w:rPr>
              <w:t>，</w:t>
            </w:r>
            <w:r>
              <w:rPr>
                <w:rFonts w:hint="default" w:ascii="Times New Roman" w:hAnsi="Times New Roman" w:eastAsia="宋体" w:cs="Times New Roman"/>
                <w:b w:val="0"/>
                <w:bCs w:val="0"/>
                <w:color w:val="auto"/>
                <w:sz w:val="24"/>
                <w:highlight w:val="none"/>
                <w:vertAlign w:val="baseline"/>
                <w:lang w:val="en-US" w:eastAsia="zh-CN"/>
              </w:rPr>
              <w:t>但</w:t>
            </w:r>
            <w:r>
              <w:rPr>
                <w:rFonts w:hint="eastAsia" w:ascii="Times New Roman" w:hAnsi="Times New Roman" w:eastAsia="宋体" w:cs="Times New Roman"/>
                <w:b w:val="0"/>
                <w:bCs w:val="0"/>
                <w:color w:val="auto"/>
                <w:sz w:val="24"/>
                <w:highlight w:val="none"/>
                <w:vertAlign w:val="baseline"/>
                <w:lang w:val="en-US" w:eastAsia="zh-CN"/>
              </w:rPr>
              <w:t>待</w:t>
            </w:r>
            <w:r>
              <w:rPr>
                <w:rFonts w:hint="default" w:ascii="Times New Roman" w:hAnsi="Times New Roman" w:eastAsia="宋体" w:cs="Times New Roman"/>
                <w:b w:val="0"/>
                <w:bCs w:val="0"/>
                <w:color w:val="auto"/>
                <w:sz w:val="24"/>
                <w:highlight w:val="none"/>
                <w:vertAlign w:val="baseline"/>
                <w:lang w:val="en-US" w:eastAsia="zh-CN"/>
              </w:rPr>
              <w:t>烘干的褐煤</w:t>
            </w:r>
            <w:r>
              <w:rPr>
                <w:rFonts w:hint="eastAsia" w:ascii="Times New Roman" w:hAnsi="Times New Roman" w:eastAsia="宋体" w:cs="Times New Roman"/>
                <w:b w:val="0"/>
                <w:bCs w:val="0"/>
                <w:color w:val="auto"/>
                <w:sz w:val="24"/>
                <w:highlight w:val="none"/>
                <w:vertAlign w:val="baseline"/>
                <w:lang w:val="en-US" w:eastAsia="zh-CN"/>
              </w:rPr>
              <w:t>在烘干炉内</w:t>
            </w:r>
            <w:r>
              <w:rPr>
                <w:rFonts w:hint="default" w:ascii="Times New Roman" w:hAnsi="Times New Roman" w:eastAsia="宋体" w:cs="Times New Roman"/>
                <w:b w:val="0"/>
                <w:bCs w:val="0"/>
                <w:color w:val="auto"/>
                <w:sz w:val="24"/>
                <w:highlight w:val="none"/>
                <w:vertAlign w:val="baseline"/>
                <w:lang w:val="en-US" w:eastAsia="zh-CN"/>
              </w:rPr>
              <w:t>由于翻转、扰动，会产生煤粉</w:t>
            </w:r>
            <w:r>
              <w:rPr>
                <w:rFonts w:hint="eastAsia" w:ascii="Times New Roman" w:hAnsi="Times New Roman" w:eastAsia="宋体" w:cs="Times New Roman"/>
                <w:b w:val="0"/>
                <w:bCs w:val="0"/>
                <w:color w:val="auto"/>
                <w:sz w:val="24"/>
                <w:highlight w:val="none"/>
                <w:vertAlign w:val="baseline"/>
                <w:lang w:val="en-US" w:eastAsia="zh-CN"/>
              </w:rPr>
              <w:t>尘</w:t>
            </w:r>
            <w:r>
              <w:rPr>
                <w:rFonts w:hint="default" w:ascii="Times New Roman" w:hAnsi="Times New Roman" w:eastAsia="宋体" w:cs="Times New Roman"/>
                <w:b w:val="0"/>
                <w:bCs w:val="0"/>
                <w:color w:val="auto"/>
                <w:sz w:val="24"/>
                <w:highlight w:val="none"/>
                <w:vertAlign w:val="baseline"/>
                <w:lang w:val="en-US" w:eastAsia="zh-CN"/>
              </w:rPr>
              <w:t>，褐煤烘干过程中会产生大量水蒸气，因此烘干炉出口废气成分主要为：</w:t>
            </w:r>
            <w:r>
              <w:rPr>
                <w:rFonts w:hint="eastAsia" w:cs="Times New Roman"/>
                <w:b w:val="0"/>
                <w:bCs w:val="0"/>
                <w:color w:val="auto"/>
                <w:sz w:val="24"/>
                <w:highlight w:val="none"/>
                <w:vertAlign w:val="baseline"/>
                <w:lang w:val="en-US" w:eastAsia="zh-CN"/>
              </w:rPr>
              <w:t>A</w:t>
            </w:r>
            <w:r>
              <w:rPr>
                <w:rFonts w:hint="default" w:ascii="Times New Roman" w:hAnsi="Times New Roman" w:eastAsia="宋体" w:cs="Times New Roman"/>
                <w:b w:val="0"/>
                <w:bCs w:val="0"/>
                <w:color w:val="auto"/>
                <w:sz w:val="24"/>
                <w:highlight w:val="none"/>
                <w:vertAlign w:val="baseline"/>
                <w:lang w:val="en-US" w:eastAsia="zh-CN"/>
              </w:rPr>
              <w:t>烟尘和煤粉</w:t>
            </w:r>
            <w:r>
              <w:rPr>
                <w:rFonts w:hint="eastAsia" w:ascii="Times New Roman" w:hAnsi="Times New Roman" w:eastAsia="宋体" w:cs="Times New Roman"/>
                <w:b w:val="0"/>
                <w:bCs w:val="0"/>
                <w:color w:val="auto"/>
                <w:sz w:val="24"/>
                <w:highlight w:val="none"/>
                <w:vertAlign w:val="baseline"/>
                <w:lang w:val="en-US" w:eastAsia="zh-CN"/>
              </w:rPr>
              <w:t>（下文统称为颗粒物）</w:t>
            </w:r>
            <w:r>
              <w:rPr>
                <w:rFonts w:hint="default" w:ascii="Times New Roman" w:hAnsi="Times New Roman" w:eastAsia="宋体" w:cs="Times New Roman"/>
                <w:b w:val="0"/>
                <w:bCs w:val="0"/>
                <w:color w:val="auto"/>
                <w:sz w:val="24"/>
                <w:highlight w:val="none"/>
                <w:vertAlign w:val="baseline"/>
                <w:lang w:val="en-US" w:eastAsia="zh-CN"/>
              </w:rPr>
              <w:t>、</w:t>
            </w:r>
            <w:r>
              <w:rPr>
                <w:rFonts w:hint="eastAsia" w:cs="Times New Roman"/>
                <w:b w:val="0"/>
                <w:bCs w:val="0"/>
                <w:color w:val="auto"/>
                <w:sz w:val="24"/>
                <w:highlight w:val="none"/>
                <w:vertAlign w:val="baseline"/>
                <w:lang w:val="en-US" w:eastAsia="zh-CN"/>
              </w:rPr>
              <w:t>B</w:t>
            </w:r>
            <w:r>
              <w:rPr>
                <w:rFonts w:hint="default" w:ascii="Times New Roman" w:hAnsi="Times New Roman" w:eastAsia="宋体" w:cs="Times New Roman"/>
                <w:b w:val="0"/>
                <w:bCs w:val="0"/>
                <w:color w:val="auto"/>
                <w:sz w:val="24"/>
                <w:highlight w:val="none"/>
                <w:vertAlign w:val="baseline"/>
                <w:lang w:val="en-US" w:eastAsia="zh-CN"/>
              </w:rPr>
              <w:t>二氧化硫、</w:t>
            </w:r>
            <w:r>
              <w:rPr>
                <w:rFonts w:hint="eastAsia" w:cs="Times New Roman"/>
                <w:b w:val="0"/>
                <w:bCs w:val="0"/>
                <w:color w:val="auto"/>
                <w:sz w:val="24"/>
                <w:highlight w:val="none"/>
                <w:vertAlign w:val="baseline"/>
                <w:lang w:val="en-US" w:eastAsia="zh-CN"/>
              </w:rPr>
              <w:t>C</w:t>
            </w:r>
            <w:r>
              <w:rPr>
                <w:rFonts w:hint="default" w:ascii="Times New Roman" w:hAnsi="Times New Roman" w:eastAsia="宋体" w:cs="Times New Roman"/>
                <w:b w:val="0"/>
                <w:bCs w:val="0"/>
                <w:color w:val="auto"/>
                <w:sz w:val="24"/>
                <w:highlight w:val="none"/>
                <w:vertAlign w:val="baseline"/>
                <w:lang w:val="en-US" w:eastAsia="zh-CN"/>
              </w:rPr>
              <w:t>氮氧化物</w:t>
            </w:r>
            <w:r>
              <w:rPr>
                <w:rFonts w:hint="eastAsia" w:cs="Times New Roman"/>
                <w:b w:val="0"/>
                <w:bCs w:val="0"/>
                <w:color w:val="auto"/>
                <w:sz w:val="24"/>
                <w:highlight w:val="none"/>
                <w:vertAlign w:val="baseline"/>
                <w:lang w:val="en-US" w:eastAsia="zh-CN"/>
              </w:rPr>
              <w:t>、D</w:t>
            </w:r>
            <w:r>
              <w:rPr>
                <w:rFonts w:hint="default" w:ascii="Times New Roman" w:hAnsi="Times New Roman" w:eastAsia="宋体" w:cs="Times New Roman"/>
                <w:b w:val="0"/>
                <w:bCs w:val="0"/>
                <w:color w:val="auto"/>
                <w:sz w:val="24"/>
                <w:highlight w:val="none"/>
                <w:vertAlign w:val="baseline"/>
                <w:lang w:val="en-US" w:eastAsia="zh-CN"/>
              </w:rPr>
              <w:t>水蒸气</w:t>
            </w:r>
            <w:r>
              <w:rPr>
                <w:rFonts w:hint="eastAsia" w:ascii="Times New Roman" w:hAnsi="Times New Roman" w:eastAsia="宋体" w:cs="Times New Roman"/>
                <w:b w:val="0"/>
                <w:bCs w:val="0"/>
                <w:color w:val="auto"/>
                <w:sz w:val="24"/>
                <w:highlight w:val="none"/>
                <w:vertAlign w:val="baseline"/>
                <w:lang w:val="en-US" w:eastAsia="zh-CN"/>
              </w:rPr>
              <w:t>、</w:t>
            </w:r>
            <w:r>
              <w:rPr>
                <w:rFonts w:hint="eastAsia" w:cs="Times New Roman"/>
                <w:b w:val="0"/>
                <w:bCs w:val="0"/>
                <w:color w:val="auto"/>
                <w:sz w:val="24"/>
                <w:highlight w:val="none"/>
                <w:vertAlign w:val="baseline"/>
                <w:lang w:val="en-US" w:eastAsia="zh-CN"/>
              </w:rPr>
              <w:t>E</w:t>
            </w:r>
            <w:r>
              <w:rPr>
                <w:rFonts w:hint="eastAsia" w:ascii="Times New Roman" w:hAnsi="Times New Roman" w:eastAsia="宋体" w:cs="Times New Roman"/>
                <w:b w:val="0"/>
                <w:bCs w:val="0"/>
                <w:color w:val="auto"/>
                <w:sz w:val="24"/>
                <w:highlight w:val="none"/>
                <w:vertAlign w:val="baseline"/>
                <w:lang w:val="en-US" w:eastAsia="zh-CN"/>
              </w:rPr>
              <w:t>氨逃逸（SNCR</w:t>
            </w:r>
            <w:r>
              <w:rPr>
                <w:rFonts w:hint="eastAsia" w:ascii="Times New Roman" w:hAnsi="Times New Roman" w:cs="Times New Roman"/>
                <w:b w:val="0"/>
                <w:bCs w:val="0"/>
                <w:color w:val="auto"/>
                <w:sz w:val="24"/>
                <w:highlight w:val="none"/>
                <w:vertAlign w:val="baseline"/>
                <w:lang w:val="en-US" w:eastAsia="zh-CN"/>
              </w:rPr>
              <w:t>脱销</w:t>
            </w:r>
            <w:r>
              <w:rPr>
                <w:rFonts w:hint="eastAsia" w:ascii="Times New Roman" w:hAnsi="Times New Roman" w:eastAsia="宋体" w:cs="Times New Roman"/>
                <w:b w:val="0"/>
                <w:bCs w:val="0"/>
                <w:color w:val="auto"/>
                <w:sz w:val="24"/>
                <w:highlight w:val="none"/>
                <w:vertAlign w:val="baseline"/>
                <w:lang w:val="en-US" w:eastAsia="zh-CN"/>
              </w:rPr>
              <w:t>）。</w:t>
            </w:r>
            <w:r>
              <w:rPr>
                <w:rFonts w:hint="eastAsia" w:cs="Times New Roman"/>
                <w:b w:val="0"/>
                <w:bCs w:val="0"/>
                <w:color w:val="auto"/>
                <w:sz w:val="24"/>
                <w:highlight w:val="none"/>
                <w:vertAlign w:val="baseline"/>
                <w:lang w:val="en-US" w:eastAsia="zh-CN"/>
              </w:rPr>
              <w:t>二氧化硫使用</w:t>
            </w:r>
            <w:r>
              <w:rPr>
                <w:rFonts w:hint="eastAsia" w:ascii="Times New Roman" w:hAnsi="Times New Roman" w:eastAsia="宋体" w:cs="Times New Roman"/>
                <w:b w:val="0"/>
                <w:bCs w:val="0"/>
                <w:color w:val="auto"/>
                <w:sz w:val="24"/>
                <w:highlight w:val="none"/>
                <w:vertAlign w:val="baseline"/>
                <w:lang w:val="en-US" w:eastAsia="zh-CN"/>
              </w:rPr>
              <w:t>炉内脱硫（石灰石法）、</w:t>
            </w:r>
            <w:r>
              <w:rPr>
                <w:rFonts w:hint="eastAsia" w:cs="Times New Roman"/>
                <w:b w:val="0"/>
                <w:bCs w:val="0"/>
                <w:color w:val="auto"/>
                <w:sz w:val="24"/>
                <w:highlight w:val="none"/>
                <w:vertAlign w:val="baseline"/>
                <w:lang w:val="en-US" w:eastAsia="zh-CN"/>
              </w:rPr>
              <w:t>氮氧化物使用</w:t>
            </w:r>
            <w:r>
              <w:rPr>
                <w:rFonts w:hint="eastAsia"/>
                <w:color w:val="auto"/>
                <w:sz w:val="24"/>
                <w:szCs w:val="24"/>
                <w:highlight w:val="none"/>
                <w:lang w:val="en-US" w:eastAsia="zh-CN"/>
              </w:rPr>
              <w:t>分级燃烧器+</w:t>
            </w:r>
            <w:r>
              <w:rPr>
                <w:rFonts w:hint="eastAsia" w:ascii="Times New Roman" w:hAnsi="Times New Roman" w:eastAsia="宋体" w:cs="Times New Roman"/>
                <w:b w:val="0"/>
                <w:bCs w:val="0"/>
                <w:color w:val="auto"/>
                <w:sz w:val="24"/>
                <w:szCs w:val="24"/>
                <w:highlight w:val="none"/>
                <w:vertAlign w:val="baseline"/>
                <w:lang w:val="en-US" w:eastAsia="zh-CN"/>
              </w:rPr>
              <w:t>S</w:t>
            </w:r>
            <w:r>
              <w:rPr>
                <w:rFonts w:hint="eastAsia" w:ascii="Times New Roman" w:hAnsi="Times New Roman" w:eastAsia="宋体" w:cs="Times New Roman"/>
                <w:b w:val="0"/>
                <w:bCs w:val="0"/>
                <w:color w:val="auto"/>
                <w:sz w:val="24"/>
                <w:highlight w:val="none"/>
                <w:vertAlign w:val="baseline"/>
                <w:lang w:val="en-US" w:eastAsia="zh-CN"/>
              </w:rPr>
              <w:t>NCR喷氨脱销</w:t>
            </w:r>
            <w:r>
              <w:rPr>
                <w:rFonts w:hint="eastAsia" w:cs="Times New Roman"/>
                <w:b w:val="0"/>
                <w:bCs w:val="0"/>
                <w:color w:val="auto"/>
                <w:sz w:val="24"/>
                <w:highlight w:val="none"/>
                <w:vertAlign w:val="baseline"/>
                <w:lang w:val="en-US" w:eastAsia="zh-CN"/>
              </w:rPr>
              <w:t>，</w:t>
            </w:r>
            <w:r>
              <w:rPr>
                <w:rFonts w:hint="default" w:ascii="Times New Roman" w:hAnsi="Times New Roman" w:eastAsia="宋体" w:cs="Times New Roman"/>
                <w:b w:val="0"/>
                <w:bCs w:val="0"/>
                <w:color w:val="auto"/>
                <w:sz w:val="24"/>
                <w:highlight w:val="none"/>
                <w:vertAlign w:val="baseline"/>
                <w:lang w:val="en-US" w:eastAsia="zh-CN"/>
              </w:rPr>
              <w:t>废气</w:t>
            </w:r>
            <w:r>
              <w:rPr>
                <w:rFonts w:eastAsia="Times New Roman"/>
                <w:color w:val="auto"/>
                <w:sz w:val="24"/>
                <w:highlight w:val="none"/>
                <w:lang w:val="zh-CN"/>
              </w:rPr>
              <w:t>通过</w:t>
            </w:r>
            <w:r>
              <w:rPr>
                <w:rFonts w:hint="eastAsia" w:eastAsia="Times New Roman"/>
                <w:color w:val="auto"/>
                <w:sz w:val="24"/>
                <w:highlight w:val="none"/>
                <w:lang w:val="zh-CN"/>
              </w:rPr>
              <w:t>引风机引至</w:t>
            </w:r>
            <w:r>
              <w:rPr>
                <w:rFonts w:hint="eastAsia" w:ascii="Times New Roman" w:hAnsi="Times New Roman" w:eastAsia="宋体" w:cs="Times New Roman"/>
                <w:b w:val="0"/>
                <w:bCs w:val="0"/>
                <w:color w:val="auto"/>
                <w:sz w:val="24"/>
                <w:highlight w:val="none"/>
                <w:vertAlign w:val="baseline"/>
                <w:lang w:val="en-US" w:eastAsia="zh-CN"/>
              </w:rPr>
              <w:t>袋式</w:t>
            </w:r>
            <w:r>
              <w:rPr>
                <w:rFonts w:hint="default" w:ascii="Times New Roman" w:hAnsi="Times New Roman" w:eastAsia="宋体" w:cs="Times New Roman"/>
                <w:b w:val="0"/>
                <w:bCs w:val="0"/>
                <w:color w:val="auto"/>
                <w:sz w:val="24"/>
                <w:highlight w:val="none"/>
                <w:vertAlign w:val="baseline"/>
                <w:lang w:val="en-US" w:eastAsia="zh-CN"/>
              </w:rPr>
              <w:t>除尘器处理达标后，经内径</w:t>
            </w:r>
            <w:r>
              <w:rPr>
                <w:rFonts w:hint="eastAsia" w:cs="Times New Roman"/>
                <w:b w:val="0"/>
                <w:bCs w:val="0"/>
                <w:color w:val="auto"/>
                <w:sz w:val="24"/>
                <w:highlight w:val="none"/>
                <w:vertAlign w:val="baseline"/>
                <w:lang w:val="en-US" w:eastAsia="zh-CN"/>
              </w:rPr>
              <w:t>1.0</w:t>
            </w:r>
            <w:r>
              <w:rPr>
                <w:rFonts w:hint="default" w:ascii="Times New Roman" w:hAnsi="Times New Roman" w:eastAsia="宋体" w:cs="Times New Roman"/>
                <w:b w:val="0"/>
                <w:bCs w:val="0"/>
                <w:color w:val="auto"/>
                <w:sz w:val="24"/>
                <w:highlight w:val="none"/>
                <w:vertAlign w:val="baseline"/>
                <w:lang w:val="en-US" w:eastAsia="zh-CN"/>
              </w:rPr>
              <w:t>m，高</w:t>
            </w:r>
            <w:r>
              <w:rPr>
                <w:rFonts w:hint="eastAsia" w:cs="Times New Roman"/>
                <w:b w:val="0"/>
                <w:bCs w:val="0"/>
                <w:color w:val="auto"/>
                <w:sz w:val="24"/>
                <w:highlight w:val="none"/>
                <w:vertAlign w:val="baseline"/>
                <w:lang w:val="en-US" w:eastAsia="zh-CN"/>
              </w:rPr>
              <w:t>25</w:t>
            </w:r>
            <w:r>
              <w:rPr>
                <w:rFonts w:hint="default" w:ascii="Times New Roman" w:hAnsi="Times New Roman" w:eastAsia="宋体" w:cs="Times New Roman"/>
                <w:b w:val="0"/>
                <w:bCs w:val="0"/>
                <w:color w:val="auto"/>
                <w:sz w:val="24"/>
                <w:highlight w:val="none"/>
                <w:vertAlign w:val="baseline"/>
                <w:lang w:val="en-US" w:eastAsia="zh-CN"/>
              </w:rPr>
              <w:t>m的</w:t>
            </w:r>
            <w:r>
              <w:rPr>
                <w:rFonts w:hint="eastAsia" w:ascii="Times New Roman" w:hAnsi="Times New Roman" w:eastAsia="宋体" w:cs="Times New Roman"/>
                <w:b w:val="0"/>
                <w:bCs w:val="0"/>
                <w:color w:val="auto"/>
                <w:sz w:val="24"/>
                <w:highlight w:val="none"/>
                <w:vertAlign w:val="baseline"/>
                <w:lang w:val="en-US" w:eastAsia="zh-CN"/>
              </w:rPr>
              <w:t>排气筒（DA005）</w:t>
            </w:r>
            <w:r>
              <w:rPr>
                <w:rFonts w:hint="default" w:ascii="Times New Roman" w:hAnsi="Times New Roman" w:eastAsia="宋体" w:cs="Times New Roman"/>
                <w:b w:val="0"/>
                <w:bCs w:val="0"/>
                <w:color w:val="auto"/>
                <w:sz w:val="24"/>
                <w:highlight w:val="none"/>
                <w:vertAlign w:val="baseline"/>
                <w:lang w:val="en-US" w:eastAsia="zh-CN"/>
              </w:rPr>
              <w:t>排放</w:t>
            </w:r>
            <w:r>
              <w:rPr>
                <w:rFonts w:hint="eastAsia" w:ascii="Times New Roman" w:hAnsi="Times New Roman" w:cs="Times New Roman"/>
                <w:b w:val="0"/>
                <w:bCs w:val="0"/>
                <w:color w:val="auto"/>
                <w:sz w:val="24"/>
                <w:highlight w:val="none"/>
                <w:vertAlign w:val="baseline"/>
                <w:lang w:val="en-US" w:eastAsia="zh-CN"/>
              </w:rPr>
              <w:t>。</w:t>
            </w:r>
          </w:p>
          <w:bookmarkEnd w:id="21"/>
          <w:p w14:paraId="5F156D7C">
            <w:pPr>
              <w:adjustRightInd w:val="0"/>
              <w:snapToGrid w:val="0"/>
              <w:spacing w:line="360" w:lineRule="auto"/>
              <w:ind w:firstLine="480" w:firstLineChars="200"/>
              <w:rPr>
                <w:color w:val="auto"/>
                <w:sz w:val="24"/>
                <w:highlight w:val="none"/>
              </w:rPr>
            </w:pPr>
            <w:r>
              <w:rPr>
                <w:rFonts w:hint="eastAsia"/>
                <w:color w:val="auto"/>
                <w:sz w:val="24"/>
                <w:highlight w:val="none"/>
              </w:rPr>
              <w:t>为对系统污染物排放进行控制，项目主体设计及本次环评提出采用“</w:t>
            </w:r>
            <w:r>
              <w:rPr>
                <w:rFonts w:hint="eastAsia"/>
                <w:color w:val="auto"/>
                <w:sz w:val="24"/>
                <w:szCs w:val="24"/>
                <w:highlight w:val="none"/>
              </w:rPr>
              <w:t>炉内喷钙脱硫</w:t>
            </w:r>
            <w:r>
              <w:rPr>
                <w:rFonts w:hint="eastAsia"/>
                <w:color w:val="auto"/>
                <w:sz w:val="24"/>
                <w:szCs w:val="24"/>
                <w:highlight w:val="none"/>
                <w:lang w:val="en-US" w:eastAsia="zh-CN"/>
              </w:rPr>
              <w:t>+分级燃烧+</w:t>
            </w:r>
            <w:r>
              <w:rPr>
                <w:rFonts w:hint="eastAsia"/>
                <w:color w:val="auto"/>
                <w:sz w:val="24"/>
                <w:szCs w:val="24"/>
                <w:highlight w:val="none"/>
              </w:rPr>
              <w:t>SNCR</w:t>
            </w:r>
            <w:r>
              <w:rPr>
                <w:rFonts w:hint="eastAsia"/>
                <w:color w:val="auto"/>
                <w:sz w:val="24"/>
                <w:szCs w:val="24"/>
                <w:highlight w:val="none"/>
                <w:lang w:val="en-US" w:eastAsia="zh-CN"/>
              </w:rPr>
              <w:t>喷氨</w:t>
            </w:r>
            <w:r>
              <w:rPr>
                <w:rFonts w:hint="eastAsia"/>
                <w:color w:val="auto"/>
                <w:sz w:val="24"/>
                <w:szCs w:val="24"/>
                <w:highlight w:val="none"/>
              </w:rPr>
              <w:t>脱硝</w:t>
            </w:r>
            <w:r>
              <w:rPr>
                <w:rFonts w:hint="eastAsia" w:cs="Times New Roman"/>
                <w:color w:val="auto"/>
                <w:sz w:val="24"/>
                <w:szCs w:val="24"/>
                <w:highlight w:val="none"/>
                <w:lang w:val="en-US" w:eastAsia="zh-CN"/>
              </w:rPr>
              <w:t>+</w:t>
            </w:r>
            <w:r>
              <w:rPr>
                <w:rFonts w:hint="eastAsia"/>
                <w:color w:val="auto"/>
                <w:sz w:val="24"/>
                <w:szCs w:val="24"/>
                <w:highlight w:val="none"/>
              </w:rPr>
              <w:t>脉冲袋式除尘器”的组合方案</w:t>
            </w:r>
            <w:r>
              <w:rPr>
                <w:rFonts w:hint="eastAsia"/>
                <w:color w:val="auto"/>
                <w:sz w:val="24"/>
                <w:highlight w:val="none"/>
              </w:rPr>
              <w:t>、结合尾部烟气的增湿活化脱硫效应，去除烟气中的污染物。</w:t>
            </w:r>
          </w:p>
          <w:p w14:paraId="06AD9E41">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color w:val="auto"/>
                <w:sz w:val="24"/>
                <w:highlight w:val="none"/>
              </w:rPr>
              <w:t>即</w:t>
            </w:r>
            <w:r>
              <w:rPr>
                <w:rFonts w:hint="eastAsia"/>
                <w:color w:val="auto"/>
                <w:sz w:val="24"/>
                <w:highlight w:val="none"/>
                <w:lang w:eastAsia="zh-CN"/>
              </w:rPr>
              <w:t>控制是否充分燃烧以及</w:t>
            </w:r>
            <w:r>
              <w:rPr>
                <w:rFonts w:hint="eastAsia"/>
                <w:color w:val="auto"/>
                <w:sz w:val="24"/>
                <w:highlight w:val="none"/>
              </w:rPr>
              <w:t>在每台热风炉</w:t>
            </w:r>
            <w:r>
              <w:rPr>
                <w:rFonts w:hint="eastAsia"/>
                <w:color w:val="auto"/>
                <w:sz w:val="24"/>
                <w:highlight w:val="none"/>
                <w:lang w:eastAsia="zh-CN"/>
              </w:rPr>
              <w:t>内</w:t>
            </w:r>
            <w:r>
              <w:rPr>
                <w:rFonts w:hint="eastAsia"/>
                <w:color w:val="auto"/>
                <w:sz w:val="24"/>
                <w:highlight w:val="none"/>
              </w:rPr>
              <w:t>适宜温区位置处喷入</w:t>
            </w:r>
            <w:r>
              <w:rPr>
                <w:rFonts w:hint="eastAsia"/>
                <w:color w:val="auto"/>
                <w:sz w:val="24"/>
                <w:highlight w:val="none"/>
                <w:lang w:val="en-US" w:eastAsia="zh-CN"/>
              </w:rPr>
              <w:t>氨水</w:t>
            </w:r>
            <w:r>
              <w:rPr>
                <w:rFonts w:hint="eastAsia"/>
                <w:color w:val="auto"/>
                <w:sz w:val="24"/>
                <w:highlight w:val="none"/>
              </w:rPr>
              <w:t>溶液，去除烟气中已生成的NO</w:t>
            </w:r>
            <w:r>
              <w:rPr>
                <w:rFonts w:hint="eastAsia"/>
                <w:color w:val="auto"/>
                <w:sz w:val="24"/>
                <w:highlight w:val="none"/>
                <w:vertAlign w:val="subscript"/>
              </w:rPr>
              <w:t>X</w:t>
            </w:r>
            <w:r>
              <w:rPr>
                <w:rFonts w:hint="eastAsia"/>
                <w:color w:val="auto"/>
                <w:sz w:val="24"/>
                <w:highlight w:val="none"/>
              </w:rPr>
              <w:t>；并在热风炉内喷入石灰石细粉，干法脱硫。在烘干系统中，褐煤受热蒸发出大量水蒸气进入烘干烟气，使烟气颗粒物中的Ca</w:t>
            </w:r>
            <w:r>
              <w:rPr>
                <w:color w:val="auto"/>
                <w:sz w:val="24"/>
                <w:highlight w:val="none"/>
              </w:rPr>
              <w:t>O</w:t>
            </w:r>
            <w:r>
              <w:rPr>
                <w:rFonts w:hint="eastAsia"/>
                <w:color w:val="auto"/>
                <w:sz w:val="24"/>
                <w:highlight w:val="none"/>
              </w:rPr>
              <w:t>转化为Ca</w:t>
            </w:r>
            <w:r>
              <w:rPr>
                <w:color w:val="auto"/>
                <w:sz w:val="24"/>
                <w:highlight w:val="none"/>
              </w:rPr>
              <w:t>(OH)</w:t>
            </w:r>
            <w:r>
              <w:rPr>
                <w:color w:val="auto"/>
                <w:sz w:val="24"/>
                <w:highlight w:val="none"/>
                <w:vertAlign w:val="subscript"/>
              </w:rPr>
              <w:t>2</w:t>
            </w:r>
            <w:r>
              <w:rPr>
                <w:color w:val="auto"/>
                <w:sz w:val="24"/>
                <w:highlight w:val="none"/>
              </w:rPr>
              <w:t>，</w:t>
            </w:r>
            <w:r>
              <w:rPr>
                <w:rFonts w:hint="eastAsia"/>
                <w:color w:val="auto"/>
                <w:sz w:val="24"/>
                <w:highlight w:val="none"/>
              </w:rPr>
              <w:t>进一步吸收脱去SO</w:t>
            </w:r>
            <w:r>
              <w:rPr>
                <w:rFonts w:hint="eastAsia"/>
                <w:color w:val="auto"/>
                <w:sz w:val="24"/>
                <w:highlight w:val="none"/>
                <w:vertAlign w:val="subscript"/>
              </w:rPr>
              <w:t>2</w:t>
            </w:r>
            <w:r>
              <w:rPr>
                <w:rFonts w:hint="eastAsia"/>
                <w:color w:val="auto"/>
                <w:sz w:val="24"/>
                <w:highlight w:val="none"/>
              </w:rPr>
              <w:t>，最终烘干系统通过脉冲袋式除尘器对烟气中的颗粒物完成最终去除</w:t>
            </w:r>
            <w:r>
              <w:rPr>
                <w:rFonts w:hint="eastAsia"/>
                <w:color w:val="auto"/>
                <w:sz w:val="24"/>
                <w:highlight w:val="none"/>
                <w:lang w:eastAsia="zh-CN"/>
              </w:rPr>
              <w:t>，</w:t>
            </w:r>
            <w:r>
              <w:rPr>
                <w:rFonts w:hint="eastAsia"/>
                <w:color w:val="auto"/>
                <w:sz w:val="24"/>
                <w:highlight w:val="none"/>
              </w:rPr>
              <w:t>除尘后的尾气分别经排气筒高空排放。</w:t>
            </w:r>
          </w:p>
          <w:p w14:paraId="2BD9FBBA">
            <w:pPr>
              <w:pStyle w:val="26"/>
              <w:keepNext w:val="0"/>
              <w:keepLines w:val="0"/>
              <w:pageBreakBefore w:val="0"/>
              <w:widowControl w:val="0"/>
              <w:kinsoku/>
              <w:wordWrap/>
              <w:overflowPunct/>
              <w:topLinePunct w:val="0"/>
              <w:autoSpaceDE/>
              <w:autoSpaceDN/>
              <w:bidi w:val="0"/>
              <w:spacing w:beforeLines="0" w:after="0" w:afterLines="0" w:line="348" w:lineRule="auto"/>
              <w:ind w:left="0" w:lef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eastAsia="宋体" w:cs="Times New Roman"/>
                <w:color w:val="auto"/>
                <w:sz w:val="24"/>
                <w:szCs w:val="24"/>
                <w:highlight w:val="none"/>
                <w:lang w:val="en-US" w:eastAsia="zh-CN"/>
              </w:rPr>
              <w:t>烘干炉</w:t>
            </w:r>
            <w:r>
              <w:rPr>
                <w:rFonts w:hint="default" w:ascii="Times New Roman" w:hAnsi="Times New Roman" w:eastAsia="宋体" w:cs="Times New Roman"/>
                <w:color w:val="auto"/>
                <w:sz w:val="24"/>
                <w:szCs w:val="24"/>
                <w:highlight w:val="none"/>
              </w:rPr>
              <w:t>燃料</w:t>
            </w:r>
            <w:r>
              <w:rPr>
                <w:rFonts w:hint="eastAsia" w:cs="Times New Roman"/>
                <w:color w:val="auto"/>
                <w:sz w:val="24"/>
                <w:szCs w:val="24"/>
                <w:highlight w:val="none"/>
                <w:lang w:eastAsia="zh-CN"/>
              </w:rPr>
              <w:t>为生物质颗粒，</w:t>
            </w:r>
            <w:r>
              <w:rPr>
                <w:rFonts w:hint="default" w:ascii="Times New Roman" w:hAnsi="Times New Roman" w:eastAsia="宋体" w:cs="Times New Roman"/>
                <w:color w:val="auto"/>
                <w:sz w:val="24"/>
                <w:szCs w:val="24"/>
                <w:highlight w:val="none"/>
              </w:rPr>
              <w:t>燃烧废气参照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14:paraId="5E7C18B6">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p>
          <w:p w14:paraId="11933136">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p>
          <w:p w14:paraId="5888E3C7">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p>
          <w:p w14:paraId="0588FA6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b/>
                <w:bCs/>
                <w:color w:val="auto"/>
                <w:szCs w:val="21"/>
                <w:highlight w:val="none"/>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 xml:space="preserve">  工业锅炉（热力生产和供应行业）产排污系数表-</w:t>
            </w:r>
            <w:r>
              <w:rPr>
                <w:rFonts w:hint="eastAsia" w:eastAsia="宋体" w:cs="Times New Roman"/>
                <w:b/>
                <w:bCs/>
                <w:color w:val="auto"/>
                <w:sz w:val="21"/>
                <w:szCs w:val="21"/>
                <w:highlight w:val="none"/>
                <w:lang w:val="en-US" w:eastAsia="zh-CN"/>
              </w:rPr>
              <w:t>燃</w:t>
            </w:r>
            <w:r>
              <w:rPr>
                <w:rFonts w:hint="eastAsia" w:cs="Times New Roman"/>
                <w:b/>
                <w:bCs/>
                <w:color w:val="auto"/>
                <w:sz w:val="21"/>
                <w:szCs w:val="21"/>
                <w:highlight w:val="none"/>
                <w:lang w:val="en-US" w:eastAsia="zh-CN"/>
              </w:rPr>
              <w:t>生物质</w:t>
            </w:r>
            <w:r>
              <w:rPr>
                <w:rFonts w:hint="default" w:ascii="Times New Roman" w:hAnsi="Times New Roman" w:eastAsia="宋体" w:cs="Times New Roman"/>
                <w:b/>
                <w:bCs/>
                <w:color w:val="auto"/>
                <w:sz w:val="21"/>
                <w:szCs w:val="21"/>
                <w:highlight w:val="none"/>
                <w:lang w:val="en-US" w:eastAsia="zh-CN"/>
              </w:rPr>
              <w:t>工业锅炉（摘录）</w:t>
            </w:r>
            <w:r>
              <w:rPr>
                <w:rFonts w:hint="eastAsia"/>
                <w:b/>
                <w:bCs/>
                <w:color w:val="auto"/>
                <w:szCs w:val="21"/>
                <w:highlight w:val="none"/>
              </w:rPr>
              <w:t>表</w:t>
            </w:r>
          </w:p>
          <w:tbl>
            <w:tblPr>
              <w:tblStyle w:val="27"/>
              <w:tblW w:w="8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662"/>
              <w:gridCol w:w="709"/>
              <w:gridCol w:w="914"/>
              <w:gridCol w:w="455"/>
              <w:gridCol w:w="1025"/>
              <w:gridCol w:w="985"/>
              <w:gridCol w:w="1025"/>
              <w:gridCol w:w="1025"/>
              <w:gridCol w:w="1047"/>
            </w:tblGrid>
            <w:tr w14:paraId="6766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noWrap w:val="0"/>
                  <w:vAlign w:val="center"/>
                </w:tcPr>
                <w:p w14:paraId="68B8E6AD">
                  <w:pPr>
                    <w:pStyle w:val="11"/>
                    <w:tabs>
                      <w:tab w:val="left" w:pos="0"/>
                      <w:tab w:val="left" w:pos="1260"/>
                    </w:tabs>
                    <w:snapToGrid w:val="0"/>
                    <w:spacing w:after="0"/>
                    <w:jc w:val="center"/>
                    <w:rPr>
                      <w:rFonts w:eastAsia="宋体"/>
                      <w:b/>
                      <w:bCs/>
                      <w:iCs/>
                      <w:color w:val="auto"/>
                      <w:sz w:val="21"/>
                      <w:szCs w:val="21"/>
                      <w:highlight w:val="none"/>
                    </w:rPr>
                  </w:pPr>
                  <w:r>
                    <w:rPr>
                      <w:rFonts w:hint="eastAsia" w:eastAsia="宋体"/>
                      <w:b/>
                      <w:bCs/>
                      <w:iCs/>
                      <w:color w:val="auto"/>
                      <w:sz w:val="21"/>
                      <w:szCs w:val="21"/>
                      <w:highlight w:val="none"/>
                      <w:lang w:eastAsia="zh-CN"/>
                    </w:rPr>
                    <w:t>产品</w:t>
                  </w:r>
                  <w:r>
                    <w:rPr>
                      <w:rFonts w:eastAsia="宋体"/>
                      <w:b/>
                      <w:bCs/>
                      <w:iCs/>
                      <w:color w:val="auto"/>
                      <w:sz w:val="21"/>
                      <w:szCs w:val="21"/>
                      <w:highlight w:val="none"/>
                    </w:rPr>
                    <w:t>名称</w:t>
                  </w:r>
                </w:p>
              </w:tc>
              <w:tc>
                <w:tcPr>
                  <w:tcW w:w="662" w:type="dxa"/>
                  <w:noWrap w:val="0"/>
                  <w:vAlign w:val="center"/>
                </w:tcPr>
                <w:p w14:paraId="30E475EA">
                  <w:pPr>
                    <w:pStyle w:val="11"/>
                    <w:tabs>
                      <w:tab w:val="left" w:pos="0"/>
                      <w:tab w:val="left" w:pos="1260"/>
                    </w:tabs>
                    <w:snapToGrid w:val="0"/>
                    <w:spacing w:after="0"/>
                    <w:jc w:val="center"/>
                    <w:rPr>
                      <w:rFonts w:eastAsia="宋体"/>
                      <w:b/>
                      <w:bCs/>
                      <w:iCs/>
                      <w:color w:val="auto"/>
                      <w:sz w:val="21"/>
                      <w:szCs w:val="21"/>
                      <w:highlight w:val="none"/>
                    </w:rPr>
                  </w:pPr>
                  <w:r>
                    <w:rPr>
                      <w:rFonts w:hint="eastAsia" w:eastAsia="宋体"/>
                      <w:b/>
                      <w:bCs/>
                      <w:iCs/>
                      <w:color w:val="auto"/>
                      <w:sz w:val="21"/>
                      <w:szCs w:val="21"/>
                      <w:highlight w:val="none"/>
                      <w:lang w:eastAsia="zh-CN"/>
                    </w:rPr>
                    <w:t>原料</w:t>
                  </w:r>
                  <w:r>
                    <w:rPr>
                      <w:rFonts w:eastAsia="宋体"/>
                      <w:b/>
                      <w:bCs/>
                      <w:iCs/>
                      <w:color w:val="auto"/>
                      <w:sz w:val="21"/>
                      <w:szCs w:val="21"/>
                      <w:highlight w:val="none"/>
                    </w:rPr>
                    <w:t>名称</w:t>
                  </w:r>
                </w:p>
              </w:tc>
              <w:tc>
                <w:tcPr>
                  <w:tcW w:w="709" w:type="dxa"/>
                  <w:noWrap w:val="0"/>
                  <w:vAlign w:val="center"/>
                </w:tcPr>
                <w:p w14:paraId="41060677">
                  <w:pPr>
                    <w:pStyle w:val="11"/>
                    <w:tabs>
                      <w:tab w:val="left" w:pos="0"/>
                      <w:tab w:val="left" w:pos="1260"/>
                    </w:tabs>
                    <w:snapToGrid w:val="0"/>
                    <w:spacing w:after="0"/>
                    <w:jc w:val="center"/>
                    <w:rPr>
                      <w:rFonts w:hint="eastAsia" w:eastAsia="宋体"/>
                      <w:b/>
                      <w:bCs/>
                      <w:iCs/>
                      <w:color w:val="auto"/>
                      <w:sz w:val="21"/>
                      <w:szCs w:val="21"/>
                      <w:highlight w:val="none"/>
                    </w:rPr>
                  </w:pPr>
                  <w:r>
                    <w:rPr>
                      <w:rFonts w:hint="eastAsia" w:eastAsia="宋体"/>
                      <w:b/>
                      <w:bCs/>
                      <w:iCs/>
                      <w:color w:val="auto"/>
                      <w:sz w:val="21"/>
                      <w:szCs w:val="21"/>
                      <w:highlight w:val="none"/>
                    </w:rPr>
                    <w:t>工艺名称</w:t>
                  </w:r>
                </w:p>
              </w:tc>
              <w:tc>
                <w:tcPr>
                  <w:tcW w:w="914" w:type="dxa"/>
                  <w:noWrap w:val="0"/>
                  <w:vAlign w:val="center"/>
                </w:tcPr>
                <w:p w14:paraId="643ABF3A">
                  <w:pPr>
                    <w:pStyle w:val="11"/>
                    <w:tabs>
                      <w:tab w:val="left" w:pos="0"/>
                      <w:tab w:val="left" w:pos="1260"/>
                    </w:tabs>
                    <w:snapToGrid w:val="0"/>
                    <w:spacing w:after="0"/>
                    <w:jc w:val="center"/>
                    <w:rPr>
                      <w:rFonts w:hint="eastAsia" w:eastAsia="宋体"/>
                      <w:b/>
                      <w:bCs/>
                      <w:iCs/>
                      <w:color w:val="auto"/>
                      <w:sz w:val="21"/>
                      <w:szCs w:val="21"/>
                      <w:highlight w:val="none"/>
                    </w:rPr>
                  </w:pPr>
                  <w:r>
                    <w:rPr>
                      <w:rFonts w:hint="eastAsia" w:eastAsia="宋体"/>
                      <w:b/>
                      <w:bCs/>
                      <w:iCs/>
                      <w:color w:val="auto"/>
                      <w:sz w:val="21"/>
                      <w:szCs w:val="21"/>
                      <w:highlight w:val="none"/>
                    </w:rPr>
                    <w:t>规模等级</w:t>
                  </w:r>
                </w:p>
              </w:tc>
              <w:tc>
                <w:tcPr>
                  <w:tcW w:w="1480" w:type="dxa"/>
                  <w:gridSpan w:val="2"/>
                  <w:noWrap w:val="0"/>
                  <w:vAlign w:val="center"/>
                </w:tcPr>
                <w:p w14:paraId="589BC7FB">
                  <w:pPr>
                    <w:pStyle w:val="11"/>
                    <w:tabs>
                      <w:tab w:val="left" w:pos="0"/>
                      <w:tab w:val="left" w:pos="1260"/>
                    </w:tabs>
                    <w:snapToGrid w:val="0"/>
                    <w:spacing w:after="0"/>
                    <w:jc w:val="center"/>
                    <w:rPr>
                      <w:rFonts w:hint="eastAsia" w:eastAsia="宋体"/>
                      <w:b/>
                      <w:bCs/>
                      <w:iCs/>
                      <w:color w:val="auto"/>
                      <w:sz w:val="21"/>
                      <w:szCs w:val="21"/>
                      <w:highlight w:val="none"/>
                    </w:rPr>
                  </w:pPr>
                  <w:r>
                    <w:rPr>
                      <w:rFonts w:hint="eastAsia" w:eastAsia="宋体"/>
                      <w:b/>
                      <w:bCs/>
                      <w:iCs/>
                      <w:color w:val="auto"/>
                      <w:sz w:val="21"/>
                      <w:szCs w:val="21"/>
                      <w:highlight w:val="none"/>
                    </w:rPr>
                    <w:t>污染物指标</w:t>
                  </w:r>
                </w:p>
              </w:tc>
              <w:tc>
                <w:tcPr>
                  <w:tcW w:w="985" w:type="dxa"/>
                  <w:noWrap w:val="0"/>
                  <w:vAlign w:val="center"/>
                </w:tcPr>
                <w:p w14:paraId="7A10D238">
                  <w:pPr>
                    <w:pStyle w:val="11"/>
                    <w:tabs>
                      <w:tab w:val="left" w:pos="0"/>
                      <w:tab w:val="left" w:pos="1260"/>
                    </w:tabs>
                    <w:snapToGrid w:val="0"/>
                    <w:spacing w:after="0"/>
                    <w:jc w:val="center"/>
                    <w:rPr>
                      <w:rFonts w:hint="eastAsia" w:eastAsia="宋体"/>
                      <w:b/>
                      <w:bCs/>
                      <w:iCs/>
                      <w:color w:val="auto"/>
                      <w:sz w:val="21"/>
                      <w:szCs w:val="21"/>
                      <w:highlight w:val="none"/>
                    </w:rPr>
                  </w:pPr>
                  <w:r>
                    <w:rPr>
                      <w:rFonts w:hint="eastAsia" w:eastAsia="宋体"/>
                      <w:b/>
                      <w:bCs/>
                      <w:iCs/>
                      <w:color w:val="auto"/>
                      <w:sz w:val="21"/>
                      <w:szCs w:val="21"/>
                      <w:highlight w:val="none"/>
                    </w:rPr>
                    <w:t>单位</w:t>
                  </w:r>
                </w:p>
              </w:tc>
              <w:tc>
                <w:tcPr>
                  <w:tcW w:w="1025" w:type="dxa"/>
                  <w:noWrap w:val="0"/>
                  <w:vAlign w:val="center"/>
                </w:tcPr>
                <w:p w14:paraId="5F0CE8E1">
                  <w:pPr>
                    <w:pStyle w:val="11"/>
                    <w:tabs>
                      <w:tab w:val="left" w:pos="0"/>
                      <w:tab w:val="left" w:pos="1260"/>
                    </w:tabs>
                    <w:snapToGrid w:val="0"/>
                    <w:spacing w:after="0"/>
                    <w:jc w:val="center"/>
                    <w:rPr>
                      <w:rFonts w:eastAsia="宋体"/>
                      <w:b/>
                      <w:bCs/>
                      <w:iCs/>
                      <w:color w:val="auto"/>
                      <w:sz w:val="21"/>
                      <w:szCs w:val="21"/>
                      <w:highlight w:val="none"/>
                    </w:rPr>
                  </w:pPr>
                  <w:r>
                    <w:rPr>
                      <w:rFonts w:hint="eastAsia" w:eastAsia="宋体"/>
                      <w:b/>
                      <w:bCs/>
                      <w:iCs/>
                      <w:color w:val="auto"/>
                      <w:sz w:val="21"/>
                      <w:szCs w:val="21"/>
                      <w:highlight w:val="none"/>
                    </w:rPr>
                    <w:t>产污</w:t>
                  </w:r>
                  <w:r>
                    <w:rPr>
                      <w:rFonts w:eastAsia="宋体"/>
                      <w:b/>
                      <w:bCs/>
                      <w:iCs/>
                      <w:color w:val="auto"/>
                      <w:sz w:val="21"/>
                      <w:szCs w:val="21"/>
                      <w:highlight w:val="none"/>
                    </w:rPr>
                    <w:t>系数</w:t>
                  </w:r>
                </w:p>
              </w:tc>
              <w:tc>
                <w:tcPr>
                  <w:tcW w:w="1025" w:type="dxa"/>
                  <w:noWrap w:val="0"/>
                  <w:vAlign w:val="center"/>
                </w:tcPr>
                <w:p w14:paraId="5FFCA1CE">
                  <w:pPr>
                    <w:pStyle w:val="11"/>
                    <w:tabs>
                      <w:tab w:val="left" w:pos="0"/>
                      <w:tab w:val="left" w:pos="1260"/>
                    </w:tabs>
                    <w:snapToGrid w:val="0"/>
                    <w:spacing w:after="0"/>
                    <w:jc w:val="center"/>
                    <w:rPr>
                      <w:rFonts w:hint="eastAsia" w:eastAsia="宋体"/>
                      <w:b/>
                      <w:bCs/>
                      <w:iCs/>
                      <w:color w:val="auto"/>
                      <w:sz w:val="21"/>
                      <w:szCs w:val="21"/>
                      <w:highlight w:val="none"/>
                      <w:lang w:eastAsia="zh-CN"/>
                    </w:rPr>
                  </w:pPr>
                  <w:r>
                    <w:rPr>
                      <w:rFonts w:hint="eastAsia" w:eastAsia="宋体"/>
                      <w:b/>
                      <w:bCs/>
                      <w:iCs/>
                      <w:color w:val="auto"/>
                      <w:sz w:val="21"/>
                      <w:szCs w:val="21"/>
                      <w:highlight w:val="none"/>
                      <w:lang w:eastAsia="zh-CN"/>
                    </w:rPr>
                    <w:t>末端治理技术名称</w:t>
                  </w:r>
                </w:p>
              </w:tc>
              <w:tc>
                <w:tcPr>
                  <w:tcW w:w="1047" w:type="dxa"/>
                  <w:noWrap w:val="0"/>
                  <w:vAlign w:val="center"/>
                </w:tcPr>
                <w:p w14:paraId="2F59166F">
                  <w:pPr>
                    <w:pStyle w:val="11"/>
                    <w:tabs>
                      <w:tab w:val="left" w:pos="0"/>
                      <w:tab w:val="left" w:pos="1260"/>
                    </w:tabs>
                    <w:snapToGrid w:val="0"/>
                    <w:spacing w:after="0"/>
                    <w:jc w:val="center"/>
                    <w:rPr>
                      <w:rFonts w:hint="eastAsia" w:eastAsia="宋体"/>
                      <w:b/>
                      <w:bCs/>
                      <w:iCs/>
                      <w:color w:val="auto"/>
                      <w:sz w:val="21"/>
                      <w:szCs w:val="21"/>
                      <w:highlight w:val="none"/>
                      <w:lang w:eastAsia="zh-CN"/>
                    </w:rPr>
                  </w:pPr>
                  <w:r>
                    <w:rPr>
                      <w:rFonts w:hint="eastAsia" w:eastAsia="宋体"/>
                      <w:b/>
                      <w:bCs/>
                      <w:iCs/>
                      <w:color w:val="auto"/>
                      <w:sz w:val="21"/>
                      <w:szCs w:val="21"/>
                      <w:highlight w:val="none"/>
                      <w:lang w:eastAsia="zh-CN"/>
                    </w:rPr>
                    <w:t>去除效率（</w:t>
                  </w:r>
                  <w:r>
                    <w:rPr>
                      <w:rFonts w:hint="eastAsia" w:eastAsia="宋体"/>
                      <w:b/>
                      <w:bCs/>
                      <w:iCs/>
                      <w:color w:val="auto"/>
                      <w:sz w:val="21"/>
                      <w:szCs w:val="21"/>
                      <w:highlight w:val="none"/>
                      <w:lang w:val="en-US" w:eastAsia="zh-CN"/>
                    </w:rPr>
                    <w:t>%</w:t>
                  </w:r>
                  <w:r>
                    <w:rPr>
                      <w:rFonts w:hint="eastAsia" w:eastAsia="宋体"/>
                      <w:b/>
                      <w:bCs/>
                      <w:iCs/>
                      <w:color w:val="auto"/>
                      <w:sz w:val="21"/>
                      <w:szCs w:val="21"/>
                      <w:highlight w:val="none"/>
                      <w:lang w:eastAsia="zh-CN"/>
                    </w:rPr>
                    <w:t>）</w:t>
                  </w:r>
                </w:p>
              </w:tc>
            </w:tr>
            <w:tr w14:paraId="080F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8" w:hRule="atLeast"/>
              </w:trPr>
              <w:tc>
                <w:tcPr>
                  <w:tcW w:w="613" w:type="dxa"/>
                  <w:vMerge w:val="restart"/>
                  <w:noWrap w:val="0"/>
                  <w:vAlign w:val="center"/>
                </w:tcPr>
                <w:p w14:paraId="11E1A5AF">
                  <w:pPr>
                    <w:pStyle w:val="11"/>
                    <w:tabs>
                      <w:tab w:val="left" w:pos="0"/>
                      <w:tab w:val="left" w:pos="1260"/>
                    </w:tabs>
                    <w:snapToGrid w:val="0"/>
                    <w:spacing w:after="0"/>
                    <w:jc w:val="center"/>
                    <w:rPr>
                      <w:rFonts w:hint="default" w:eastAsia="宋体"/>
                      <w:iCs/>
                      <w:color w:val="auto"/>
                      <w:sz w:val="21"/>
                      <w:szCs w:val="21"/>
                      <w:highlight w:val="none"/>
                      <w:lang w:val="en-US" w:eastAsia="zh-CN"/>
                    </w:rPr>
                  </w:pPr>
                  <w:r>
                    <w:rPr>
                      <w:rFonts w:hint="eastAsia" w:eastAsia="宋体"/>
                      <w:iCs/>
                      <w:color w:val="auto"/>
                      <w:sz w:val="21"/>
                      <w:szCs w:val="21"/>
                      <w:highlight w:val="none"/>
                      <w:lang w:eastAsia="zh-CN"/>
                    </w:rPr>
                    <w:t>蒸汽</w:t>
                  </w:r>
                  <w:r>
                    <w:rPr>
                      <w:rFonts w:hint="eastAsia" w:eastAsia="宋体"/>
                      <w:iCs/>
                      <w:color w:val="auto"/>
                      <w:sz w:val="21"/>
                      <w:szCs w:val="21"/>
                      <w:highlight w:val="none"/>
                      <w:lang w:val="en-US" w:eastAsia="zh-CN"/>
                    </w:rPr>
                    <w:t>/热水/其他</w:t>
                  </w:r>
                </w:p>
              </w:tc>
              <w:tc>
                <w:tcPr>
                  <w:tcW w:w="662" w:type="dxa"/>
                  <w:vMerge w:val="restart"/>
                  <w:noWrap w:val="0"/>
                  <w:vAlign w:val="center"/>
                </w:tcPr>
                <w:p w14:paraId="7EB1AAA3">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eastAsia" w:eastAsia="宋体"/>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生物质</w:t>
                  </w:r>
                  <w:r>
                    <w:rPr>
                      <w:rFonts w:hint="default" w:ascii="Times New Roman" w:hAnsi="Times New Roman" w:eastAsia="宋体" w:cs="Times New Roman"/>
                      <w:iCs/>
                      <w:color w:val="auto"/>
                      <w:sz w:val="21"/>
                      <w:szCs w:val="21"/>
                      <w:highlight w:val="none"/>
                      <w:lang w:val="en-US" w:eastAsia="zh-CN"/>
                    </w:rPr>
                    <w:t>燃料</w:t>
                  </w:r>
                </w:p>
              </w:tc>
              <w:tc>
                <w:tcPr>
                  <w:tcW w:w="709" w:type="dxa"/>
                  <w:vMerge w:val="restart"/>
                  <w:noWrap w:val="0"/>
                  <w:vAlign w:val="center"/>
                </w:tcPr>
                <w:p w14:paraId="4ADC78FD">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eastAsia" w:eastAsia="宋体"/>
                      <w:iCs/>
                      <w:color w:val="auto"/>
                      <w:sz w:val="21"/>
                      <w:szCs w:val="21"/>
                      <w:highlight w:val="none"/>
                      <w:lang w:eastAsia="zh-CN"/>
                    </w:rPr>
                  </w:pPr>
                  <w:r>
                    <w:rPr>
                      <w:rFonts w:hint="default" w:ascii="Times New Roman" w:hAnsi="Times New Roman" w:eastAsia="宋体" w:cs="Times New Roman"/>
                      <w:iCs/>
                      <w:color w:val="auto"/>
                      <w:sz w:val="21"/>
                      <w:szCs w:val="21"/>
                      <w:highlight w:val="none"/>
                      <w:lang w:val="en-US" w:eastAsia="zh-CN"/>
                    </w:rPr>
                    <w:t>层燃炉</w:t>
                  </w:r>
                </w:p>
              </w:tc>
              <w:tc>
                <w:tcPr>
                  <w:tcW w:w="914" w:type="dxa"/>
                  <w:vMerge w:val="restart"/>
                  <w:noWrap w:val="0"/>
                  <w:vAlign w:val="top"/>
                </w:tcPr>
                <w:p w14:paraId="77994008">
                  <w:pPr>
                    <w:pStyle w:val="11"/>
                    <w:tabs>
                      <w:tab w:val="left" w:pos="0"/>
                      <w:tab w:val="left" w:pos="1260"/>
                    </w:tabs>
                    <w:snapToGrid w:val="0"/>
                    <w:spacing w:after="0"/>
                    <w:jc w:val="center"/>
                    <w:rPr>
                      <w:rFonts w:hint="eastAsia" w:eastAsia="宋体"/>
                      <w:iCs/>
                      <w:color w:val="auto"/>
                      <w:sz w:val="21"/>
                      <w:szCs w:val="21"/>
                      <w:highlight w:val="none"/>
                    </w:rPr>
                  </w:pPr>
                </w:p>
                <w:p w14:paraId="22462F5E">
                  <w:pPr>
                    <w:pStyle w:val="11"/>
                    <w:tabs>
                      <w:tab w:val="left" w:pos="0"/>
                      <w:tab w:val="left" w:pos="1260"/>
                    </w:tabs>
                    <w:snapToGrid w:val="0"/>
                    <w:spacing w:after="0"/>
                    <w:jc w:val="center"/>
                    <w:rPr>
                      <w:rFonts w:hint="eastAsia" w:eastAsia="宋体"/>
                      <w:iCs/>
                      <w:color w:val="auto"/>
                      <w:sz w:val="21"/>
                      <w:szCs w:val="21"/>
                      <w:highlight w:val="none"/>
                    </w:rPr>
                  </w:pPr>
                </w:p>
                <w:p w14:paraId="1231C6FE">
                  <w:pPr>
                    <w:pStyle w:val="11"/>
                    <w:tabs>
                      <w:tab w:val="left" w:pos="0"/>
                      <w:tab w:val="left" w:pos="1260"/>
                    </w:tabs>
                    <w:snapToGrid w:val="0"/>
                    <w:spacing w:after="0"/>
                    <w:jc w:val="center"/>
                    <w:rPr>
                      <w:rFonts w:hint="eastAsia" w:eastAsia="宋体"/>
                      <w:iCs/>
                      <w:color w:val="auto"/>
                      <w:sz w:val="21"/>
                      <w:szCs w:val="21"/>
                      <w:highlight w:val="none"/>
                    </w:rPr>
                  </w:pPr>
                </w:p>
                <w:p w14:paraId="6E3D7547">
                  <w:pPr>
                    <w:pStyle w:val="11"/>
                    <w:tabs>
                      <w:tab w:val="left" w:pos="0"/>
                      <w:tab w:val="left" w:pos="1260"/>
                    </w:tabs>
                    <w:snapToGrid w:val="0"/>
                    <w:spacing w:after="0"/>
                    <w:jc w:val="center"/>
                    <w:rPr>
                      <w:rFonts w:hint="eastAsia" w:eastAsia="宋体"/>
                      <w:iCs/>
                      <w:color w:val="auto"/>
                      <w:sz w:val="21"/>
                      <w:szCs w:val="21"/>
                      <w:highlight w:val="none"/>
                    </w:rPr>
                  </w:pPr>
                </w:p>
                <w:p w14:paraId="2A4AD11B">
                  <w:pPr>
                    <w:pStyle w:val="11"/>
                    <w:tabs>
                      <w:tab w:val="left" w:pos="0"/>
                      <w:tab w:val="left" w:pos="1260"/>
                    </w:tabs>
                    <w:snapToGrid w:val="0"/>
                    <w:spacing w:after="0"/>
                    <w:jc w:val="center"/>
                    <w:rPr>
                      <w:rFonts w:hint="eastAsia" w:eastAsia="宋体"/>
                      <w:iCs/>
                      <w:color w:val="auto"/>
                      <w:sz w:val="21"/>
                      <w:szCs w:val="21"/>
                      <w:highlight w:val="none"/>
                    </w:rPr>
                  </w:pPr>
                </w:p>
                <w:p w14:paraId="7E62AE37">
                  <w:pPr>
                    <w:pStyle w:val="11"/>
                    <w:tabs>
                      <w:tab w:val="left" w:pos="0"/>
                      <w:tab w:val="left" w:pos="1260"/>
                    </w:tabs>
                    <w:snapToGrid w:val="0"/>
                    <w:spacing w:after="0"/>
                    <w:jc w:val="center"/>
                    <w:rPr>
                      <w:rFonts w:hint="eastAsia" w:eastAsia="宋体"/>
                      <w:iCs/>
                      <w:color w:val="auto"/>
                      <w:sz w:val="21"/>
                      <w:szCs w:val="21"/>
                      <w:highlight w:val="none"/>
                    </w:rPr>
                  </w:pPr>
                </w:p>
                <w:p w14:paraId="0348DEC3">
                  <w:pPr>
                    <w:pStyle w:val="11"/>
                    <w:tabs>
                      <w:tab w:val="left" w:pos="0"/>
                      <w:tab w:val="left" w:pos="1260"/>
                    </w:tabs>
                    <w:snapToGrid w:val="0"/>
                    <w:spacing w:after="0"/>
                    <w:jc w:val="center"/>
                    <w:rPr>
                      <w:rFonts w:hint="eastAsia" w:eastAsia="宋体"/>
                      <w:iCs/>
                      <w:color w:val="auto"/>
                      <w:sz w:val="21"/>
                      <w:szCs w:val="21"/>
                      <w:highlight w:val="none"/>
                    </w:rPr>
                  </w:pPr>
                </w:p>
                <w:p w14:paraId="17957348">
                  <w:pPr>
                    <w:pStyle w:val="11"/>
                    <w:tabs>
                      <w:tab w:val="left" w:pos="0"/>
                      <w:tab w:val="left" w:pos="1260"/>
                    </w:tabs>
                    <w:snapToGrid w:val="0"/>
                    <w:spacing w:after="0"/>
                    <w:jc w:val="center"/>
                    <w:rPr>
                      <w:rFonts w:hint="eastAsia" w:eastAsia="宋体"/>
                      <w:iCs/>
                      <w:color w:val="auto"/>
                      <w:sz w:val="21"/>
                      <w:szCs w:val="21"/>
                      <w:highlight w:val="none"/>
                    </w:rPr>
                  </w:pPr>
                  <w:r>
                    <w:rPr>
                      <w:rFonts w:hint="eastAsia" w:eastAsia="宋体"/>
                      <w:iCs/>
                      <w:color w:val="auto"/>
                      <w:sz w:val="21"/>
                      <w:szCs w:val="21"/>
                      <w:highlight w:val="none"/>
                    </w:rPr>
                    <w:t>所有规模</w:t>
                  </w:r>
                </w:p>
              </w:tc>
              <w:tc>
                <w:tcPr>
                  <w:tcW w:w="455" w:type="dxa"/>
                  <w:vMerge w:val="restart"/>
                  <w:noWrap w:val="0"/>
                  <w:vAlign w:val="center"/>
                </w:tcPr>
                <w:p w14:paraId="3B80EC1B">
                  <w:pPr>
                    <w:pStyle w:val="11"/>
                    <w:tabs>
                      <w:tab w:val="left" w:pos="0"/>
                      <w:tab w:val="left" w:pos="1260"/>
                    </w:tabs>
                    <w:snapToGrid w:val="0"/>
                    <w:spacing w:after="0"/>
                    <w:jc w:val="center"/>
                    <w:rPr>
                      <w:rFonts w:hint="eastAsia" w:eastAsia="宋体"/>
                      <w:iCs/>
                      <w:color w:val="auto"/>
                      <w:sz w:val="21"/>
                      <w:szCs w:val="21"/>
                      <w:highlight w:val="none"/>
                    </w:rPr>
                  </w:pPr>
                  <w:r>
                    <w:rPr>
                      <w:rFonts w:hint="eastAsia" w:eastAsia="宋体"/>
                      <w:iCs/>
                      <w:color w:val="auto"/>
                      <w:sz w:val="21"/>
                      <w:szCs w:val="21"/>
                      <w:highlight w:val="none"/>
                    </w:rPr>
                    <w:t>废气</w:t>
                  </w:r>
                </w:p>
              </w:tc>
              <w:tc>
                <w:tcPr>
                  <w:tcW w:w="1025" w:type="dxa"/>
                  <w:noWrap w:val="0"/>
                  <w:vAlign w:val="center"/>
                </w:tcPr>
                <w:p w14:paraId="3BF24550">
                  <w:pPr>
                    <w:pStyle w:val="11"/>
                    <w:tabs>
                      <w:tab w:val="left" w:pos="0"/>
                      <w:tab w:val="left" w:pos="1260"/>
                    </w:tabs>
                    <w:snapToGrid w:val="0"/>
                    <w:spacing w:after="0"/>
                    <w:jc w:val="center"/>
                    <w:rPr>
                      <w:rFonts w:hint="eastAsia" w:eastAsia="宋体"/>
                      <w:iCs/>
                      <w:color w:val="auto"/>
                      <w:sz w:val="21"/>
                      <w:szCs w:val="21"/>
                      <w:highlight w:val="none"/>
                      <w:lang w:eastAsia="zh-CN"/>
                    </w:rPr>
                  </w:pPr>
                  <w:r>
                    <w:rPr>
                      <w:rFonts w:hint="eastAsia" w:eastAsia="宋体"/>
                      <w:iCs/>
                      <w:color w:val="auto"/>
                      <w:sz w:val="21"/>
                      <w:szCs w:val="21"/>
                      <w:highlight w:val="none"/>
                      <w:lang w:eastAsia="zh-CN"/>
                    </w:rPr>
                    <w:t>颗粒物</w:t>
                  </w:r>
                </w:p>
              </w:tc>
              <w:tc>
                <w:tcPr>
                  <w:tcW w:w="985" w:type="dxa"/>
                  <w:noWrap w:val="0"/>
                  <w:vAlign w:val="center"/>
                </w:tcPr>
                <w:p w14:paraId="09FDED03">
                  <w:pPr>
                    <w:pStyle w:val="11"/>
                    <w:tabs>
                      <w:tab w:val="left" w:pos="0"/>
                      <w:tab w:val="left" w:pos="1260"/>
                    </w:tabs>
                    <w:snapToGrid w:val="0"/>
                    <w:spacing w:after="0"/>
                    <w:jc w:val="center"/>
                    <w:rPr>
                      <w:rFonts w:hint="default" w:eastAsia="宋体"/>
                      <w:iCs/>
                      <w:color w:val="auto"/>
                      <w:sz w:val="21"/>
                      <w:szCs w:val="21"/>
                      <w:highlight w:val="none"/>
                      <w:lang w:val="en-US" w:eastAsia="zh-CN"/>
                    </w:rPr>
                  </w:pPr>
                  <w:r>
                    <w:rPr>
                      <w:rFonts w:hint="eastAsia" w:eastAsia="宋体"/>
                      <w:iCs/>
                      <w:color w:val="auto"/>
                      <w:sz w:val="21"/>
                      <w:szCs w:val="21"/>
                      <w:highlight w:val="none"/>
                      <w:lang w:eastAsia="zh-CN"/>
                    </w:rPr>
                    <w:t>千克</w:t>
                  </w:r>
                  <w:r>
                    <w:rPr>
                      <w:rFonts w:hint="eastAsia" w:eastAsia="宋体"/>
                      <w:iCs/>
                      <w:color w:val="auto"/>
                      <w:sz w:val="21"/>
                      <w:szCs w:val="21"/>
                      <w:highlight w:val="none"/>
                      <w:lang w:val="en-US" w:eastAsia="zh-CN"/>
                    </w:rPr>
                    <w:t>/吨-原料</w:t>
                  </w:r>
                </w:p>
              </w:tc>
              <w:tc>
                <w:tcPr>
                  <w:tcW w:w="1025" w:type="dxa"/>
                  <w:noWrap w:val="0"/>
                  <w:vAlign w:val="center"/>
                </w:tcPr>
                <w:p w14:paraId="0D0AAC04">
                  <w:pPr>
                    <w:pStyle w:val="11"/>
                    <w:tabs>
                      <w:tab w:val="left" w:pos="0"/>
                      <w:tab w:val="left" w:pos="1260"/>
                    </w:tabs>
                    <w:snapToGrid w:val="0"/>
                    <w:spacing w:after="0"/>
                    <w:jc w:val="center"/>
                    <w:rPr>
                      <w:rFonts w:hint="default" w:eastAsia="宋体"/>
                      <w:iCs/>
                      <w:color w:val="auto"/>
                      <w:sz w:val="21"/>
                      <w:szCs w:val="21"/>
                      <w:highlight w:val="none"/>
                      <w:lang w:val="en-US" w:eastAsia="zh-CN"/>
                    </w:rPr>
                  </w:pPr>
                  <w:r>
                    <w:rPr>
                      <w:rFonts w:hint="eastAsia"/>
                      <w:iCs/>
                      <w:color w:val="auto"/>
                      <w:sz w:val="21"/>
                      <w:szCs w:val="21"/>
                      <w:highlight w:val="none"/>
                      <w:lang w:val="en-US" w:eastAsia="zh-CN"/>
                    </w:rPr>
                    <w:t>0.5</w:t>
                  </w:r>
                </w:p>
              </w:tc>
              <w:tc>
                <w:tcPr>
                  <w:tcW w:w="1025" w:type="dxa"/>
                  <w:noWrap w:val="0"/>
                  <w:vAlign w:val="center"/>
                </w:tcPr>
                <w:p w14:paraId="60A3BCA2">
                  <w:pPr>
                    <w:pStyle w:val="11"/>
                    <w:tabs>
                      <w:tab w:val="left" w:pos="0"/>
                      <w:tab w:val="left" w:pos="1260"/>
                    </w:tabs>
                    <w:snapToGrid w:val="0"/>
                    <w:spacing w:after="0"/>
                    <w:jc w:val="center"/>
                    <w:rPr>
                      <w:rFonts w:hint="eastAsia" w:eastAsia="宋体"/>
                      <w:iCs/>
                      <w:color w:val="auto"/>
                      <w:sz w:val="21"/>
                      <w:szCs w:val="21"/>
                      <w:highlight w:val="none"/>
                      <w:lang w:eastAsia="zh-CN"/>
                    </w:rPr>
                  </w:pPr>
                  <w:r>
                    <w:rPr>
                      <w:rFonts w:hint="eastAsia" w:eastAsia="宋体"/>
                      <w:iCs/>
                      <w:color w:val="auto"/>
                      <w:sz w:val="21"/>
                      <w:szCs w:val="21"/>
                      <w:highlight w:val="none"/>
                      <w:lang w:eastAsia="zh-CN"/>
                    </w:rPr>
                    <w:t>袋式除尘技术</w:t>
                  </w:r>
                </w:p>
              </w:tc>
              <w:tc>
                <w:tcPr>
                  <w:tcW w:w="1047" w:type="dxa"/>
                  <w:noWrap w:val="0"/>
                  <w:vAlign w:val="center"/>
                </w:tcPr>
                <w:p w14:paraId="61B7C0FA">
                  <w:pPr>
                    <w:pStyle w:val="11"/>
                    <w:tabs>
                      <w:tab w:val="left" w:pos="0"/>
                      <w:tab w:val="left" w:pos="1260"/>
                    </w:tabs>
                    <w:snapToGrid w:val="0"/>
                    <w:spacing w:after="0"/>
                    <w:jc w:val="center"/>
                    <w:rPr>
                      <w:rFonts w:hint="default" w:eastAsia="宋体"/>
                      <w:iCs/>
                      <w:color w:val="auto"/>
                      <w:sz w:val="21"/>
                      <w:szCs w:val="21"/>
                      <w:highlight w:val="none"/>
                      <w:lang w:val="en-US" w:eastAsia="zh-CN"/>
                    </w:rPr>
                  </w:pPr>
                  <w:r>
                    <w:rPr>
                      <w:rFonts w:hint="eastAsia" w:eastAsia="宋体"/>
                      <w:iCs/>
                      <w:color w:val="auto"/>
                      <w:sz w:val="21"/>
                      <w:szCs w:val="21"/>
                      <w:highlight w:val="none"/>
                      <w:lang w:val="en-US" w:eastAsia="zh-CN"/>
                    </w:rPr>
                    <w:t>99.</w:t>
                  </w:r>
                  <w:r>
                    <w:rPr>
                      <w:rFonts w:hint="eastAsia"/>
                      <w:iCs/>
                      <w:color w:val="auto"/>
                      <w:sz w:val="21"/>
                      <w:szCs w:val="21"/>
                      <w:highlight w:val="none"/>
                      <w:lang w:val="en-US" w:eastAsia="zh-CN"/>
                    </w:rPr>
                    <w:t>6</w:t>
                  </w:r>
                </w:p>
              </w:tc>
            </w:tr>
            <w:tr w14:paraId="5524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613" w:type="dxa"/>
                  <w:vMerge w:val="continue"/>
                  <w:noWrap w:val="0"/>
                  <w:vAlign w:val="center"/>
                </w:tcPr>
                <w:p w14:paraId="1865BE79">
                  <w:pPr>
                    <w:pStyle w:val="11"/>
                    <w:tabs>
                      <w:tab w:val="left" w:pos="0"/>
                      <w:tab w:val="left" w:pos="1260"/>
                    </w:tabs>
                    <w:snapToGrid w:val="0"/>
                    <w:spacing w:after="0"/>
                    <w:jc w:val="center"/>
                    <w:rPr>
                      <w:rFonts w:hint="default" w:eastAsia="宋体"/>
                      <w:iCs/>
                      <w:color w:val="auto"/>
                      <w:sz w:val="21"/>
                      <w:szCs w:val="21"/>
                      <w:highlight w:val="none"/>
                      <w:lang w:val="en-US" w:eastAsia="zh-CN"/>
                    </w:rPr>
                  </w:pPr>
                </w:p>
              </w:tc>
              <w:tc>
                <w:tcPr>
                  <w:tcW w:w="662" w:type="dxa"/>
                  <w:vMerge w:val="continue"/>
                  <w:noWrap w:val="0"/>
                  <w:vAlign w:val="center"/>
                </w:tcPr>
                <w:p w14:paraId="1C36AF50">
                  <w:pPr>
                    <w:pStyle w:val="11"/>
                    <w:tabs>
                      <w:tab w:val="left" w:pos="0"/>
                      <w:tab w:val="left" w:pos="1260"/>
                    </w:tabs>
                    <w:snapToGrid w:val="0"/>
                    <w:spacing w:after="0"/>
                    <w:jc w:val="center"/>
                    <w:rPr>
                      <w:rFonts w:hint="eastAsia" w:eastAsia="宋体"/>
                      <w:iCs/>
                      <w:color w:val="auto"/>
                      <w:sz w:val="21"/>
                      <w:szCs w:val="21"/>
                      <w:highlight w:val="none"/>
                      <w:lang w:eastAsia="zh-CN"/>
                    </w:rPr>
                  </w:pPr>
                </w:p>
              </w:tc>
              <w:tc>
                <w:tcPr>
                  <w:tcW w:w="709" w:type="dxa"/>
                  <w:vMerge w:val="continue"/>
                  <w:noWrap w:val="0"/>
                  <w:vAlign w:val="center"/>
                </w:tcPr>
                <w:p w14:paraId="44258148">
                  <w:pPr>
                    <w:pStyle w:val="11"/>
                    <w:tabs>
                      <w:tab w:val="left" w:pos="0"/>
                      <w:tab w:val="left" w:pos="1260"/>
                    </w:tabs>
                    <w:snapToGrid w:val="0"/>
                    <w:spacing w:after="0"/>
                    <w:jc w:val="center"/>
                    <w:rPr>
                      <w:rFonts w:hint="eastAsia" w:eastAsia="宋体"/>
                      <w:iCs/>
                      <w:color w:val="auto"/>
                      <w:sz w:val="21"/>
                      <w:szCs w:val="21"/>
                      <w:highlight w:val="none"/>
                      <w:lang w:eastAsia="zh-CN"/>
                    </w:rPr>
                  </w:pPr>
                </w:p>
              </w:tc>
              <w:tc>
                <w:tcPr>
                  <w:tcW w:w="914" w:type="dxa"/>
                  <w:vMerge w:val="continue"/>
                  <w:noWrap w:val="0"/>
                  <w:vAlign w:val="top"/>
                </w:tcPr>
                <w:p w14:paraId="48926308">
                  <w:pPr>
                    <w:pStyle w:val="11"/>
                    <w:tabs>
                      <w:tab w:val="left" w:pos="0"/>
                      <w:tab w:val="left" w:pos="1260"/>
                    </w:tabs>
                    <w:snapToGrid w:val="0"/>
                    <w:spacing w:after="0"/>
                    <w:jc w:val="center"/>
                    <w:rPr>
                      <w:rFonts w:hint="eastAsia" w:eastAsia="宋体"/>
                      <w:iCs/>
                      <w:color w:val="auto"/>
                      <w:sz w:val="21"/>
                      <w:szCs w:val="21"/>
                      <w:highlight w:val="none"/>
                    </w:rPr>
                  </w:pPr>
                </w:p>
              </w:tc>
              <w:tc>
                <w:tcPr>
                  <w:tcW w:w="455" w:type="dxa"/>
                  <w:vMerge w:val="continue"/>
                  <w:noWrap w:val="0"/>
                  <w:vAlign w:val="center"/>
                </w:tcPr>
                <w:p w14:paraId="5F2C9448">
                  <w:pPr>
                    <w:pStyle w:val="11"/>
                    <w:tabs>
                      <w:tab w:val="left" w:pos="0"/>
                      <w:tab w:val="left" w:pos="1260"/>
                    </w:tabs>
                    <w:snapToGrid w:val="0"/>
                    <w:spacing w:after="0"/>
                    <w:jc w:val="center"/>
                    <w:rPr>
                      <w:rFonts w:hint="eastAsia" w:eastAsia="宋体"/>
                      <w:iCs/>
                      <w:color w:val="auto"/>
                      <w:sz w:val="21"/>
                      <w:szCs w:val="21"/>
                      <w:highlight w:val="none"/>
                    </w:rPr>
                  </w:pPr>
                </w:p>
              </w:tc>
              <w:tc>
                <w:tcPr>
                  <w:tcW w:w="1025" w:type="dxa"/>
                  <w:noWrap w:val="0"/>
                  <w:vAlign w:val="center"/>
                </w:tcPr>
                <w:p w14:paraId="62C17313">
                  <w:pPr>
                    <w:pStyle w:val="11"/>
                    <w:tabs>
                      <w:tab w:val="left" w:pos="0"/>
                      <w:tab w:val="left" w:pos="1260"/>
                    </w:tabs>
                    <w:snapToGrid w:val="0"/>
                    <w:spacing w:after="0"/>
                    <w:jc w:val="center"/>
                    <w:rPr>
                      <w:rFonts w:hint="eastAsia" w:eastAsia="宋体"/>
                      <w:iCs/>
                      <w:color w:val="auto"/>
                      <w:sz w:val="21"/>
                      <w:szCs w:val="21"/>
                      <w:highlight w:val="none"/>
                      <w:lang w:eastAsia="zh-CN"/>
                    </w:rPr>
                  </w:pPr>
                  <w:r>
                    <w:rPr>
                      <w:rFonts w:hint="eastAsia" w:eastAsia="宋体"/>
                      <w:iCs/>
                      <w:color w:val="auto"/>
                      <w:sz w:val="21"/>
                      <w:szCs w:val="21"/>
                      <w:highlight w:val="none"/>
                      <w:lang w:eastAsia="zh-CN"/>
                    </w:rPr>
                    <w:t>二氧化硫</w:t>
                  </w:r>
                </w:p>
              </w:tc>
              <w:tc>
                <w:tcPr>
                  <w:tcW w:w="985" w:type="dxa"/>
                  <w:noWrap w:val="0"/>
                  <w:vAlign w:val="center"/>
                </w:tcPr>
                <w:p w14:paraId="49DB140D">
                  <w:pPr>
                    <w:pStyle w:val="11"/>
                    <w:tabs>
                      <w:tab w:val="left" w:pos="0"/>
                      <w:tab w:val="left" w:pos="1260"/>
                    </w:tabs>
                    <w:snapToGrid w:val="0"/>
                    <w:spacing w:after="0"/>
                    <w:jc w:val="center"/>
                    <w:rPr>
                      <w:rFonts w:hint="eastAsia" w:eastAsia="宋体"/>
                      <w:iCs/>
                      <w:color w:val="auto"/>
                      <w:sz w:val="21"/>
                      <w:szCs w:val="21"/>
                      <w:highlight w:val="none"/>
                      <w:lang w:eastAsia="zh-CN"/>
                    </w:rPr>
                  </w:pPr>
                  <w:r>
                    <w:rPr>
                      <w:rFonts w:hint="eastAsia" w:eastAsia="宋体"/>
                      <w:iCs/>
                      <w:color w:val="auto"/>
                      <w:sz w:val="21"/>
                      <w:szCs w:val="21"/>
                      <w:highlight w:val="none"/>
                      <w:lang w:eastAsia="zh-CN"/>
                    </w:rPr>
                    <w:t>千克</w:t>
                  </w:r>
                  <w:r>
                    <w:rPr>
                      <w:rFonts w:hint="eastAsia" w:eastAsia="宋体"/>
                      <w:iCs/>
                      <w:color w:val="auto"/>
                      <w:sz w:val="21"/>
                      <w:szCs w:val="21"/>
                      <w:highlight w:val="none"/>
                    </w:rPr>
                    <w:t>/吨-</w:t>
                  </w:r>
                  <w:r>
                    <w:rPr>
                      <w:rFonts w:hint="eastAsia" w:eastAsia="宋体"/>
                      <w:iCs/>
                      <w:color w:val="auto"/>
                      <w:sz w:val="21"/>
                      <w:szCs w:val="21"/>
                      <w:highlight w:val="none"/>
                      <w:lang w:eastAsia="zh-CN"/>
                    </w:rPr>
                    <w:t>原料</w:t>
                  </w:r>
                </w:p>
              </w:tc>
              <w:tc>
                <w:tcPr>
                  <w:tcW w:w="1025" w:type="dxa"/>
                  <w:noWrap w:val="0"/>
                  <w:vAlign w:val="center"/>
                </w:tcPr>
                <w:p w14:paraId="6EED62D3">
                  <w:pPr>
                    <w:pStyle w:val="11"/>
                    <w:tabs>
                      <w:tab w:val="left" w:pos="0"/>
                      <w:tab w:val="left" w:pos="1260"/>
                    </w:tabs>
                    <w:snapToGrid w:val="0"/>
                    <w:spacing w:after="0"/>
                    <w:jc w:val="center"/>
                    <w:rPr>
                      <w:rFonts w:hint="default" w:eastAsia="宋体"/>
                      <w:iCs/>
                      <w:color w:val="auto"/>
                      <w:sz w:val="21"/>
                      <w:szCs w:val="21"/>
                      <w:highlight w:val="none"/>
                      <w:lang w:val="en-US" w:eastAsia="zh-CN"/>
                    </w:rPr>
                  </w:pPr>
                  <w:r>
                    <w:rPr>
                      <w:rFonts w:hint="eastAsia" w:eastAsia="宋体"/>
                      <w:iCs/>
                      <w:color w:val="auto"/>
                      <w:sz w:val="21"/>
                      <w:szCs w:val="21"/>
                      <w:highlight w:val="none"/>
                      <w:lang w:val="en-US" w:eastAsia="zh-CN"/>
                    </w:rPr>
                    <w:t>1</w:t>
                  </w:r>
                  <w:r>
                    <w:rPr>
                      <w:rFonts w:hint="eastAsia"/>
                      <w:iCs/>
                      <w:color w:val="auto"/>
                      <w:sz w:val="21"/>
                      <w:szCs w:val="21"/>
                      <w:highlight w:val="none"/>
                      <w:lang w:val="en-US" w:eastAsia="zh-CN"/>
                    </w:rPr>
                    <w:t>7</w:t>
                  </w:r>
                  <w:r>
                    <w:rPr>
                      <w:rFonts w:hint="eastAsia" w:eastAsia="宋体"/>
                      <w:iCs/>
                      <w:color w:val="auto"/>
                      <w:sz w:val="21"/>
                      <w:szCs w:val="21"/>
                      <w:highlight w:val="none"/>
                      <w:lang w:val="en-US" w:eastAsia="zh-CN"/>
                    </w:rPr>
                    <w:t>S</w:t>
                  </w:r>
                </w:p>
              </w:tc>
              <w:tc>
                <w:tcPr>
                  <w:tcW w:w="1025" w:type="dxa"/>
                  <w:noWrap w:val="0"/>
                  <w:vAlign w:val="center"/>
                </w:tcPr>
                <w:p w14:paraId="5A61DD92">
                  <w:pPr>
                    <w:pStyle w:val="11"/>
                    <w:tabs>
                      <w:tab w:val="left" w:pos="0"/>
                      <w:tab w:val="left" w:pos="1260"/>
                    </w:tabs>
                    <w:snapToGrid w:val="0"/>
                    <w:spacing w:after="0"/>
                    <w:jc w:val="center"/>
                    <w:rPr>
                      <w:rFonts w:hint="default" w:eastAsia="宋体"/>
                      <w:iCs/>
                      <w:color w:val="auto"/>
                      <w:sz w:val="21"/>
                      <w:szCs w:val="21"/>
                      <w:highlight w:val="none"/>
                      <w:lang w:val="en-US" w:eastAsia="zh-CN"/>
                    </w:rPr>
                  </w:pPr>
                  <w:r>
                    <w:rPr>
                      <w:rFonts w:hint="eastAsia" w:eastAsia="宋体"/>
                      <w:iCs/>
                      <w:color w:val="auto"/>
                      <w:sz w:val="21"/>
                      <w:szCs w:val="21"/>
                      <w:highlight w:val="none"/>
                      <w:lang w:val="en-US" w:eastAsia="zh-CN"/>
                    </w:rPr>
                    <w:t>石灰石/石灰-石膏湿法</w:t>
                  </w:r>
                </w:p>
              </w:tc>
              <w:tc>
                <w:tcPr>
                  <w:tcW w:w="1047" w:type="dxa"/>
                  <w:noWrap w:val="0"/>
                  <w:vAlign w:val="center"/>
                </w:tcPr>
                <w:p w14:paraId="1C047ED0">
                  <w:pPr>
                    <w:pStyle w:val="11"/>
                    <w:tabs>
                      <w:tab w:val="left" w:pos="0"/>
                      <w:tab w:val="left" w:pos="1260"/>
                    </w:tabs>
                    <w:snapToGrid w:val="0"/>
                    <w:spacing w:after="0"/>
                    <w:jc w:val="center"/>
                    <w:rPr>
                      <w:rFonts w:hint="default" w:eastAsia="宋体"/>
                      <w:iCs/>
                      <w:color w:val="auto"/>
                      <w:sz w:val="21"/>
                      <w:szCs w:val="21"/>
                      <w:highlight w:val="none"/>
                      <w:lang w:val="en-US" w:eastAsia="zh-CN"/>
                    </w:rPr>
                  </w:pPr>
                  <w:r>
                    <w:rPr>
                      <w:rFonts w:hint="eastAsia"/>
                      <w:iCs/>
                      <w:color w:val="auto"/>
                      <w:sz w:val="21"/>
                      <w:szCs w:val="21"/>
                      <w:highlight w:val="none"/>
                      <w:lang w:val="en-US" w:eastAsia="zh-CN"/>
                    </w:rPr>
                    <w:t>85</w:t>
                  </w:r>
                </w:p>
              </w:tc>
            </w:tr>
            <w:tr w14:paraId="7FF1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613" w:type="dxa"/>
                  <w:vMerge w:val="continue"/>
                  <w:noWrap w:val="0"/>
                  <w:vAlign w:val="center"/>
                </w:tcPr>
                <w:p w14:paraId="030761E4">
                  <w:pPr>
                    <w:pStyle w:val="11"/>
                    <w:tabs>
                      <w:tab w:val="left" w:pos="0"/>
                      <w:tab w:val="left" w:pos="1260"/>
                    </w:tabs>
                    <w:snapToGrid w:val="0"/>
                    <w:spacing w:after="0"/>
                    <w:jc w:val="center"/>
                    <w:rPr>
                      <w:color w:val="auto"/>
                      <w:sz w:val="21"/>
                      <w:szCs w:val="21"/>
                      <w:highlight w:val="none"/>
                    </w:rPr>
                  </w:pPr>
                </w:p>
              </w:tc>
              <w:tc>
                <w:tcPr>
                  <w:tcW w:w="662" w:type="dxa"/>
                  <w:vMerge w:val="continue"/>
                  <w:noWrap w:val="0"/>
                  <w:vAlign w:val="center"/>
                </w:tcPr>
                <w:p w14:paraId="7C53223B">
                  <w:pPr>
                    <w:pStyle w:val="11"/>
                    <w:tabs>
                      <w:tab w:val="left" w:pos="0"/>
                      <w:tab w:val="left" w:pos="1260"/>
                    </w:tabs>
                    <w:snapToGrid w:val="0"/>
                    <w:spacing w:after="0"/>
                    <w:jc w:val="center"/>
                    <w:rPr>
                      <w:color w:val="auto"/>
                      <w:sz w:val="21"/>
                      <w:szCs w:val="21"/>
                      <w:highlight w:val="none"/>
                    </w:rPr>
                  </w:pPr>
                </w:p>
              </w:tc>
              <w:tc>
                <w:tcPr>
                  <w:tcW w:w="709" w:type="dxa"/>
                  <w:vMerge w:val="continue"/>
                  <w:noWrap w:val="0"/>
                  <w:vAlign w:val="center"/>
                </w:tcPr>
                <w:p w14:paraId="537555FF">
                  <w:pPr>
                    <w:pStyle w:val="11"/>
                    <w:tabs>
                      <w:tab w:val="left" w:pos="0"/>
                      <w:tab w:val="left" w:pos="1260"/>
                    </w:tabs>
                    <w:snapToGrid w:val="0"/>
                    <w:spacing w:after="0"/>
                    <w:jc w:val="center"/>
                    <w:rPr>
                      <w:color w:val="auto"/>
                      <w:sz w:val="21"/>
                      <w:szCs w:val="21"/>
                      <w:highlight w:val="none"/>
                    </w:rPr>
                  </w:pPr>
                </w:p>
              </w:tc>
              <w:tc>
                <w:tcPr>
                  <w:tcW w:w="914" w:type="dxa"/>
                  <w:vMerge w:val="continue"/>
                  <w:noWrap w:val="0"/>
                  <w:vAlign w:val="top"/>
                </w:tcPr>
                <w:p w14:paraId="05CFBA84">
                  <w:pPr>
                    <w:pStyle w:val="11"/>
                    <w:tabs>
                      <w:tab w:val="left" w:pos="0"/>
                      <w:tab w:val="left" w:pos="1260"/>
                    </w:tabs>
                    <w:snapToGrid w:val="0"/>
                    <w:spacing w:after="0"/>
                    <w:jc w:val="center"/>
                    <w:rPr>
                      <w:color w:val="auto"/>
                      <w:sz w:val="21"/>
                      <w:szCs w:val="21"/>
                      <w:highlight w:val="none"/>
                    </w:rPr>
                  </w:pPr>
                </w:p>
              </w:tc>
              <w:tc>
                <w:tcPr>
                  <w:tcW w:w="455" w:type="dxa"/>
                  <w:vMerge w:val="continue"/>
                  <w:noWrap w:val="0"/>
                  <w:vAlign w:val="center"/>
                </w:tcPr>
                <w:p w14:paraId="24A7B8C7">
                  <w:pPr>
                    <w:pStyle w:val="11"/>
                    <w:tabs>
                      <w:tab w:val="left" w:pos="0"/>
                      <w:tab w:val="left" w:pos="1260"/>
                    </w:tabs>
                    <w:snapToGrid w:val="0"/>
                    <w:spacing w:after="0"/>
                    <w:jc w:val="center"/>
                    <w:rPr>
                      <w:color w:val="auto"/>
                      <w:sz w:val="21"/>
                      <w:szCs w:val="21"/>
                      <w:highlight w:val="none"/>
                    </w:rPr>
                  </w:pPr>
                </w:p>
              </w:tc>
              <w:tc>
                <w:tcPr>
                  <w:tcW w:w="1025" w:type="dxa"/>
                  <w:noWrap w:val="0"/>
                  <w:vAlign w:val="center"/>
                </w:tcPr>
                <w:p w14:paraId="332DB674">
                  <w:pPr>
                    <w:pStyle w:val="11"/>
                    <w:tabs>
                      <w:tab w:val="left" w:pos="0"/>
                      <w:tab w:val="left" w:pos="1260"/>
                    </w:tabs>
                    <w:snapToGrid w:val="0"/>
                    <w:spacing w:after="0"/>
                    <w:jc w:val="center"/>
                    <w:rPr>
                      <w:rFonts w:hint="eastAsia" w:eastAsia="宋体"/>
                      <w:iCs/>
                      <w:color w:val="auto"/>
                      <w:sz w:val="21"/>
                      <w:szCs w:val="21"/>
                      <w:highlight w:val="none"/>
                      <w:lang w:eastAsia="zh-CN"/>
                    </w:rPr>
                  </w:pPr>
                  <w:r>
                    <w:rPr>
                      <w:rFonts w:hint="eastAsia" w:eastAsia="宋体"/>
                      <w:iCs/>
                      <w:color w:val="auto"/>
                      <w:sz w:val="21"/>
                      <w:szCs w:val="21"/>
                      <w:highlight w:val="none"/>
                      <w:lang w:eastAsia="zh-CN"/>
                    </w:rPr>
                    <w:t>氮氧化物</w:t>
                  </w:r>
                </w:p>
              </w:tc>
              <w:tc>
                <w:tcPr>
                  <w:tcW w:w="985" w:type="dxa"/>
                  <w:noWrap w:val="0"/>
                  <w:vAlign w:val="center"/>
                </w:tcPr>
                <w:p w14:paraId="1830B6FD">
                  <w:pPr>
                    <w:pStyle w:val="11"/>
                    <w:tabs>
                      <w:tab w:val="left" w:pos="0"/>
                      <w:tab w:val="left" w:pos="1260"/>
                    </w:tabs>
                    <w:snapToGrid w:val="0"/>
                    <w:spacing w:after="0"/>
                    <w:jc w:val="center"/>
                    <w:rPr>
                      <w:rFonts w:hint="eastAsia" w:eastAsia="宋体"/>
                      <w:iCs/>
                      <w:color w:val="auto"/>
                      <w:sz w:val="21"/>
                      <w:szCs w:val="21"/>
                      <w:highlight w:val="none"/>
                    </w:rPr>
                  </w:pPr>
                  <w:r>
                    <w:rPr>
                      <w:rFonts w:hint="eastAsia" w:eastAsia="宋体"/>
                      <w:iCs/>
                      <w:color w:val="auto"/>
                      <w:sz w:val="21"/>
                      <w:szCs w:val="21"/>
                      <w:highlight w:val="none"/>
                      <w:lang w:eastAsia="zh-CN"/>
                    </w:rPr>
                    <w:t>千克</w:t>
                  </w:r>
                  <w:r>
                    <w:rPr>
                      <w:rFonts w:hint="eastAsia" w:eastAsia="宋体"/>
                      <w:iCs/>
                      <w:color w:val="auto"/>
                      <w:sz w:val="21"/>
                      <w:szCs w:val="21"/>
                      <w:highlight w:val="none"/>
                    </w:rPr>
                    <w:t>/吨-</w:t>
                  </w:r>
                  <w:r>
                    <w:rPr>
                      <w:rFonts w:hint="eastAsia" w:eastAsia="宋体"/>
                      <w:iCs/>
                      <w:color w:val="auto"/>
                      <w:sz w:val="21"/>
                      <w:szCs w:val="21"/>
                      <w:highlight w:val="none"/>
                      <w:lang w:eastAsia="zh-CN"/>
                    </w:rPr>
                    <w:t>原料</w:t>
                  </w:r>
                </w:p>
              </w:tc>
              <w:tc>
                <w:tcPr>
                  <w:tcW w:w="1025" w:type="dxa"/>
                  <w:noWrap w:val="0"/>
                  <w:vAlign w:val="center"/>
                </w:tcPr>
                <w:p w14:paraId="4E4F4106">
                  <w:pPr>
                    <w:pStyle w:val="11"/>
                    <w:tabs>
                      <w:tab w:val="left" w:pos="0"/>
                      <w:tab w:val="left" w:pos="1260"/>
                    </w:tabs>
                    <w:snapToGrid w:val="0"/>
                    <w:spacing w:after="0"/>
                    <w:jc w:val="center"/>
                    <w:rPr>
                      <w:rFonts w:hint="default" w:eastAsia="宋体"/>
                      <w:iCs/>
                      <w:color w:val="auto"/>
                      <w:sz w:val="21"/>
                      <w:szCs w:val="21"/>
                      <w:highlight w:val="none"/>
                      <w:lang w:val="en-US" w:eastAsia="zh-CN"/>
                    </w:rPr>
                  </w:pPr>
                  <w:r>
                    <w:rPr>
                      <w:rFonts w:hint="eastAsia"/>
                      <w:iCs/>
                      <w:color w:val="auto"/>
                      <w:sz w:val="21"/>
                      <w:szCs w:val="21"/>
                      <w:highlight w:val="none"/>
                      <w:lang w:val="en-US" w:eastAsia="zh-CN"/>
                    </w:rPr>
                    <w:t>1.02</w:t>
                  </w:r>
                </w:p>
              </w:tc>
              <w:tc>
                <w:tcPr>
                  <w:tcW w:w="1025" w:type="dxa"/>
                  <w:noWrap w:val="0"/>
                  <w:vAlign w:val="center"/>
                </w:tcPr>
                <w:p w14:paraId="192C6BA3">
                  <w:pPr>
                    <w:pStyle w:val="11"/>
                    <w:tabs>
                      <w:tab w:val="left" w:pos="0"/>
                      <w:tab w:val="left" w:pos="1260"/>
                    </w:tabs>
                    <w:snapToGrid w:val="0"/>
                    <w:spacing w:after="0"/>
                    <w:jc w:val="center"/>
                    <w:rPr>
                      <w:rFonts w:hint="default" w:eastAsia="宋体"/>
                      <w:iCs/>
                      <w:color w:val="auto"/>
                      <w:sz w:val="21"/>
                      <w:szCs w:val="21"/>
                      <w:highlight w:val="none"/>
                      <w:lang w:val="en-US" w:eastAsia="zh-CN"/>
                    </w:rPr>
                  </w:pPr>
                  <w:r>
                    <w:rPr>
                      <w:rFonts w:hint="eastAsia"/>
                      <w:color w:val="auto"/>
                      <w:sz w:val="21"/>
                      <w:szCs w:val="21"/>
                      <w:highlight w:val="none"/>
                      <w:lang w:val="en-US" w:eastAsia="zh-CN"/>
                    </w:rPr>
                    <w:t>分级燃烧+</w:t>
                  </w:r>
                  <w:r>
                    <w:rPr>
                      <w:rFonts w:hint="eastAsia"/>
                      <w:color w:val="auto"/>
                      <w:sz w:val="21"/>
                      <w:szCs w:val="21"/>
                      <w:highlight w:val="none"/>
                    </w:rPr>
                    <w:t>SNCR</w:t>
                  </w:r>
                  <w:r>
                    <w:rPr>
                      <w:rFonts w:hint="eastAsia"/>
                      <w:color w:val="auto"/>
                      <w:sz w:val="21"/>
                      <w:szCs w:val="21"/>
                      <w:highlight w:val="none"/>
                      <w:lang w:val="en-US" w:eastAsia="zh-CN"/>
                    </w:rPr>
                    <w:t>喷氨</w:t>
                  </w:r>
                  <w:r>
                    <w:rPr>
                      <w:rFonts w:hint="eastAsia"/>
                      <w:color w:val="auto"/>
                      <w:sz w:val="21"/>
                      <w:szCs w:val="21"/>
                      <w:highlight w:val="none"/>
                    </w:rPr>
                    <w:t>脱硝</w:t>
                  </w:r>
                </w:p>
              </w:tc>
              <w:tc>
                <w:tcPr>
                  <w:tcW w:w="1047" w:type="dxa"/>
                  <w:noWrap w:val="0"/>
                  <w:vAlign w:val="center"/>
                </w:tcPr>
                <w:p w14:paraId="4770BB19">
                  <w:pPr>
                    <w:pStyle w:val="11"/>
                    <w:tabs>
                      <w:tab w:val="left" w:pos="0"/>
                      <w:tab w:val="left" w:pos="1260"/>
                    </w:tabs>
                    <w:snapToGrid w:val="0"/>
                    <w:spacing w:after="0"/>
                    <w:jc w:val="center"/>
                    <w:rPr>
                      <w:rFonts w:hint="default" w:eastAsia="宋体"/>
                      <w:iCs/>
                      <w:color w:val="auto"/>
                      <w:sz w:val="21"/>
                      <w:szCs w:val="21"/>
                      <w:highlight w:val="none"/>
                      <w:lang w:val="en-US" w:eastAsia="zh-CN"/>
                    </w:rPr>
                  </w:pPr>
                  <w:r>
                    <w:rPr>
                      <w:rFonts w:hint="eastAsia"/>
                      <w:iCs/>
                      <w:color w:val="auto"/>
                      <w:sz w:val="21"/>
                      <w:szCs w:val="21"/>
                      <w:highlight w:val="none"/>
                      <w:lang w:val="en-US" w:eastAsia="zh-CN"/>
                    </w:rPr>
                    <w:t>75</w:t>
                  </w:r>
                </w:p>
              </w:tc>
            </w:tr>
            <w:tr w14:paraId="7822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460" w:type="dxa"/>
                  <w:gridSpan w:val="10"/>
                  <w:noWrap w:val="0"/>
                  <w:vAlign w:val="center"/>
                </w:tcPr>
                <w:p w14:paraId="73465FE7">
                  <w:pPr>
                    <w:pStyle w:val="11"/>
                    <w:tabs>
                      <w:tab w:val="left" w:pos="0"/>
                      <w:tab w:val="left" w:pos="1260"/>
                    </w:tabs>
                    <w:snapToGrid w:val="0"/>
                    <w:spacing w:after="0"/>
                    <w:jc w:val="both"/>
                    <w:rPr>
                      <w:rFonts w:hint="default" w:eastAsia="宋体"/>
                      <w:iCs/>
                      <w:color w:val="auto"/>
                      <w:sz w:val="21"/>
                      <w:szCs w:val="21"/>
                      <w:highlight w:val="none"/>
                      <w:lang w:val="en-US" w:eastAsia="zh-CN"/>
                    </w:rPr>
                  </w:pPr>
                  <w:r>
                    <w:rPr>
                      <w:rFonts w:hint="default" w:ascii="Times New Roman" w:hAnsi="Times New Roman" w:eastAsia="宋体" w:cs="Times New Roman"/>
                      <w:color w:val="auto"/>
                      <w:szCs w:val="21"/>
                      <w:highlight w:val="none"/>
                    </w:rPr>
                    <w:t>注：</w:t>
                  </w:r>
                  <w:r>
                    <w:rPr>
                      <w:rFonts w:hint="default" w:ascii="Times New Roman" w:hAnsi="Times New Roman" w:eastAsia="宋体" w:cs="Times New Roman"/>
                      <w:color w:val="auto"/>
                      <w:szCs w:val="21"/>
                      <w:highlight w:val="none"/>
                      <w:lang w:val="en-US" w:eastAsia="zh-CN"/>
                    </w:rPr>
                    <w:t>①</w:t>
                  </w:r>
                  <w:r>
                    <w:rPr>
                      <w:rFonts w:hint="default" w:ascii="Times New Roman" w:hAnsi="Times New Roman" w:eastAsia="宋体" w:cs="Times New Roman"/>
                      <w:color w:val="auto"/>
                      <w:szCs w:val="21"/>
                      <w:highlight w:val="none"/>
                    </w:rPr>
                    <w:t>二氧化硫的产污系数是以含硫量（S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）的形式表示的，其中含硫量（S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）是指</w:t>
                  </w:r>
                  <w:r>
                    <w:rPr>
                      <w:rFonts w:hint="default" w:ascii="Times New Roman" w:hAnsi="Times New Roman" w:eastAsia="宋体" w:cs="Times New Roman"/>
                      <w:color w:val="auto"/>
                      <w:szCs w:val="21"/>
                      <w:highlight w:val="none"/>
                      <w:lang w:val="en-US" w:eastAsia="zh-CN"/>
                    </w:rPr>
                    <w:t>生物质收到基</w:t>
                  </w:r>
                  <w:r>
                    <w:rPr>
                      <w:rFonts w:hint="default" w:ascii="Times New Roman" w:hAnsi="Times New Roman" w:eastAsia="宋体" w:cs="Times New Roman"/>
                      <w:color w:val="auto"/>
                      <w:szCs w:val="21"/>
                      <w:highlight w:val="none"/>
                    </w:rPr>
                    <w:t>硫</w:t>
                  </w:r>
                  <w:r>
                    <w:rPr>
                      <w:rFonts w:hint="default" w:ascii="Times New Roman" w:hAnsi="Times New Roman" w:eastAsia="宋体" w:cs="Times New Roman"/>
                      <w:color w:val="auto"/>
                      <w:szCs w:val="21"/>
                      <w:highlight w:val="none"/>
                      <w:lang w:val="en-US" w:eastAsia="zh-CN"/>
                    </w:rPr>
                    <w:t>分</w:t>
                  </w:r>
                  <w:r>
                    <w:rPr>
                      <w:rFonts w:hint="default" w:ascii="Times New Roman" w:hAnsi="Times New Roman" w:eastAsia="宋体" w:cs="Times New Roman"/>
                      <w:color w:val="auto"/>
                      <w:szCs w:val="21"/>
                      <w:highlight w:val="none"/>
                    </w:rPr>
                    <w:t>含量，</w:t>
                  </w:r>
                  <w:r>
                    <w:rPr>
                      <w:rFonts w:hint="default" w:ascii="Times New Roman" w:hAnsi="Times New Roman" w:eastAsia="宋体" w:cs="Times New Roman"/>
                      <w:color w:val="auto"/>
                      <w:szCs w:val="21"/>
                      <w:highlight w:val="none"/>
                      <w:lang w:val="en-US" w:eastAsia="zh-CN"/>
                    </w:rPr>
                    <w:t>以质量百分数的形式表示</w:t>
                  </w:r>
                  <w:r>
                    <w:rPr>
                      <w:rFonts w:hint="default" w:ascii="Times New Roman" w:hAnsi="Times New Roman" w:eastAsia="宋体" w:cs="Times New Roman"/>
                      <w:color w:val="auto"/>
                      <w:szCs w:val="21"/>
                      <w:highlight w:val="none"/>
                    </w:rPr>
                    <w:t>。例如</w:t>
                  </w:r>
                  <w:r>
                    <w:rPr>
                      <w:rFonts w:hint="default" w:ascii="Times New Roman" w:hAnsi="Times New Roman" w:eastAsia="宋体" w:cs="Times New Roman"/>
                      <w:color w:val="auto"/>
                      <w:szCs w:val="21"/>
                      <w:highlight w:val="none"/>
                      <w:lang w:val="en-US" w:eastAsia="zh-CN"/>
                    </w:rPr>
                    <w:t>生物质</w:t>
                  </w:r>
                  <w:r>
                    <w:rPr>
                      <w:rFonts w:hint="default" w:ascii="Times New Roman" w:hAnsi="Times New Roman" w:eastAsia="宋体" w:cs="Times New Roman"/>
                      <w:color w:val="auto"/>
                      <w:szCs w:val="21"/>
                      <w:highlight w:val="none"/>
                    </w:rPr>
                    <w:t>中含硫量（S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）为</w:t>
                  </w:r>
                  <w:r>
                    <w:rPr>
                      <w:rFonts w:hint="default" w:ascii="Times New Roman" w:hAnsi="Times New Roman" w:eastAsia="宋体" w:cs="Times New Roman"/>
                      <w:color w:val="auto"/>
                      <w:szCs w:val="21"/>
                      <w:highlight w:val="none"/>
                      <w:lang w:eastAsia="zh-CN"/>
                    </w:rPr>
                    <w:t>0</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，则S=</w:t>
                  </w:r>
                  <w:r>
                    <w:rPr>
                      <w:rFonts w:hint="default" w:ascii="Times New Roman" w:hAnsi="Times New Roman" w:eastAsia="宋体" w:cs="Times New Roman"/>
                      <w:color w:val="auto"/>
                      <w:szCs w:val="21"/>
                      <w:highlight w:val="none"/>
                      <w:lang w:eastAsia="zh-CN"/>
                    </w:rPr>
                    <w:t>0</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w:t>
                  </w:r>
                </w:p>
              </w:tc>
            </w:tr>
          </w:tbl>
          <w:p w14:paraId="49D0AB05">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rFonts w:hint="default" w:cs="Times New Roman"/>
                <w:b/>
                <w:bCs/>
                <w:color w:val="auto"/>
                <w:spacing w:val="6"/>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根据业主提供</w:t>
            </w:r>
            <w:r>
              <w:rPr>
                <w:rFonts w:hint="default" w:ascii="Times New Roman" w:hAnsi="Times New Roman" w:cs="Times New Roman"/>
                <w:color w:val="auto"/>
                <w:kern w:val="2"/>
                <w:sz w:val="24"/>
                <w:szCs w:val="24"/>
                <w:highlight w:val="none"/>
                <w:lang w:val="en-US" w:eastAsia="zh-CN" w:bidi="ar-SA"/>
              </w:rPr>
              <w:t>的热平衡</w:t>
            </w:r>
            <w:r>
              <w:rPr>
                <w:rFonts w:hint="default" w:ascii="Times New Roman" w:hAnsi="Times New Roman" w:eastAsia="宋体" w:cs="Times New Roman"/>
                <w:color w:val="auto"/>
                <w:kern w:val="2"/>
                <w:sz w:val="24"/>
                <w:szCs w:val="24"/>
                <w:highlight w:val="none"/>
                <w:lang w:val="en-US" w:eastAsia="zh-CN" w:bidi="ar-SA"/>
              </w:rPr>
              <w:t>资料</w:t>
            </w:r>
            <w:r>
              <w:rPr>
                <w:rFonts w:hint="default" w:ascii="Times New Roman" w:hAnsi="Times New Roman" w:cs="Times New Roman"/>
                <w:color w:val="auto"/>
                <w:kern w:val="2"/>
                <w:sz w:val="24"/>
                <w:szCs w:val="24"/>
                <w:highlight w:val="none"/>
                <w:lang w:val="en-US" w:eastAsia="zh-CN" w:bidi="ar-SA"/>
              </w:rPr>
              <w:t>（详见附件13）</w:t>
            </w:r>
            <w:r>
              <w:rPr>
                <w:rFonts w:hint="default" w:ascii="Times New Roman" w:hAnsi="Times New Roman" w:eastAsia="宋体" w:cs="Times New Roman"/>
                <w:color w:val="auto"/>
                <w:kern w:val="2"/>
                <w:sz w:val="24"/>
                <w:szCs w:val="24"/>
                <w:highlight w:val="none"/>
                <w:lang w:val="en-US" w:eastAsia="zh-CN" w:bidi="ar-SA"/>
              </w:rPr>
              <w:t>，本项目燃料用量为</w:t>
            </w:r>
            <w:r>
              <w:rPr>
                <w:rFonts w:hint="default" w:ascii="Times New Roman" w:hAnsi="Times New Roman" w:eastAsia="宋体" w:cs="Times New Roman"/>
                <w:i w:val="0"/>
                <w:iCs w:val="0"/>
                <w:color w:val="auto"/>
                <w:kern w:val="0"/>
                <w:sz w:val="24"/>
                <w:szCs w:val="24"/>
                <w:u w:val="none"/>
                <w:lang w:val="en-US" w:eastAsia="zh-CN" w:bidi="ar"/>
              </w:rPr>
              <w:t>5425.84kg</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h</w:t>
            </w: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则燃料年用量为36461.6448t。</w:t>
            </w:r>
          </w:p>
          <w:p w14:paraId="21C1655E">
            <w:pPr>
              <w:pStyle w:val="26"/>
              <w:keepNext w:val="0"/>
              <w:keepLines w:val="0"/>
              <w:pageBreakBefore w:val="0"/>
              <w:widowControl w:val="0"/>
              <w:kinsoku/>
              <w:wordWrap/>
              <w:overflowPunct/>
              <w:topLinePunct w:val="0"/>
              <w:autoSpaceDE/>
              <w:autoSpaceDN/>
              <w:bidi w:val="0"/>
              <w:spacing w:beforeLines="0" w:after="0" w:afterLines="0" w:line="348" w:lineRule="auto"/>
              <w:ind w:left="0" w:leftChars="0" w:firstLine="504" w:firstLineChars="200"/>
              <w:jc w:val="left"/>
              <w:textAlignment w:val="auto"/>
              <w:rPr>
                <w:rFonts w:hint="default" w:ascii="Times New Roman" w:hAnsi="Times New Roman" w:eastAsia="宋体" w:cs="Times New Roman"/>
                <w:b w:val="0"/>
                <w:bCs/>
                <w:color w:val="auto"/>
                <w:spacing w:val="6"/>
                <w:sz w:val="24"/>
                <w:szCs w:val="24"/>
                <w:highlight w:val="none"/>
                <w:lang w:val="en-US" w:eastAsia="zh-CN"/>
              </w:rPr>
            </w:pPr>
            <w:r>
              <w:rPr>
                <w:rFonts w:hint="default" w:ascii="Times New Roman" w:hAnsi="Times New Roman" w:eastAsia="宋体" w:cs="Times New Roman"/>
                <w:bCs/>
                <w:color w:val="auto"/>
                <w:spacing w:val="6"/>
                <w:sz w:val="24"/>
                <w:szCs w:val="24"/>
                <w:highlight w:val="none"/>
              </w:rPr>
              <w:t>本项目</w:t>
            </w:r>
            <w:r>
              <w:rPr>
                <w:rFonts w:hint="default" w:ascii="Times New Roman" w:hAnsi="Times New Roman" w:eastAsia="宋体" w:cs="Times New Roman"/>
                <w:bCs/>
                <w:color w:val="auto"/>
                <w:spacing w:val="6"/>
                <w:sz w:val="24"/>
                <w:highlight w:val="none"/>
              </w:rPr>
              <w:t>使用的</w:t>
            </w:r>
            <w:r>
              <w:rPr>
                <w:rFonts w:hint="default" w:ascii="Times New Roman" w:hAnsi="Times New Roman" w:eastAsia="宋体" w:cs="Times New Roman"/>
                <w:bCs/>
                <w:color w:val="auto"/>
                <w:spacing w:val="6"/>
                <w:sz w:val="24"/>
              </w:rPr>
              <w:t>生物质燃料</w:t>
            </w:r>
            <w:r>
              <w:rPr>
                <w:rFonts w:hint="default" w:ascii="Times New Roman" w:hAnsi="Times New Roman" w:eastAsia="宋体" w:cs="Times New Roman"/>
                <w:bCs/>
                <w:color w:val="auto"/>
                <w:spacing w:val="6"/>
                <w:sz w:val="24"/>
                <w:highlight w:val="none"/>
                <w:lang w:val="en-US" w:eastAsia="zh-CN"/>
              </w:rPr>
              <w:t>为云南</w:t>
            </w:r>
            <w:r>
              <w:rPr>
                <w:rFonts w:hint="eastAsia" w:ascii="Times New Roman" w:hAnsi="Times New Roman" w:eastAsia="宋体" w:cs="Times New Roman"/>
                <w:bCs/>
                <w:color w:val="auto"/>
                <w:spacing w:val="6"/>
                <w:sz w:val="24"/>
                <w:highlight w:val="none"/>
                <w:lang w:val="en-US" w:eastAsia="zh-CN"/>
              </w:rPr>
              <w:t>永生生物科技</w:t>
            </w:r>
            <w:r>
              <w:rPr>
                <w:rFonts w:hint="default" w:ascii="Times New Roman" w:hAnsi="Times New Roman" w:eastAsia="宋体" w:cs="Times New Roman"/>
                <w:bCs/>
                <w:color w:val="auto"/>
                <w:spacing w:val="6"/>
                <w:sz w:val="24"/>
                <w:highlight w:val="none"/>
                <w:lang w:val="en-US" w:eastAsia="zh-CN"/>
              </w:rPr>
              <w:t>有限公司提供的燃料</w:t>
            </w:r>
            <w:r>
              <w:rPr>
                <w:rFonts w:hint="default" w:ascii="Times New Roman" w:hAnsi="Times New Roman" w:eastAsia="宋体" w:cs="Times New Roman"/>
                <w:b w:val="0"/>
                <w:bCs/>
                <w:color w:val="auto"/>
                <w:spacing w:val="6"/>
                <w:sz w:val="24"/>
                <w:szCs w:val="24"/>
                <w:highlight w:val="none"/>
                <w:lang w:val="en-US" w:eastAsia="zh-CN"/>
              </w:rPr>
              <w:t>，</w:t>
            </w:r>
            <w:r>
              <w:rPr>
                <w:rFonts w:hint="default" w:ascii="Times New Roman" w:hAnsi="Times New Roman" w:eastAsia="宋体" w:cs="Times New Roman"/>
                <w:bCs/>
                <w:color w:val="auto"/>
                <w:spacing w:val="6"/>
                <w:sz w:val="24"/>
                <w:szCs w:val="24"/>
              </w:rPr>
              <w:t>根据生产厂家</w:t>
            </w:r>
            <w:r>
              <w:rPr>
                <w:rFonts w:hint="default" w:ascii="Times New Roman" w:hAnsi="Times New Roman" w:eastAsia="宋体" w:cs="Times New Roman"/>
                <w:bCs/>
                <w:color w:val="auto"/>
                <w:spacing w:val="6"/>
                <w:sz w:val="24"/>
                <w:szCs w:val="24"/>
                <w:lang w:eastAsia="zh-CN"/>
              </w:rPr>
              <w:t>提供的</w:t>
            </w:r>
            <w:r>
              <w:rPr>
                <w:rFonts w:hint="default" w:ascii="Times New Roman" w:hAnsi="Times New Roman" w:eastAsia="宋体" w:cs="Times New Roman"/>
                <w:bCs/>
                <w:color w:val="auto"/>
                <w:spacing w:val="6"/>
                <w:sz w:val="24"/>
                <w:szCs w:val="24"/>
              </w:rPr>
              <w:t>生物质监测报告</w:t>
            </w:r>
            <w:r>
              <w:rPr>
                <w:rFonts w:hint="eastAsia" w:cs="Times New Roman"/>
                <w:bCs/>
                <w:color w:val="auto"/>
                <w:spacing w:val="6"/>
                <w:sz w:val="24"/>
                <w:szCs w:val="24"/>
                <w:lang w:eastAsia="zh-CN"/>
              </w:rPr>
              <w:t>（</w:t>
            </w:r>
            <w:r>
              <w:rPr>
                <w:rFonts w:hint="eastAsia" w:cs="Times New Roman"/>
                <w:bCs/>
                <w:color w:val="auto"/>
                <w:spacing w:val="6"/>
                <w:sz w:val="24"/>
                <w:szCs w:val="24"/>
                <w:lang w:val="en-US" w:eastAsia="zh-CN"/>
              </w:rPr>
              <w:t>详见附件17</w:t>
            </w:r>
            <w:r>
              <w:rPr>
                <w:rFonts w:hint="eastAsia" w:cs="Times New Roman"/>
                <w:bCs/>
                <w:color w:val="auto"/>
                <w:spacing w:val="6"/>
                <w:sz w:val="24"/>
                <w:szCs w:val="24"/>
                <w:lang w:eastAsia="zh-CN"/>
              </w:rPr>
              <w:t>）</w:t>
            </w:r>
            <w:r>
              <w:rPr>
                <w:rFonts w:hint="default" w:ascii="Times New Roman" w:hAnsi="Times New Roman" w:eastAsia="宋体" w:cs="Times New Roman"/>
                <w:bCs/>
                <w:color w:val="auto"/>
                <w:spacing w:val="6"/>
                <w:sz w:val="24"/>
                <w:szCs w:val="24"/>
                <w:lang w:eastAsia="zh-CN"/>
              </w:rPr>
              <w:t>可知</w:t>
            </w:r>
            <w:r>
              <w:rPr>
                <w:rFonts w:hint="default" w:ascii="Times New Roman" w:hAnsi="Times New Roman" w:eastAsia="宋体" w:cs="Times New Roman"/>
                <w:color w:val="auto"/>
                <w:sz w:val="24"/>
                <w:szCs w:val="24"/>
              </w:rPr>
              <w:t>生物质燃料成分见表</w:t>
            </w:r>
            <w:r>
              <w:rPr>
                <w:rFonts w:hint="default" w:ascii="Times New Roman" w:hAnsi="Times New Roman" w:eastAsia="宋体" w:cs="Times New Roman"/>
                <w:color w:val="auto"/>
                <w:sz w:val="24"/>
                <w:szCs w:val="24"/>
                <w:lang w:val="en-US" w:eastAsia="zh-CN"/>
              </w:rPr>
              <w:t>4-</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所示</w:t>
            </w:r>
            <w:r>
              <w:rPr>
                <w:rFonts w:hint="default" w:ascii="Times New Roman" w:hAnsi="Times New Roman" w:eastAsia="宋体" w:cs="Times New Roman"/>
                <w:bCs/>
                <w:color w:val="auto"/>
                <w:spacing w:val="6"/>
                <w:sz w:val="24"/>
                <w:szCs w:val="24"/>
              </w:rPr>
              <w:t>。</w:t>
            </w:r>
          </w:p>
          <w:p w14:paraId="6F3FC6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w:t>
            </w:r>
            <w:r>
              <w:rPr>
                <w:rFonts w:hint="eastAsia"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rPr>
              <w:t xml:space="preserve">  生物质燃料成分一览表</w:t>
            </w:r>
          </w:p>
          <w:tbl>
            <w:tblPr>
              <w:tblStyle w:val="27"/>
              <w:tblW w:w="83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342"/>
              <w:gridCol w:w="1087"/>
              <w:gridCol w:w="1275"/>
              <w:gridCol w:w="1313"/>
              <w:gridCol w:w="1187"/>
              <w:gridCol w:w="1297"/>
            </w:tblGrid>
            <w:tr w14:paraId="409C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882" w:type="dxa"/>
                  <w:tcBorders>
                    <w:tl2br w:val="nil"/>
                    <w:tr2bl w:val="nil"/>
                  </w:tcBorders>
                  <w:noWrap w:val="0"/>
                  <w:vAlign w:val="center"/>
                </w:tcPr>
                <w:p w14:paraId="5C59033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全水分（M</w:t>
                  </w:r>
                  <w:r>
                    <w:rPr>
                      <w:rFonts w:hint="default" w:ascii="Times New Roman" w:hAnsi="Times New Roman" w:eastAsia="宋体" w:cs="Times New Roman"/>
                      <w:b/>
                      <w:bCs/>
                      <w:color w:val="auto"/>
                      <w:sz w:val="21"/>
                      <w:szCs w:val="21"/>
                      <w:highlight w:val="none"/>
                      <w:vertAlign w:val="subscript"/>
                    </w:rPr>
                    <w:t>t</w:t>
                  </w:r>
                  <w:r>
                    <w:rPr>
                      <w:rFonts w:hint="default" w:ascii="Times New Roman" w:hAnsi="Times New Roman" w:eastAsia="宋体" w:cs="Times New Roman"/>
                      <w:b/>
                      <w:bCs/>
                      <w:color w:val="auto"/>
                      <w:sz w:val="21"/>
                      <w:szCs w:val="21"/>
                      <w:highlight w:val="none"/>
                    </w:rPr>
                    <w:t>）</w:t>
                  </w:r>
                </w:p>
              </w:tc>
              <w:tc>
                <w:tcPr>
                  <w:tcW w:w="1342" w:type="dxa"/>
                  <w:tcBorders>
                    <w:tl2br w:val="nil"/>
                    <w:tr2bl w:val="nil"/>
                  </w:tcBorders>
                  <w:noWrap w:val="0"/>
                  <w:vAlign w:val="center"/>
                </w:tcPr>
                <w:p w14:paraId="30CAB8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空气干燥基水分（M</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c>
                <w:tcPr>
                  <w:tcW w:w="1087" w:type="dxa"/>
                  <w:tcBorders>
                    <w:tl2br w:val="nil"/>
                    <w:tr2bl w:val="nil"/>
                  </w:tcBorders>
                  <w:noWrap w:val="0"/>
                  <w:vAlign w:val="center"/>
                </w:tcPr>
                <w:p w14:paraId="56444A9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干燥基灰分（A</w:t>
                  </w:r>
                  <w:r>
                    <w:rPr>
                      <w:rFonts w:hint="default" w:ascii="Times New Roman" w:hAnsi="Times New Roman" w:eastAsia="宋体" w:cs="Times New Roman"/>
                      <w:b/>
                      <w:bCs/>
                      <w:color w:val="auto"/>
                      <w:sz w:val="21"/>
                      <w:szCs w:val="21"/>
                      <w:highlight w:val="none"/>
                      <w:vertAlign w:val="subscript"/>
                    </w:rPr>
                    <w:t>d</w:t>
                  </w:r>
                  <w:r>
                    <w:rPr>
                      <w:rFonts w:hint="default" w:ascii="Times New Roman" w:hAnsi="Times New Roman" w:eastAsia="宋体" w:cs="Times New Roman"/>
                      <w:b/>
                      <w:bCs/>
                      <w:color w:val="auto"/>
                      <w:sz w:val="21"/>
                      <w:szCs w:val="21"/>
                      <w:highlight w:val="none"/>
                    </w:rPr>
                    <w:t>）</w:t>
                  </w:r>
                </w:p>
              </w:tc>
              <w:tc>
                <w:tcPr>
                  <w:tcW w:w="1275" w:type="dxa"/>
                  <w:tcBorders>
                    <w:tl2br w:val="nil"/>
                    <w:tr2bl w:val="nil"/>
                  </w:tcBorders>
                  <w:noWrap w:val="0"/>
                  <w:vAlign w:val="center"/>
                </w:tcPr>
                <w:p w14:paraId="616E4A0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eastAsia="zh-CN"/>
                    </w:rPr>
                    <w:t>空气干燥</w:t>
                  </w:r>
                  <w:r>
                    <w:rPr>
                      <w:rFonts w:hint="default" w:ascii="Times New Roman" w:hAnsi="Times New Roman" w:eastAsia="宋体" w:cs="Times New Roman"/>
                      <w:b/>
                      <w:bCs/>
                      <w:color w:val="auto"/>
                      <w:sz w:val="21"/>
                      <w:szCs w:val="21"/>
                      <w:highlight w:val="none"/>
                    </w:rPr>
                    <w:t>基挥发分（V</w:t>
                  </w:r>
                  <w:r>
                    <w:rPr>
                      <w:rFonts w:hint="default" w:ascii="Times New Roman" w:hAnsi="Times New Roman" w:eastAsia="宋体" w:cs="Times New Roman"/>
                      <w:b/>
                      <w:bCs/>
                      <w:color w:val="auto"/>
                      <w:sz w:val="21"/>
                      <w:szCs w:val="21"/>
                      <w:highlight w:val="none"/>
                      <w:vertAlign w:val="subscript"/>
                    </w:rPr>
                    <w:t>daf</w:t>
                  </w:r>
                  <w:r>
                    <w:rPr>
                      <w:rFonts w:hint="default" w:ascii="Times New Roman" w:hAnsi="Times New Roman" w:eastAsia="宋体" w:cs="Times New Roman"/>
                      <w:b/>
                      <w:bCs/>
                      <w:color w:val="auto"/>
                      <w:sz w:val="21"/>
                      <w:szCs w:val="21"/>
                      <w:highlight w:val="none"/>
                    </w:rPr>
                    <w:t>）</w:t>
                  </w:r>
                </w:p>
              </w:tc>
              <w:tc>
                <w:tcPr>
                  <w:tcW w:w="1313" w:type="dxa"/>
                  <w:tcBorders>
                    <w:tl2br w:val="nil"/>
                    <w:tr2bl w:val="nil"/>
                  </w:tcBorders>
                  <w:noWrap w:val="0"/>
                  <w:vAlign w:val="center"/>
                </w:tcPr>
                <w:p w14:paraId="21E9E00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eastAsia="zh-CN"/>
                    </w:rPr>
                    <w:t>空气</w:t>
                  </w:r>
                  <w:r>
                    <w:rPr>
                      <w:rFonts w:hint="default" w:ascii="Times New Roman" w:hAnsi="Times New Roman" w:eastAsia="宋体" w:cs="Times New Roman"/>
                      <w:b/>
                      <w:bCs/>
                      <w:color w:val="auto"/>
                      <w:sz w:val="21"/>
                      <w:szCs w:val="21"/>
                      <w:highlight w:val="none"/>
                    </w:rPr>
                    <w:t>干燥基固定碳（FC</w:t>
                  </w:r>
                  <w:r>
                    <w:rPr>
                      <w:rFonts w:hint="default" w:ascii="Times New Roman" w:hAnsi="Times New Roman" w:eastAsia="宋体" w:cs="Times New Roman"/>
                      <w:b/>
                      <w:bCs/>
                      <w:color w:val="auto"/>
                      <w:sz w:val="21"/>
                      <w:szCs w:val="21"/>
                      <w:highlight w:val="none"/>
                      <w:vertAlign w:val="subscript"/>
                    </w:rPr>
                    <w:t>d</w:t>
                  </w:r>
                  <w:r>
                    <w:rPr>
                      <w:rFonts w:hint="default" w:ascii="Times New Roman" w:hAnsi="Times New Roman" w:eastAsia="宋体" w:cs="Times New Roman"/>
                      <w:b/>
                      <w:bCs/>
                      <w:color w:val="auto"/>
                      <w:sz w:val="21"/>
                      <w:szCs w:val="21"/>
                      <w:highlight w:val="none"/>
                    </w:rPr>
                    <w:t>）</w:t>
                  </w:r>
                </w:p>
              </w:tc>
              <w:tc>
                <w:tcPr>
                  <w:tcW w:w="1187" w:type="dxa"/>
                  <w:tcBorders>
                    <w:tl2br w:val="nil"/>
                    <w:tr2bl w:val="nil"/>
                  </w:tcBorders>
                  <w:noWrap w:val="0"/>
                  <w:vAlign w:val="center"/>
                </w:tcPr>
                <w:p w14:paraId="488CA73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空气干燥基全硫（S</w:t>
                  </w:r>
                  <w:r>
                    <w:rPr>
                      <w:rFonts w:hint="default" w:ascii="Times New Roman" w:hAnsi="Times New Roman" w:eastAsia="宋体" w:cs="Times New Roman"/>
                      <w:b/>
                      <w:bCs/>
                      <w:color w:val="auto"/>
                      <w:sz w:val="21"/>
                      <w:szCs w:val="21"/>
                      <w:highlight w:val="none"/>
                      <w:vertAlign w:val="subscript"/>
                    </w:rPr>
                    <w:t>t,ad</w:t>
                  </w:r>
                  <w:r>
                    <w:rPr>
                      <w:rFonts w:hint="default" w:ascii="Times New Roman" w:hAnsi="Times New Roman" w:eastAsia="宋体" w:cs="Times New Roman"/>
                      <w:b/>
                      <w:bCs/>
                      <w:color w:val="auto"/>
                      <w:sz w:val="21"/>
                      <w:szCs w:val="21"/>
                      <w:highlight w:val="none"/>
                    </w:rPr>
                    <w:t>）</w:t>
                  </w:r>
                </w:p>
              </w:tc>
              <w:tc>
                <w:tcPr>
                  <w:tcW w:w="1297" w:type="dxa"/>
                  <w:tcBorders>
                    <w:tl2br w:val="nil"/>
                    <w:tr2bl w:val="nil"/>
                  </w:tcBorders>
                  <w:noWrap w:val="0"/>
                  <w:vAlign w:val="center"/>
                </w:tcPr>
                <w:p w14:paraId="3F2B7DC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空气干燥基氢元素（H</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r>
            <w:tr w14:paraId="5D32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82" w:type="dxa"/>
                  <w:tcBorders>
                    <w:tl2br w:val="nil"/>
                    <w:tr2bl w:val="nil"/>
                  </w:tcBorders>
                  <w:noWrap w:val="0"/>
                  <w:vAlign w:val="center"/>
                </w:tcPr>
                <w:p w14:paraId="26A1AFD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7.9</w:t>
                  </w:r>
                  <w:r>
                    <w:rPr>
                      <w:rFonts w:hint="default" w:ascii="Times New Roman" w:hAnsi="Times New Roman" w:eastAsia="宋体" w:cs="Times New Roman"/>
                      <w:color w:val="auto"/>
                      <w:sz w:val="21"/>
                      <w:szCs w:val="21"/>
                      <w:highlight w:val="none"/>
                      <w:lang w:val="en-US" w:eastAsia="zh-CN"/>
                    </w:rPr>
                    <w:t>%</w:t>
                  </w:r>
                </w:p>
              </w:tc>
              <w:tc>
                <w:tcPr>
                  <w:tcW w:w="1342" w:type="dxa"/>
                  <w:tcBorders>
                    <w:tl2br w:val="nil"/>
                    <w:tr2bl w:val="nil"/>
                  </w:tcBorders>
                  <w:noWrap w:val="0"/>
                  <w:vAlign w:val="center"/>
                </w:tcPr>
                <w:p w14:paraId="600A925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6.29</w:t>
                  </w:r>
                  <w:r>
                    <w:rPr>
                      <w:rFonts w:hint="default" w:ascii="Times New Roman" w:hAnsi="Times New Roman" w:eastAsia="宋体" w:cs="Times New Roman"/>
                      <w:color w:val="auto"/>
                      <w:sz w:val="21"/>
                      <w:szCs w:val="21"/>
                      <w:highlight w:val="none"/>
                      <w:lang w:val="en-US" w:eastAsia="zh-CN"/>
                    </w:rPr>
                    <w:t>%</w:t>
                  </w:r>
                </w:p>
              </w:tc>
              <w:tc>
                <w:tcPr>
                  <w:tcW w:w="1087" w:type="dxa"/>
                  <w:tcBorders>
                    <w:tl2br w:val="nil"/>
                    <w:tr2bl w:val="nil"/>
                  </w:tcBorders>
                  <w:noWrap w:val="0"/>
                  <w:vAlign w:val="center"/>
                </w:tcPr>
                <w:p w14:paraId="610BCB1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w:t>
                  </w:r>
                  <w:r>
                    <w:rPr>
                      <w:rFonts w:hint="default" w:ascii="Times New Roman" w:hAnsi="Times New Roman" w:eastAsia="宋体" w:cs="Times New Roman"/>
                      <w:color w:val="auto"/>
                      <w:sz w:val="21"/>
                      <w:szCs w:val="21"/>
                      <w:highlight w:val="none"/>
                      <w:lang w:val="en-US" w:eastAsia="zh-CN"/>
                    </w:rPr>
                    <w:t>%</w:t>
                  </w:r>
                </w:p>
              </w:tc>
              <w:tc>
                <w:tcPr>
                  <w:tcW w:w="1275" w:type="dxa"/>
                  <w:tcBorders>
                    <w:tl2br w:val="nil"/>
                    <w:tr2bl w:val="nil"/>
                  </w:tcBorders>
                  <w:noWrap w:val="0"/>
                  <w:vAlign w:val="center"/>
                </w:tcPr>
                <w:p w14:paraId="1CD4ECF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72.18</w:t>
                  </w:r>
                  <w:r>
                    <w:rPr>
                      <w:rFonts w:hint="default" w:ascii="Times New Roman" w:hAnsi="Times New Roman" w:eastAsia="宋体" w:cs="Times New Roman"/>
                      <w:color w:val="auto"/>
                      <w:sz w:val="21"/>
                      <w:szCs w:val="21"/>
                      <w:highlight w:val="none"/>
                      <w:lang w:val="en-US" w:eastAsia="zh-CN"/>
                    </w:rPr>
                    <w:t>%</w:t>
                  </w:r>
                </w:p>
              </w:tc>
              <w:tc>
                <w:tcPr>
                  <w:tcW w:w="1313" w:type="dxa"/>
                  <w:tcBorders>
                    <w:tl2br w:val="nil"/>
                    <w:tr2bl w:val="nil"/>
                  </w:tcBorders>
                  <w:noWrap w:val="0"/>
                  <w:vAlign w:val="center"/>
                </w:tcPr>
                <w:p w14:paraId="005A4DE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7.57</w:t>
                  </w:r>
                  <w:r>
                    <w:rPr>
                      <w:rFonts w:hint="default" w:ascii="Times New Roman" w:hAnsi="Times New Roman" w:eastAsia="宋体" w:cs="Times New Roman"/>
                      <w:color w:val="auto"/>
                      <w:sz w:val="21"/>
                      <w:szCs w:val="21"/>
                      <w:highlight w:val="none"/>
                      <w:lang w:val="en-US" w:eastAsia="zh-CN"/>
                    </w:rPr>
                    <w:t>%</w:t>
                  </w:r>
                </w:p>
              </w:tc>
              <w:tc>
                <w:tcPr>
                  <w:tcW w:w="1187" w:type="dxa"/>
                  <w:tcBorders>
                    <w:tl2br w:val="nil"/>
                    <w:tr2bl w:val="nil"/>
                  </w:tcBorders>
                  <w:noWrap w:val="0"/>
                  <w:vAlign w:val="center"/>
                </w:tcPr>
                <w:p w14:paraId="3BC2482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w:t>
                  </w:r>
                </w:p>
              </w:tc>
              <w:tc>
                <w:tcPr>
                  <w:tcW w:w="1297" w:type="dxa"/>
                  <w:tcBorders>
                    <w:tl2br w:val="nil"/>
                    <w:tr2bl w:val="nil"/>
                  </w:tcBorders>
                  <w:noWrap w:val="0"/>
                  <w:vAlign w:val="center"/>
                </w:tcPr>
                <w:p w14:paraId="1EA2DCC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56</w:t>
                  </w:r>
                </w:p>
              </w:tc>
            </w:tr>
            <w:tr w14:paraId="251F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224" w:type="dxa"/>
                  <w:gridSpan w:val="2"/>
                  <w:tcBorders>
                    <w:tl2br w:val="nil"/>
                    <w:tr2bl w:val="nil"/>
                  </w:tcBorders>
                  <w:noWrap w:val="0"/>
                  <w:vAlign w:val="center"/>
                </w:tcPr>
                <w:p w14:paraId="437FCD2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空气干燥基弹筒发热量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b</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p w14:paraId="760235F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MJ/kg</w:t>
                  </w:r>
                  <w:r>
                    <w:rPr>
                      <w:rFonts w:hint="default" w:ascii="Times New Roman" w:hAnsi="Times New Roman" w:eastAsia="宋体" w:cs="Times New Roman"/>
                      <w:b/>
                      <w:bCs/>
                      <w:color w:val="auto"/>
                      <w:sz w:val="21"/>
                      <w:szCs w:val="21"/>
                      <w:highlight w:val="none"/>
                      <w:lang w:eastAsia="zh-CN"/>
                    </w:rPr>
                    <w:t>）</w:t>
                  </w:r>
                </w:p>
              </w:tc>
              <w:tc>
                <w:tcPr>
                  <w:tcW w:w="2362" w:type="dxa"/>
                  <w:gridSpan w:val="2"/>
                  <w:tcBorders>
                    <w:tl2br w:val="nil"/>
                    <w:tr2bl w:val="nil"/>
                  </w:tcBorders>
                  <w:noWrap w:val="0"/>
                  <w:vAlign w:val="center"/>
                </w:tcPr>
                <w:p w14:paraId="2E9A842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空气干燥基高位发热量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gr</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c>
                <w:tcPr>
                  <w:tcW w:w="3797" w:type="dxa"/>
                  <w:gridSpan w:val="3"/>
                  <w:tcBorders>
                    <w:tl2br w:val="nil"/>
                    <w:tr2bl w:val="nil"/>
                  </w:tcBorders>
                  <w:noWrap w:val="0"/>
                  <w:vAlign w:val="center"/>
                </w:tcPr>
                <w:p w14:paraId="22BB0A5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收到基恒容低位发热量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net</w:t>
                  </w:r>
                  <w:r>
                    <w:rPr>
                      <w:rFonts w:hint="default" w:ascii="Times New Roman" w:hAnsi="Times New Roman" w:eastAsia="宋体" w:cs="Times New Roman"/>
                      <w:b/>
                      <w:bCs/>
                      <w:color w:val="auto"/>
                      <w:sz w:val="21"/>
                      <w:szCs w:val="21"/>
                      <w:highlight w:val="none"/>
                      <w:vertAlign w:val="subscript"/>
                    </w:rPr>
                    <w:t>,</w:t>
                  </w:r>
                  <w:r>
                    <w:rPr>
                      <w:rFonts w:hint="default" w:ascii="Times New Roman" w:hAnsi="Times New Roman" w:eastAsia="宋体" w:cs="Times New Roman"/>
                      <w:b/>
                      <w:bCs/>
                      <w:color w:val="auto"/>
                      <w:sz w:val="21"/>
                      <w:szCs w:val="21"/>
                      <w:highlight w:val="none"/>
                      <w:vertAlign w:val="subscript"/>
                      <w:lang w:val="en-US" w:eastAsia="zh-CN"/>
                    </w:rPr>
                    <w:t>v</w:t>
                  </w:r>
                  <w:r>
                    <w:rPr>
                      <w:rFonts w:hint="default" w:ascii="Times New Roman" w:hAnsi="Times New Roman" w:eastAsia="宋体" w:cs="Times New Roman"/>
                      <w:b/>
                      <w:bCs/>
                      <w:color w:val="auto"/>
                      <w:sz w:val="21"/>
                      <w:szCs w:val="21"/>
                      <w:highlight w:val="none"/>
                      <w:vertAlign w:val="subscript"/>
                    </w:rPr>
                    <w:t>,a</w:t>
                  </w:r>
                  <w:r>
                    <w:rPr>
                      <w:rFonts w:hint="default" w:ascii="Times New Roman" w:hAnsi="Times New Roman" w:eastAsia="宋体" w:cs="Times New Roman"/>
                      <w:b/>
                      <w:bCs/>
                      <w:color w:val="auto"/>
                      <w:sz w:val="21"/>
                      <w:szCs w:val="21"/>
                      <w:highlight w:val="none"/>
                      <w:vertAlign w:val="subscript"/>
                      <w:lang w:val="en-US" w:eastAsia="zh-CN"/>
                    </w:rPr>
                    <w:t>r</w:t>
                  </w:r>
                  <w:r>
                    <w:rPr>
                      <w:rFonts w:hint="default" w:ascii="Times New Roman" w:hAnsi="Times New Roman" w:eastAsia="宋体" w:cs="Times New Roman"/>
                      <w:b/>
                      <w:bCs/>
                      <w:color w:val="auto"/>
                      <w:sz w:val="21"/>
                      <w:szCs w:val="21"/>
                      <w:highlight w:val="none"/>
                    </w:rPr>
                    <w:t>）</w:t>
                  </w:r>
                </w:p>
              </w:tc>
            </w:tr>
            <w:tr w14:paraId="2084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224" w:type="dxa"/>
                  <w:gridSpan w:val="2"/>
                  <w:tcBorders>
                    <w:tl2br w:val="nil"/>
                    <w:tr2bl w:val="nil"/>
                  </w:tcBorders>
                  <w:noWrap w:val="0"/>
                  <w:vAlign w:val="center"/>
                </w:tcPr>
                <w:p w14:paraId="4A204DD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w:t>
                  </w:r>
                  <w:r>
                    <w:rPr>
                      <w:rFonts w:hint="eastAsia" w:ascii="Times New Roman" w:hAnsi="Times New Roman" w:eastAsia="宋体" w:cs="Times New Roman"/>
                      <w:b w:val="0"/>
                      <w:bCs w:val="0"/>
                      <w:color w:val="auto"/>
                      <w:sz w:val="21"/>
                      <w:szCs w:val="21"/>
                      <w:highlight w:val="none"/>
                      <w:lang w:val="en-US" w:eastAsia="zh-CN"/>
                    </w:rPr>
                    <w:t>50</w:t>
                  </w:r>
                  <w:r>
                    <w:rPr>
                      <w:rFonts w:hint="default" w:ascii="Times New Roman" w:hAnsi="Times New Roman" w:eastAsia="宋体" w:cs="Times New Roman"/>
                      <w:b w:val="0"/>
                      <w:bCs w:val="0"/>
                      <w:color w:val="auto"/>
                      <w:sz w:val="21"/>
                      <w:szCs w:val="21"/>
                      <w:highlight w:val="none"/>
                      <w:lang w:val="en-US" w:eastAsia="zh-CN"/>
                    </w:rPr>
                    <w:t>MJ/kg</w:t>
                  </w:r>
                </w:p>
              </w:tc>
              <w:tc>
                <w:tcPr>
                  <w:tcW w:w="2362" w:type="dxa"/>
                  <w:gridSpan w:val="2"/>
                  <w:tcBorders>
                    <w:tl2br w:val="nil"/>
                    <w:tr2bl w:val="nil"/>
                  </w:tcBorders>
                  <w:noWrap w:val="0"/>
                  <w:vAlign w:val="center"/>
                </w:tcPr>
                <w:p w14:paraId="61E9D7B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w:t>
                  </w:r>
                  <w:r>
                    <w:rPr>
                      <w:rFonts w:hint="eastAsia" w:ascii="Times New Roman" w:hAnsi="Times New Roman" w:eastAsia="宋体" w:cs="Times New Roman"/>
                      <w:b w:val="0"/>
                      <w:bCs w:val="0"/>
                      <w:color w:val="auto"/>
                      <w:sz w:val="21"/>
                      <w:szCs w:val="21"/>
                      <w:highlight w:val="none"/>
                      <w:lang w:val="en-US" w:eastAsia="zh-CN"/>
                    </w:rPr>
                    <w:t>47</w:t>
                  </w:r>
                  <w:r>
                    <w:rPr>
                      <w:rFonts w:hint="default" w:ascii="Times New Roman" w:hAnsi="Times New Roman" w:eastAsia="宋体" w:cs="Times New Roman"/>
                      <w:b w:val="0"/>
                      <w:bCs w:val="0"/>
                      <w:color w:val="auto"/>
                      <w:sz w:val="21"/>
                      <w:szCs w:val="21"/>
                      <w:highlight w:val="none"/>
                      <w:lang w:val="en-US" w:eastAsia="zh-CN"/>
                    </w:rPr>
                    <w:t>MJ/kg</w:t>
                  </w:r>
                </w:p>
              </w:tc>
              <w:tc>
                <w:tcPr>
                  <w:tcW w:w="3797" w:type="dxa"/>
                  <w:gridSpan w:val="3"/>
                  <w:tcBorders>
                    <w:tl2br w:val="nil"/>
                    <w:tr2bl w:val="nil"/>
                  </w:tcBorders>
                  <w:noWrap w:val="0"/>
                  <w:vAlign w:val="center"/>
                </w:tcPr>
                <w:p w14:paraId="5340293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16.85</w:t>
                  </w:r>
                  <w:r>
                    <w:rPr>
                      <w:rFonts w:hint="default" w:ascii="Times New Roman" w:hAnsi="Times New Roman" w:eastAsia="宋体" w:cs="Times New Roman"/>
                      <w:b w:val="0"/>
                      <w:bCs w:val="0"/>
                      <w:color w:val="auto"/>
                      <w:sz w:val="21"/>
                      <w:szCs w:val="21"/>
                      <w:highlight w:val="none"/>
                      <w:lang w:val="en-US" w:eastAsia="zh-CN"/>
                    </w:rPr>
                    <w:t>MJ/kg</w:t>
                  </w:r>
                </w:p>
              </w:tc>
            </w:tr>
          </w:tbl>
          <w:p w14:paraId="7218C182">
            <w:pPr>
              <w:adjustRightInd w:val="0"/>
              <w:snapToGrid w:val="0"/>
              <w:spacing w:line="360" w:lineRule="auto"/>
              <w:ind w:firstLine="506" w:firstLineChars="200"/>
              <w:rPr>
                <w:rFonts w:hint="eastAsia" w:eastAsia="宋体" w:cs="Times New Roman"/>
                <w:b/>
                <w:bCs/>
                <w:color w:val="auto"/>
                <w:spacing w:val="6"/>
                <w:kern w:val="2"/>
                <w:sz w:val="24"/>
                <w:szCs w:val="24"/>
                <w:highlight w:val="none"/>
                <w:lang w:val="en-US" w:eastAsia="zh-CN" w:bidi="ar-SA"/>
              </w:rPr>
            </w:pPr>
            <w:r>
              <w:rPr>
                <w:rFonts w:hint="eastAsia" w:cs="Times New Roman"/>
                <w:b/>
                <w:bCs/>
                <w:color w:val="auto"/>
                <w:spacing w:val="6"/>
                <w:kern w:val="2"/>
                <w:sz w:val="24"/>
                <w:szCs w:val="24"/>
                <w:highlight w:val="none"/>
                <w:lang w:val="en-US" w:eastAsia="zh-CN" w:bidi="ar-SA"/>
              </w:rPr>
              <w:t>烟气量：</w:t>
            </w:r>
            <w:r>
              <w:rPr>
                <w:rFonts w:hint="eastAsia"/>
                <w:color w:val="auto"/>
                <w:sz w:val="24"/>
                <w:highlight w:val="none"/>
              </w:rPr>
              <w:t>根据</w:t>
            </w:r>
            <w:r>
              <w:rPr>
                <w:rFonts w:hint="eastAsia"/>
                <w:color w:val="auto"/>
                <w:sz w:val="24"/>
                <w:highlight w:val="none"/>
                <w:lang w:eastAsia="zh-CN"/>
              </w:rPr>
              <w:t>热平衡</w:t>
            </w:r>
            <w:r>
              <w:rPr>
                <w:rFonts w:hint="eastAsia"/>
                <w:color w:val="auto"/>
                <w:sz w:val="24"/>
                <w:highlight w:val="none"/>
              </w:rPr>
              <w:t>资料</w:t>
            </w:r>
            <w:r>
              <w:rPr>
                <w:rFonts w:hint="eastAsia"/>
                <w:color w:val="auto"/>
                <w:sz w:val="24"/>
                <w:highlight w:val="none"/>
                <w:lang w:eastAsia="zh-CN"/>
              </w:rPr>
              <w:t>（详见附件</w:t>
            </w:r>
            <w:r>
              <w:rPr>
                <w:rFonts w:hint="eastAsia"/>
                <w:color w:val="auto"/>
                <w:sz w:val="24"/>
                <w:highlight w:val="none"/>
                <w:lang w:val="en-US" w:eastAsia="zh-CN"/>
              </w:rPr>
              <w:t>13</w:t>
            </w:r>
            <w:r>
              <w:rPr>
                <w:rFonts w:hint="eastAsia"/>
                <w:color w:val="auto"/>
                <w:sz w:val="24"/>
                <w:highlight w:val="none"/>
                <w:lang w:eastAsia="zh-CN"/>
              </w:rPr>
              <w:t>）</w:t>
            </w:r>
            <w:r>
              <w:rPr>
                <w:rFonts w:hint="eastAsia"/>
                <w:color w:val="auto"/>
                <w:sz w:val="24"/>
                <w:highlight w:val="none"/>
              </w:rPr>
              <w:t>，结合核算出的烘干系统烘干烟气量、煤水蒸发量等因素，</w:t>
            </w:r>
            <w:r>
              <w:rPr>
                <w:rFonts w:hint="eastAsia"/>
                <w:color w:val="auto"/>
                <w:sz w:val="24"/>
                <w:highlight w:val="none"/>
                <w:lang w:eastAsia="zh-CN"/>
              </w:rPr>
              <w:t>热风炉</w:t>
            </w:r>
            <w:r>
              <w:rPr>
                <w:rFonts w:hint="eastAsia"/>
                <w:color w:val="auto"/>
                <w:sz w:val="24"/>
                <w:highlight w:val="none"/>
              </w:rPr>
              <w:t>系统外排烟气量</w:t>
            </w:r>
            <w:r>
              <w:rPr>
                <w:rFonts w:hint="eastAsia" w:ascii="Times New Roman" w:hAnsi="Times New Roman" w:eastAsia="宋体" w:cs="Times New Roman"/>
                <w:b w:val="0"/>
                <w:bCs w:val="0"/>
                <w:color w:val="auto"/>
                <w:sz w:val="24"/>
                <w:szCs w:val="24"/>
                <w:highlight w:val="none"/>
                <w:vertAlign w:val="baseline"/>
                <w:lang w:val="en-US" w:eastAsia="zh-CN"/>
              </w:rPr>
              <w:t>35467.44N</w:t>
            </w:r>
            <w:r>
              <w:rPr>
                <w:color w:val="auto"/>
                <w:sz w:val="24"/>
                <w:highlight w:val="none"/>
              </w:rPr>
              <w:t>m</w:t>
            </w:r>
            <w:r>
              <w:rPr>
                <w:color w:val="auto"/>
                <w:sz w:val="24"/>
                <w:highlight w:val="none"/>
                <w:vertAlign w:val="superscript"/>
              </w:rPr>
              <w:t>3</w:t>
            </w:r>
            <w:r>
              <w:rPr>
                <w:color w:val="auto"/>
                <w:sz w:val="24"/>
                <w:highlight w:val="none"/>
              </w:rPr>
              <w:t>/h，</w:t>
            </w:r>
            <w:r>
              <w:rPr>
                <w:rFonts w:hint="eastAsia"/>
                <w:color w:val="auto"/>
                <w:sz w:val="24"/>
                <w:highlight w:val="none"/>
                <w:lang w:val="en-US" w:eastAsia="zh-CN"/>
              </w:rPr>
              <w:t>23834.1197</w:t>
            </w:r>
            <w:r>
              <w:rPr>
                <w:rFonts w:hint="default" w:ascii="Times New Roman" w:hAnsi="Times New Roman" w:eastAsia="宋体" w:cs="Times New Roman"/>
                <w:color w:val="auto"/>
                <w:sz w:val="24"/>
                <w:szCs w:val="24"/>
                <w:highlight w:val="none"/>
                <w:lang w:val="en-US" w:eastAsia="zh-CN"/>
              </w:rPr>
              <w:t>万</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a</w:t>
            </w:r>
            <w:r>
              <w:rPr>
                <w:color w:val="auto"/>
                <w:sz w:val="24"/>
                <w:highlight w:val="none"/>
              </w:rPr>
              <w:t>。</w:t>
            </w:r>
          </w:p>
          <w:p w14:paraId="0C3B50E8">
            <w:pPr>
              <w:keepNext w:val="0"/>
              <w:keepLines w:val="0"/>
              <w:pageBreakBefore w:val="0"/>
              <w:widowControl w:val="0"/>
              <w:kinsoku/>
              <w:wordWrap/>
              <w:overflowPunct/>
              <w:topLinePunct w:val="0"/>
              <w:autoSpaceDE/>
              <w:autoSpaceDN/>
              <w:bidi w:val="0"/>
              <w:adjustRightInd/>
              <w:snapToGrid/>
              <w:spacing w:line="348" w:lineRule="auto"/>
              <w:ind w:left="0" w:leftChars="0" w:firstLine="506" w:firstLineChars="200"/>
              <w:textAlignment w:val="auto"/>
              <w:outlineLvl w:val="9"/>
              <w:rPr>
                <w:rFonts w:hint="default" w:cs="Times New Roman"/>
                <w:b/>
                <w:bCs/>
                <w:color w:val="auto"/>
                <w:spacing w:val="6"/>
                <w:kern w:val="2"/>
                <w:sz w:val="24"/>
                <w:szCs w:val="24"/>
                <w:highlight w:val="none"/>
                <w:lang w:val="en-US" w:eastAsia="zh-CN" w:bidi="ar-SA"/>
              </w:rPr>
            </w:pPr>
            <w:r>
              <w:rPr>
                <w:rFonts w:hint="eastAsia" w:cs="Times New Roman"/>
                <w:b/>
                <w:bCs/>
                <w:color w:val="auto"/>
                <w:spacing w:val="6"/>
                <w:kern w:val="2"/>
                <w:sz w:val="24"/>
                <w:szCs w:val="24"/>
                <w:highlight w:val="none"/>
                <w:lang w:val="en-US" w:eastAsia="zh-CN" w:bidi="ar-SA"/>
              </w:rPr>
              <w:t>A、颗粒物</w:t>
            </w:r>
          </w:p>
          <w:p w14:paraId="4A525ECB">
            <w:pPr>
              <w:adjustRightInd w:val="0"/>
              <w:snapToGrid w:val="0"/>
              <w:spacing w:line="360" w:lineRule="auto"/>
              <w:ind w:firstLine="480" w:firstLineChars="200"/>
              <w:rPr>
                <w:rFonts w:hint="default" w:ascii="宋体" w:hAnsi="宋体" w:eastAsia="宋体" w:cs="宋体"/>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vertAlign w:val="baseline"/>
                <w:lang w:val="en-US" w:eastAsia="zh-CN"/>
              </w:rPr>
              <w:t>本项目</w:t>
            </w:r>
            <w:r>
              <w:rPr>
                <w:rFonts w:hint="eastAsia"/>
                <w:color w:val="auto"/>
                <w:kern w:val="0"/>
                <w:sz w:val="24"/>
                <w:highlight w:val="none"/>
              </w:rPr>
              <w:t>烘干系统排出的烟气设置一台袋式除尘器除尘。除尘器采用防爆式。由于烘干系统排出的废气中含有大量水蒸气，为防止水蒸气冷凝使袋式除尘器内粉尘板结，每个袋式除尘器均配备加热装置，使除尘器运行温度维持在100℃以上。袋式除尘器</w:t>
            </w:r>
            <w:r>
              <w:rPr>
                <w:rFonts w:hint="eastAsia"/>
                <w:color w:val="auto"/>
                <w:kern w:val="0"/>
                <w:sz w:val="24"/>
                <w:highlight w:val="none"/>
                <w:lang w:eastAsia="zh-CN"/>
              </w:rPr>
              <w:t>除尘效率为</w:t>
            </w:r>
            <w:r>
              <w:rPr>
                <w:rFonts w:hint="eastAsia"/>
                <w:color w:val="auto"/>
                <w:kern w:val="0"/>
                <w:sz w:val="24"/>
                <w:highlight w:val="none"/>
                <w:lang w:val="en-US" w:eastAsia="zh-CN"/>
              </w:rPr>
              <w:t>99.6%。</w:t>
            </w:r>
          </w:p>
          <w:p w14:paraId="02E2B752">
            <w:pPr>
              <w:adjustRightInd w:val="0"/>
              <w:snapToGrid w:val="0"/>
              <w:spacing w:line="360" w:lineRule="auto"/>
              <w:ind w:firstLine="480" w:firstLineChars="200"/>
              <w:rPr>
                <w:color w:val="auto"/>
                <w:sz w:val="24"/>
                <w:highlight w:val="none"/>
              </w:rPr>
            </w:pPr>
            <w:r>
              <w:rPr>
                <w:rFonts w:hint="eastAsia"/>
                <w:color w:val="auto"/>
                <w:sz w:val="24"/>
                <w:highlight w:val="none"/>
              </w:rPr>
              <w:t>热风炉除燃</w:t>
            </w:r>
            <w:r>
              <w:rPr>
                <w:rFonts w:hint="eastAsia"/>
                <w:color w:val="auto"/>
                <w:sz w:val="24"/>
                <w:highlight w:val="none"/>
                <w:lang w:eastAsia="zh-CN"/>
              </w:rPr>
              <w:t>生物质</w:t>
            </w:r>
            <w:r>
              <w:rPr>
                <w:rFonts w:hint="eastAsia"/>
                <w:color w:val="auto"/>
                <w:sz w:val="24"/>
                <w:highlight w:val="none"/>
              </w:rPr>
              <w:t>产生的烟尘外，由于采用炉内喷钙脱硫，烟气中还将带有脱硫产物硫酸钙、未参加反应的氧化钙及石灰石中含有的不能反应的惰性物质，分别用G</w:t>
            </w:r>
            <w:r>
              <w:rPr>
                <w:rFonts w:hint="eastAsia"/>
                <w:color w:val="auto"/>
                <w:sz w:val="24"/>
                <w:highlight w:val="none"/>
                <w:vertAlign w:val="subscript"/>
              </w:rPr>
              <w:t>燃</w:t>
            </w:r>
            <w:r>
              <w:rPr>
                <w:rFonts w:hint="eastAsia"/>
                <w:color w:val="auto"/>
                <w:sz w:val="24"/>
                <w:highlight w:val="none"/>
                <w:vertAlign w:val="subscript"/>
                <w:lang w:eastAsia="zh-CN"/>
              </w:rPr>
              <w:t>生物质颗粒</w:t>
            </w:r>
            <w:r>
              <w:rPr>
                <w:rFonts w:hint="eastAsia"/>
                <w:color w:val="auto"/>
                <w:sz w:val="24"/>
                <w:highlight w:val="none"/>
              </w:rPr>
              <w:t>、G</w:t>
            </w:r>
            <w:r>
              <w:rPr>
                <w:rFonts w:hint="eastAsia"/>
                <w:color w:val="auto"/>
                <w:sz w:val="24"/>
                <w:highlight w:val="none"/>
                <w:vertAlign w:val="subscript"/>
              </w:rPr>
              <w:t>硫酸钙</w:t>
            </w:r>
            <w:r>
              <w:rPr>
                <w:rFonts w:hint="eastAsia"/>
                <w:color w:val="auto"/>
                <w:sz w:val="24"/>
                <w:highlight w:val="none"/>
              </w:rPr>
              <w:t>、G</w:t>
            </w:r>
            <w:r>
              <w:rPr>
                <w:rFonts w:hint="eastAsia"/>
                <w:color w:val="auto"/>
                <w:sz w:val="24"/>
                <w:highlight w:val="none"/>
                <w:vertAlign w:val="subscript"/>
              </w:rPr>
              <w:t>氧化钙</w:t>
            </w:r>
            <w:r>
              <w:rPr>
                <w:rFonts w:hint="eastAsia"/>
                <w:color w:val="auto"/>
                <w:sz w:val="24"/>
                <w:highlight w:val="none"/>
              </w:rPr>
              <w:t>、G</w:t>
            </w:r>
            <w:r>
              <w:rPr>
                <w:rFonts w:hint="eastAsia"/>
                <w:color w:val="auto"/>
                <w:sz w:val="24"/>
                <w:highlight w:val="none"/>
                <w:vertAlign w:val="subscript"/>
              </w:rPr>
              <w:t>惰性物质表示</w:t>
            </w:r>
            <w:r>
              <w:rPr>
                <w:rFonts w:hint="eastAsia"/>
                <w:color w:val="auto"/>
                <w:sz w:val="24"/>
                <w:highlight w:val="none"/>
              </w:rPr>
              <w:t>。G</w:t>
            </w:r>
            <w:r>
              <w:rPr>
                <w:rFonts w:hint="eastAsia"/>
                <w:color w:val="auto"/>
                <w:sz w:val="24"/>
                <w:highlight w:val="none"/>
                <w:vertAlign w:val="subscript"/>
              </w:rPr>
              <w:t>热风炉</w:t>
            </w:r>
            <w:r>
              <w:rPr>
                <w:rFonts w:hint="eastAsia"/>
                <w:color w:val="auto"/>
                <w:sz w:val="24"/>
                <w:highlight w:val="none"/>
              </w:rPr>
              <w:t>=G</w:t>
            </w:r>
            <w:r>
              <w:rPr>
                <w:rFonts w:hint="eastAsia"/>
                <w:color w:val="auto"/>
                <w:sz w:val="24"/>
                <w:highlight w:val="none"/>
                <w:vertAlign w:val="subscript"/>
              </w:rPr>
              <w:t>燃</w:t>
            </w:r>
            <w:r>
              <w:rPr>
                <w:rFonts w:hint="eastAsia"/>
                <w:color w:val="auto"/>
                <w:sz w:val="24"/>
                <w:highlight w:val="none"/>
                <w:vertAlign w:val="subscript"/>
                <w:lang w:eastAsia="zh-CN"/>
              </w:rPr>
              <w:t>生物质颗粒</w:t>
            </w:r>
            <w:r>
              <w:rPr>
                <w:rFonts w:hint="eastAsia"/>
                <w:color w:val="auto"/>
                <w:sz w:val="24"/>
                <w:highlight w:val="none"/>
              </w:rPr>
              <w:t>+G</w:t>
            </w:r>
            <w:r>
              <w:rPr>
                <w:rFonts w:hint="eastAsia"/>
                <w:color w:val="auto"/>
                <w:sz w:val="24"/>
                <w:highlight w:val="none"/>
                <w:vertAlign w:val="subscript"/>
              </w:rPr>
              <w:t>硫酸钙</w:t>
            </w:r>
            <w:r>
              <w:rPr>
                <w:rFonts w:hint="eastAsia"/>
                <w:color w:val="auto"/>
                <w:sz w:val="24"/>
                <w:highlight w:val="none"/>
              </w:rPr>
              <w:t>+G</w:t>
            </w:r>
            <w:r>
              <w:rPr>
                <w:rFonts w:hint="eastAsia"/>
                <w:color w:val="auto"/>
                <w:sz w:val="24"/>
                <w:highlight w:val="none"/>
                <w:vertAlign w:val="subscript"/>
              </w:rPr>
              <w:t>氧化钙</w:t>
            </w:r>
            <w:r>
              <w:rPr>
                <w:rFonts w:hint="eastAsia"/>
                <w:color w:val="auto"/>
                <w:sz w:val="24"/>
                <w:highlight w:val="none"/>
              </w:rPr>
              <w:t>+G</w:t>
            </w:r>
            <w:r>
              <w:rPr>
                <w:rFonts w:hint="eastAsia"/>
                <w:color w:val="auto"/>
                <w:sz w:val="24"/>
                <w:highlight w:val="none"/>
                <w:vertAlign w:val="subscript"/>
              </w:rPr>
              <w:t>惰性物质</w:t>
            </w:r>
            <w:r>
              <w:rPr>
                <w:rFonts w:hint="eastAsia"/>
                <w:color w:val="auto"/>
                <w:sz w:val="24"/>
                <w:highlight w:val="none"/>
              </w:rPr>
              <w:t>。</w:t>
            </w:r>
          </w:p>
          <w:p w14:paraId="3E2B0F94">
            <w:pPr>
              <w:adjustRightInd w:val="0"/>
              <w:snapToGrid w:val="0"/>
              <w:spacing w:line="360" w:lineRule="auto"/>
              <w:ind w:firstLine="480" w:firstLineChars="200"/>
              <w:jc w:val="center"/>
              <w:rPr>
                <w:color w:val="auto"/>
                <w:sz w:val="24"/>
                <w:highlight w:val="none"/>
              </w:rPr>
            </w:pPr>
            <w:r>
              <w:rPr>
                <w:rFonts w:hint="eastAsia"/>
                <w:color w:val="auto"/>
                <w:sz w:val="24"/>
                <w:highlight w:val="none"/>
              </w:rPr>
              <w:t>G</w:t>
            </w:r>
            <w:r>
              <w:rPr>
                <w:rFonts w:hint="eastAsia" w:ascii="Times New Roman" w:hAnsi="Times New Roman" w:eastAsia="宋体" w:cs="Times New Roman"/>
                <w:color w:val="auto"/>
                <w:sz w:val="24"/>
                <w:highlight w:val="none"/>
                <w:vertAlign w:val="subscript"/>
                <w:lang w:eastAsia="zh-CN"/>
              </w:rPr>
              <w:t>燃生</w:t>
            </w:r>
            <w:r>
              <w:rPr>
                <w:rFonts w:hint="eastAsia"/>
                <w:color w:val="auto"/>
                <w:sz w:val="24"/>
                <w:highlight w:val="none"/>
                <w:vertAlign w:val="subscript"/>
                <w:lang w:eastAsia="zh-CN"/>
              </w:rPr>
              <w:t>物质颗粒</w:t>
            </w:r>
            <w:r>
              <w:rPr>
                <w:rFonts w:hint="eastAsia"/>
                <w:color w:val="auto"/>
                <w:sz w:val="24"/>
                <w:highlight w:val="none"/>
              </w:rPr>
              <w:t>=</w:t>
            </w:r>
            <w:r>
              <w:rPr>
                <w:rFonts w:hint="eastAsia"/>
                <w:color w:val="auto"/>
                <w:sz w:val="24"/>
                <w:highlight w:val="none"/>
                <w:lang w:eastAsia="zh-CN"/>
              </w:rPr>
              <w:t>（</w:t>
            </w:r>
            <w:r>
              <w:rPr>
                <w:rFonts w:hint="eastAsia"/>
                <w:color w:val="auto"/>
                <w:sz w:val="24"/>
                <w:highlight w:val="none"/>
              </w:rPr>
              <w:t>B×</w:t>
            </w:r>
            <w:r>
              <w:rPr>
                <w:rFonts w:hint="eastAsia"/>
                <w:color w:val="auto"/>
                <w:sz w:val="24"/>
                <w:highlight w:val="none"/>
                <w:lang w:val="en-US" w:eastAsia="zh-CN"/>
              </w:rPr>
              <w:t>0.5</w:t>
            </w:r>
            <w:r>
              <w:rPr>
                <w:rFonts w:hint="eastAsia"/>
                <w:color w:val="auto"/>
                <w:sz w:val="24"/>
                <w:highlight w:val="none"/>
                <w:lang w:eastAsia="zh-CN"/>
              </w:rPr>
              <w:t>）</w:t>
            </w:r>
            <w:r>
              <w:rPr>
                <w:rFonts w:hint="eastAsia"/>
                <w:color w:val="auto"/>
                <w:sz w:val="24"/>
                <w:highlight w:val="none"/>
                <w:lang w:val="en-US" w:eastAsia="zh-CN"/>
              </w:rPr>
              <w:t>/1000</w:t>
            </w:r>
            <w:r>
              <w:rPr>
                <w:rFonts w:hint="eastAsia"/>
                <w:color w:val="auto"/>
                <w:sz w:val="24"/>
                <w:highlight w:val="none"/>
              </w:rPr>
              <w:t xml:space="preserve"> </w:t>
            </w:r>
            <w:r>
              <w:rPr>
                <w:color w:val="auto"/>
                <w:sz w:val="24"/>
                <w:highlight w:val="none"/>
              </w:rPr>
              <w:t xml:space="preserve">  </w:t>
            </w:r>
            <w:r>
              <w:rPr>
                <w:rFonts w:hint="eastAsia"/>
                <w:color w:val="auto"/>
                <w:sz w:val="24"/>
                <w:highlight w:val="none"/>
              </w:rPr>
              <w:t>（1）</w:t>
            </w:r>
          </w:p>
          <w:p w14:paraId="494C244D">
            <w:pPr>
              <w:adjustRightInd w:val="0"/>
              <w:snapToGrid w:val="0"/>
              <w:spacing w:line="360" w:lineRule="auto"/>
              <w:ind w:firstLine="480" w:firstLineChars="200"/>
              <w:jc w:val="center"/>
              <w:rPr>
                <w:color w:val="auto"/>
                <w:sz w:val="24"/>
                <w:highlight w:val="none"/>
              </w:rPr>
            </w:pPr>
            <w:r>
              <w:rPr>
                <w:rFonts w:hint="eastAsia"/>
                <w:color w:val="auto"/>
                <w:sz w:val="24"/>
                <w:highlight w:val="none"/>
              </w:rPr>
              <w:t>G</w:t>
            </w:r>
            <w:r>
              <w:rPr>
                <w:rFonts w:hint="eastAsia"/>
                <w:color w:val="auto"/>
                <w:sz w:val="24"/>
                <w:highlight w:val="none"/>
                <w:vertAlign w:val="subscript"/>
              </w:rPr>
              <w:t>硫酸钙</w:t>
            </w:r>
            <w:r>
              <w:rPr>
                <w:rFonts w:hint="eastAsia"/>
                <w:color w:val="auto"/>
                <w:sz w:val="24"/>
                <w:highlight w:val="none"/>
              </w:rPr>
              <w:t>=B×S×Ks×136/32×d</w:t>
            </w:r>
            <w:r>
              <w:rPr>
                <w:rFonts w:hint="eastAsia"/>
                <w:color w:val="auto"/>
                <w:sz w:val="24"/>
                <w:highlight w:val="none"/>
                <w:vertAlign w:val="subscript"/>
              </w:rPr>
              <w:t>fh</w:t>
            </w:r>
            <w:r>
              <w:rPr>
                <w:rFonts w:hint="eastAsia"/>
                <w:color w:val="auto"/>
                <w:sz w:val="24"/>
                <w:highlight w:val="none"/>
              </w:rPr>
              <w:t>×（1-η</w:t>
            </w:r>
            <w:r>
              <w:rPr>
                <w:rFonts w:hint="eastAsia"/>
                <w:color w:val="auto"/>
                <w:sz w:val="24"/>
                <w:highlight w:val="none"/>
                <w:vertAlign w:val="subscript"/>
              </w:rPr>
              <w:t>烟尘</w:t>
            </w:r>
            <w:r>
              <w:rPr>
                <w:rFonts w:hint="eastAsia"/>
                <w:color w:val="auto"/>
                <w:sz w:val="24"/>
                <w:highlight w:val="none"/>
              </w:rPr>
              <w:t xml:space="preserve">） </w:t>
            </w:r>
            <w:r>
              <w:rPr>
                <w:color w:val="auto"/>
                <w:sz w:val="24"/>
                <w:highlight w:val="none"/>
              </w:rPr>
              <w:t xml:space="preserve">  （2）</w:t>
            </w:r>
          </w:p>
          <w:p w14:paraId="03A32587">
            <w:pPr>
              <w:adjustRightInd w:val="0"/>
              <w:snapToGrid w:val="0"/>
              <w:spacing w:line="360" w:lineRule="auto"/>
              <w:ind w:firstLine="480" w:firstLineChars="200"/>
              <w:jc w:val="center"/>
              <w:rPr>
                <w:color w:val="auto"/>
                <w:sz w:val="24"/>
                <w:highlight w:val="none"/>
              </w:rPr>
            </w:pPr>
            <w:r>
              <w:rPr>
                <w:rFonts w:hint="eastAsia"/>
                <w:color w:val="auto"/>
                <w:sz w:val="24"/>
                <w:highlight w:val="none"/>
              </w:rPr>
              <w:t>G</w:t>
            </w:r>
            <w:r>
              <w:rPr>
                <w:rFonts w:hint="eastAsia"/>
                <w:color w:val="auto"/>
                <w:sz w:val="24"/>
                <w:highlight w:val="none"/>
                <w:vertAlign w:val="subscript"/>
              </w:rPr>
              <w:t>氧化钙</w:t>
            </w:r>
            <w:r>
              <w:rPr>
                <w:rFonts w:hint="eastAsia"/>
                <w:color w:val="auto"/>
                <w:sz w:val="24"/>
                <w:highlight w:val="none"/>
              </w:rPr>
              <w:t>=[G</w:t>
            </w:r>
            <w:r>
              <w:rPr>
                <w:rFonts w:hint="eastAsia"/>
                <w:color w:val="auto"/>
                <w:sz w:val="24"/>
                <w:highlight w:val="none"/>
                <w:vertAlign w:val="subscript"/>
              </w:rPr>
              <w:t>石灰石</w:t>
            </w:r>
            <w:r>
              <w:rPr>
                <w:rFonts w:hint="eastAsia"/>
                <w:color w:val="auto"/>
                <w:sz w:val="24"/>
                <w:highlight w:val="none"/>
              </w:rPr>
              <w:t>×X</w:t>
            </w:r>
            <w:r>
              <w:rPr>
                <w:rFonts w:hint="eastAsia"/>
                <w:color w:val="auto"/>
                <w:sz w:val="24"/>
                <w:highlight w:val="none"/>
                <w:vertAlign w:val="subscript"/>
              </w:rPr>
              <w:t>CaO</w:t>
            </w:r>
            <w:r>
              <w:rPr>
                <w:rFonts w:hint="eastAsia"/>
                <w:color w:val="auto"/>
                <w:sz w:val="24"/>
                <w:highlight w:val="none"/>
              </w:rPr>
              <w:t>×（M-η</w:t>
            </w:r>
            <w:r>
              <w:rPr>
                <w:rFonts w:hint="eastAsia"/>
                <w:color w:val="auto"/>
                <w:sz w:val="24"/>
                <w:highlight w:val="none"/>
                <w:vertAlign w:val="subscript"/>
              </w:rPr>
              <w:t>SO2</w:t>
            </w:r>
            <w:r>
              <w:rPr>
                <w:rFonts w:hint="eastAsia"/>
                <w:color w:val="auto"/>
                <w:sz w:val="24"/>
                <w:highlight w:val="none"/>
              </w:rPr>
              <w:t>）/M]×α</w:t>
            </w:r>
            <w:r>
              <w:rPr>
                <w:rFonts w:hint="eastAsia"/>
                <w:color w:val="auto"/>
                <w:sz w:val="24"/>
                <w:highlight w:val="none"/>
                <w:vertAlign w:val="subscript"/>
              </w:rPr>
              <w:t>Sf</w:t>
            </w:r>
            <w:r>
              <w:rPr>
                <w:rFonts w:hint="eastAsia"/>
                <w:color w:val="auto"/>
                <w:sz w:val="24"/>
                <w:highlight w:val="none"/>
              </w:rPr>
              <w:t>×（1-η</w:t>
            </w:r>
            <w:r>
              <w:rPr>
                <w:rFonts w:hint="eastAsia"/>
                <w:color w:val="auto"/>
                <w:sz w:val="24"/>
                <w:highlight w:val="none"/>
                <w:vertAlign w:val="subscript"/>
              </w:rPr>
              <w:t>烟尘</w:t>
            </w:r>
            <w:r>
              <w:rPr>
                <w:rFonts w:hint="eastAsia"/>
                <w:color w:val="auto"/>
                <w:sz w:val="24"/>
                <w:highlight w:val="none"/>
              </w:rPr>
              <w:t xml:space="preserve">） </w:t>
            </w:r>
            <w:r>
              <w:rPr>
                <w:color w:val="auto"/>
                <w:sz w:val="24"/>
                <w:highlight w:val="none"/>
              </w:rPr>
              <w:t xml:space="preserve">  （3）</w:t>
            </w:r>
          </w:p>
          <w:p w14:paraId="6B251E46">
            <w:pPr>
              <w:adjustRightInd w:val="0"/>
              <w:snapToGrid w:val="0"/>
              <w:spacing w:line="360" w:lineRule="auto"/>
              <w:ind w:firstLine="480" w:firstLineChars="200"/>
              <w:jc w:val="center"/>
              <w:rPr>
                <w:color w:val="auto"/>
                <w:sz w:val="24"/>
                <w:highlight w:val="none"/>
              </w:rPr>
            </w:pPr>
            <w:r>
              <w:rPr>
                <w:rFonts w:hint="eastAsia"/>
                <w:color w:val="auto"/>
                <w:sz w:val="24"/>
                <w:highlight w:val="none"/>
              </w:rPr>
              <w:t>G</w:t>
            </w:r>
            <w:r>
              <w:rPr>
                <w:rFonts w:hint="eastAsia"/>
                <w:color w:val="auto"/>
                <w:sz w:val="24"/>
                <w:highlight w:val="none"/>
                <w:vertAlign w:val="subscript"/>
              </w:rPr>
              <w:t>惰性物质</w:t>
            </w:r>
            <w:r>
              <w:rPr>
                <w:rFonts w:hint="eastAsia"/>
                <w:color w:val="auto"/>
                <w:sz w:val="24"/>
                <w:highlight w:val="none"/>
              </w:rPr>
              <w:t>=G</w:t>
            </w:r>
            <w:r>
              <w:rPr>
                <w:rFonts w:hint="eastAsia"/>
                <w:color w:val="auto"/>
                <w:sz w:val="24"/>
                <w:highlight w:val="none"/>
                <w:vertAlign w:val="subscript"/>
              </w:rPr>
              <w:t>石灰石</w:t>
            </w:r>
            <w:r>
              <w:rPr>
                <w:rFonts w:hint="eastAsia"/>
                <w:color w:val="auto"/>
                <w:sz w:val="24"/>
                <w:highlight w:val="none"/>
              </w:rPr>
              <w:t>（1-X</w:t>
            </w:r>
            <w:r>
              <w:rPr>
                <w:rFonts w:hint="eastAsia"/>
                <w:color w:val="auto"/>
                <w:sz w:val="24"/>
                <w:highlight w:val="none"/>
                <w:vertAlign w:val="subscript"/>
              </w:rPr>
              <w:t>CaCO3</w:t>
            </w:r>
            <w:r>
              <w:rPr>
                <w:rFonts w:hint="eastAsia"/>
                <w:color w:val="auto"/>
                <w:sz w:val="24"/>
                <w:highlight w:val="none"/>
              </w:rPr>
              <w:t>）×α</w:t>
            </w:r>
            <w:r>
              <w:rPr>
                <w:rFonts w:hint="eastAsia"/>
                <w:color w:val="auto"/>
                <w:sz w:val="24"/>
                <w:highlight w:val="none"/>
                <w:vertAlign w:val="subscript"/>
              </w:rPr>
              <w:t>Sf</w:t>
            </w:r>
            <w:r>
              <w:rPr>
                <w:rFonts w:hint="eastAsia"/>
                <w:color w:val="auto"/>
                <w:sz w:val="24"/>
                <w:highlight w:val="none"/>
              </w:rPr>
              <w:t>×（1-η</w:t>
            </w:r>
            <w:r>
              <w:rPr>
                <w:rFonts w:hint="eastAsia"/>
                <w:color w:val="auto"/>
                <w:sz w:val="24"/>
                <w:highlight w:val="none"/>
                <w:vertAlign w:val="subscript"/>
              </w:rPr>
              <w:t>烟尘</w:t>
            </w:r>
            <w:r>
              <w:rPr>
                <w:rFonts w:hint="eastAsia"/>
                <w:color w:val="auto"/>
                <w:sz w:val="24"/>
                <w:highlight w:val="none"/>
              </w:rPr>
              <w:t xml:space="preserve">） </w:t>
            </w:r>
            <w:r>
              <w:rPr>
                <w:color w:val="auto"/>
                <w:sz w:val="24"/>
                <w:highlight w:val="none"/>
              </w:rPr>
              <w:t xml:space="preserve">  （4）</w:t>
            </w:r>
          </w:p>
          <w:p w14:paraId="495B3310">
            <w:pPr>
              <w:adjustRightInd w:val="0"/>
              <w:snapToGrid w:val="0"/>
              <w:spacing w:line="360" w:lineRule="auto"/>
              <w:ind w:firstLine="480" w:firstLineChars="200"/>
              <w:rPr>
                <w:rFonts w:hint="default" w:eastAsia="宋体"/>
                <w:color w:val="auto"/>
                <w:sz w:val="24"/>
                <w:highlight w:val="none"/>
                <w:lang w:val="en-US" w:eastAsia="zh-CN"/>
              </w:rPr>
            </w:pPr>
            <w:r>
              <w:rPr>
                <w:rFonts w:hint="eastAsia"/>
                <w:color w:val="auto"/>
                <w:sz w:val="24"/>
                <w:highlight w:val="none"/>
              </w:rPr>
              <w:t>式中：B——耗</w:t>
            </w:r>
            <w:r>
              <w:rPr>
                <w:rFonts w:hint="eastAsia"/>
                <w:color w:val="auto"/>
                <w:sz w:val="24"/>
                <w:highlight w:val="none"/>
                <w:lang w:eastAsia="zh-CN"/>
              </w:rPr>
              <w:t>生物质颗粒</w:t>
            </w:r>
            <w:r>
              <w:rPr>
                <w:rFonts w:hint="eastAsia"/>
                <w:color w:val="auto"/>
                <w:sz w:val="24"/>
                <w:highlight w:val="none"/>
              </w:rPr>
              <w:t>量（t），</w:t>
            </w:r>
            <w:r>
              <w:rPr>
                <w:rFonts w:hint="eastAsia" w:cs="Times New Roman"/>
                <w:color w:val="auto"/>
                <w:kern w:val="2"/>
                <w:sz w:val="24"/>
                <w:szCs w:val="24"/>
                <w:highlight w:val="none"/>
                <w:lang w:val="en-US" w:eastAsia="zh-CN" w:bidi="ar-SA"/>
              </w:rPr>
              <w:t>36461.6448t</w:t>
            </w:r>
            <w:r>
              <w:rPr>
                <w:rFonts w:hint="eastAsia"/>
                <w:color w:val="auto"/>
                <w:sz w:val="24"/>
                <w:highlight w:val="none"/>
              </w:rPr>
              <w:t>；</w:t>
            </w:r>
          </w:p>
          <w:p w14:paraId="342D6377">
            <w:pPr>
              <w:adjustRightInd w:val="0"/>
              <w:snapToGrid w:val="0"/>
              <w:spacing w:line="360" w:lineRule="auto"/>
              <w:ind w:firstLine="1200" w:firstLineChars="500"/>
              <w:rPr>
                <w:color w:val="auto"/>
                <w:sz w:val="24"/>
                <w:highlight w:val="none"/>
              </w:rPr>
            </w:pPr>
            <w:r>
              <w:rPr>
                <w:rFonts w:hint="eastAsia"/>
                <w:color w:val="auto"/>
                <w:sz w:val="24"/>
                <w:highlight w:val="none"/>
              </w:rPr>
              <w:t>A——</w:t>
            </w:r>
            <w:r>
              <w:rPr>
                <w:rFonts w:hint="eastAsia"/>
                <w:color w:val="auto"/>
                <w:sz w:val="24"/>
                <w:highlight w:val="none"/>
                <w:lang w:eastAsia="zh-CN"/>
              </w:rPr>
              <w:t>生物质颗粒</w:t>
            </w:r>
            <w:r>
              <w:rPr>
                <w:rFonts w:hint="eastAsia"/>
                <w:color w:val="auto"/>
                <w:sz w:val="24"/>
                <w:highlight w:val="none"/>
              </w:rPr>
              <w:t>中含灰量（%），根据</w:t>
            </w:r>
            <w:r>
              <w:rPr>
                <w:rFonts w:hint="eastAsia"/>
                <w:color w:val="auto"/>
                <w:sz w:val="24"/>
                <w:highlight w:val="none"/>
                <w:lang w:eastAsia="zh-CN"/>
              </w:rPr>
              <w:t>生物</w:t>
            </w:r>
            <w:r>
              <w:rPr>
                <w:rFonts w:hint="eastAsia"/>
                <w:color w:val="auto"/>
                <w:sz w:val="24"/>
                <w:highlight w:val="none"/>
              </w:rPr>
              <w:t>质</w:t>
            </w:r>
            <w:r>
              <w:rPr>
                <w:rFonts w:hint="eastAsia"/>
                <w:color w:val="auto"/>
                <w:sz w:val="24"/>
                <w:highlight w:val="none"/>
                <w:lang w:eastAsia="zh-CN"/>
              </w:rPr>
              <w:t>颗粒检测报告</w:t>
            </w:r>
            <w:r>
              <w:rPr>
                <w:rFonts w:hint="eastAsia"/>
                <w:color w:val="auto"/>
                <w:sz w:val="24"/>
                <w:highlight w:val="none"/>
              </w:rPr>
              <w:t>，</w:t>
            </w:r>
            <w:r>
              <w:rPr>
                <w:rFonts w:hint="eastAsia"/>
                <w:color w:val="auto"/>
                <w:sz w:val="24"/>
                <w:highlight w:val="none"/>
                <w:lang w:val="en-US" w:eastAsia="zh-CN"/>
              </w:rPr>
              <w:t>A=</w:t>
            </w:r>
            <w:r>
              <w:rPr>
                <w:rFonts w:hint="eastAsia" w:cs="Times New Roman"/>
                <w:color w:val="auto"/>
                <w:sz w:val="24"/>
                <w:szCs w:val="24"/>
                <w:highlight w:val="none"/>
                <w:lang w:val="en-US" w:eastAsia="zh-CN"/>
              </w:rPr>
              <w:t>3.96%；</w:t>
            </w:r>
          </w:p>
          <w:p w14:paraId="727C0085">
            <w:pPr>
              <w:adjustRightInd w:val="0"/>
              <w:snapToGrid w:val="0"/>
              <w:spacing w:line="360" w:lineRule="auto"/>
              <w:ind w:firstLine="1200" w:firstLineChars="500"/>
              <w:rPr>
                <w:color w:val="auto"/>
                <w:sz w:val="24"/>
                <w:highlight w:val="none"/>
              </w:rPr>
            </w:pPr>
            <w:r>
              <w:rPr>
                <w:rFonts w:hint="eastAsia"/>
                <w:color w:val="auto"/>
                <w:sz w:val="24"/>
                <w:highlight w:val="none"/>
              </w:rPr>
              <w:t>d</w:t>
            </w:r>
            <w:r>
              <w:rPr>
                <w:rFonts w:hint="eastAsia"/>
                <w:color w:val="auto"/>
                <w:sz w:val="24"/>
                <w:highlight w:val="none"/>
                <w:vertAlign w:val="subscript"/>
              </w:rPr>
              <w:t>fh</w:t>
            </w:r>
            <w:r>
              <w:rPr>
                <w:rFonts w:hint="eastAsia"/>
                <w:color w:val="auto"/>
                <w:sz w:val="24"/>
                <w:highlight w:val="none"/>
              </w:rPr>
              <w:t>——烟气中烟尘占灰分量的百分比（%），取值为85%；</w:t>
            </w:r>
          </w:p>
          <w:p w14:paraId="65F3CA5D">
            <w:pPr>
              <w:adjustRightInd w:val="0"/>
              <w:snapToGrid w:val="0"/>
              <w:spacing w:line="360" w:lineRule="auto"/>
              <w:ind w:firstLine="1200" w:firstLineChars="500"/>
              <w:rPr>
                <w:color w:val="auto"/>
                <w:sz w:val="24"/>
                <w:highlight w:val="none"/>
              </w:rPr>
            </w:pPr>
            <w:r>
              <w:rPr>
                <w:rFonts w:hint="eastAsia"/>
                <w:color w:val="auto"/>
                <w:sz w:val="24"/>
                <w:highlight w:val="none"/>
              </w:rPr>
              <w:t>η</w:t>
            </w:r>
            <w:r>
              <w:rPr>
                <w:rFonts w:hint="eastAsia"/>
                <w:color w:val="auto"/>
                <w:sz w:val="24"/>
                <w:highlight w:val="none"/>
                <w:vertAlign w:val="subscript"/>
              </w:rPr>
              <w:t>烟尘</w:t>
            </w:r>
            <w:r>
              <w:rPr>
                <w:rFonts w:hint="eastAsia"/>
                <w:color w:val="auto"/>
                <w:sz w:val="24"/>
                <w:highlight w:val="none"/>
              </w:rPr>
              <w:t>——除尘效率（%），50%；</w:t>
            </w:r>
          </w:p>
          <w:p w14:paraId="5067A043">
            <w:pPr>
              <w:adjustRightInd w:val="0"/>
              <w:snapToGrid w:val="0"/>
              <w:spacing w:line="360" w:lineRule="auto"/>
              <w:ind w:firstLine="1200" w:firstLineChars="500"/>
              <w:rPr>
                <w:color w:val="auto"/>
                <w:sz w:val="24"/>
                <w:highlight w:val="none"/>
              </w:rPr>
            </w:pPr>
            <w:r>
              <w:rPr>
                <w:rFonts w:hint="eastAsia"/>
                <w:color w:val="auto"/>
                <w:sz w:val="24"/>
                <w:highlight w:val="none"/>
              </w:rPr>
              <w:t>C</w:t>
            </w:r>
            <w:r>
              <w:rPr>
                <w:rFonts w:hint="eastAsia"/>
                <w:color w:val="auto"/>
                <w:sz w:val="24"/>
                <w:highlight w:val="none"/>
                <w:vertAlign w:val="subscript"/>
              </w:rPr>
              <w:t>fh</w:t>
            </w:r>
            <w:r>
              <w:rPr>
                <w:rFonts w:hint="eastAsia"/>
                <w:color w:val="auto"/>
                <w:sz w:val="24"/>
                <w:highlight w:val="none"/>
              </w:rPr>
              <w:t>——烟尘中可燃物的比率（%），取8%；</w:t>
            </w:r>
          </w:p>
          <w:p w14:paraId="010C4E25">
            <w:pPr>
              <w:adjustRightInd w:val="0"/>
              <w:snapToGrid w:val="0"/>
              <w:spacing w:line="360" w:lineRule="auto"/>
              <w:ind w:firstLine="1200" w:firstLineChars="500"/>
              <w:rPr>
                <w:color w:val="auto"/>
                <w:sz w:val="24"/>
                <w:highlight w:val="none"/>
              </w:rPr>
            </w:pPr>
            <w:r>
              <w:rPr>
                <w:rFonts w:hint="eastAsia"/>
                <w:color w:val="auto"/>
                <w:sz w:val="24"/>
                <w:highlight w:val="none"/>
              </w:rPr>
              <w:t>S——含硫量（%）；根据</w:t>
            </w:r>
            <w:r>
              <w:rPr>
                <w:rFonts w:hint="eastAsia"/>
                <w:color w:val="auto"/>
                <w:sz w:val="24"/>
                <w:highlight w:val="none"/>
                <w:lang w:eastAsia="zh-CN"/>
              </w:rPr>
              <w:t>生物质颗粒</w:t>
            </w:r>
            <w:r>
              <w:rPr>
                <w:rFonts w:hint="eastAsia"/>
                <w:color w:val="auto"/>
                <w:sz w:val="24"/>
                <w:highlight w:val="none"/>
              </w:rPr>
              <w:t>检测报告，</w:t>
            </w:r>
            <w:r>
              <w:rPr>
                <w:rFonts w:hint="eastAsia"/>
                <w:color w:val="auto"/>
                <w:sz w:val="24"/>
                <w:highlight w:val="none"/>
                <w:lang w:val="en-US" w:eastAsia="zh-CN"/>
              </w:rPr>
              <w:t>S=0.09</w:t>
            </w:r>
            <w:r>
              <w:rPr>
                <w:rFonts w:hint="eastAsia" w:cs="Times New Roman"/>
                <w:color w:val="auto"/>
                <w:sz w:val="24"/>
                <w:szCs w:val="24"/>
                <w:highlight w:val="none"/>
                <w:lang w:val="en-US" w:eastAsia="zh-CN"/>
              </w:rPr>
              <w:t>%；</w:t>
            </w:r>
          </w:p>
          <w:p w14:paraId="57661DFB">
            <w:pPr>
              <w:adjustRightInd w:val="0"/>
              <w:snapToGrid w:val="0"/>
              <w:spacing w:line="360" w:lineRule="auto"/>
              <w:ind w:firstLine="1200" w:firstLineChars="500"/>
              <w:rPr>
                <w:color w:val="auto"/>
                <w:sz w:val="24"/>
                <w:highlight w:val="none"/>
              </w:rPr>
            </w:pPr>
            <w:r>
              <w:rPr>
                <w:rFonts w:hint="eastAsia"/>
                <w:color w:val="auto"/>
                <w:sz w:val="24"/>
                <w:highlight w:val="none"/>
              </w:rPr>
              <w:t>Ks——可燃硫占全硫量的百分比，%，取</w:t>
            </w:r>
            <w:r>
              <w:rPr>
                <w:color w:val="auto"/>
                <w:sz w:val="24"/>
                <w:highlight w:val="none"/>
              </w:rPr>
              <w:t>85</w:t>
            </w:r>
            <w:r>
              <w:rPr>
                <w:rFonts w:hint="eastAsia"/>
                <w:color w:val="auto"/>
                <w:sz w:val="24"/>
                <w:highlight w:val="none"/>
              </w:rPr>
              <w:t>%；</w:t>
            </w:r>
          </w:p>
          <w:p w14:paraId="45A7E411">
            <w:pPr>
              <w:adjustRightInd w:val="0"/>
              <w:snapToGrid w:val="0"/>
              <w:spacing w:line="360" w:lineRule="auto"/>
              <w:ind w:firstLine="480" w:firstLineChars="200"/>
              <w:rPr>
                <w:rFonts w:hint="eastAsia" w:ascii="Times New Roman" w:hAnsi="Times New Roman" w:eastAsia="宋体" w:cs="Times New Roman"/>
                <w:b/>
                <w:bCs/>
                <w:color w:val="auto"/>
                <w:sz w:val="24"/>
                <w:highlight w:val="none"/>
                <w:lang w:val="en-US" w:eastAsia="zh-CN"/>
              </w:rPr>
            </w:pPr>
            <w:r>
              <w:rPr>
                <w:rFonts w:hint="eastAsia"/>
                <w:color w:val="auto"/>
                <w:sz w:val="24"/>
                <w:highlight w:val="none"/>
              </w:rPr>
              <w:t>G</w:t>
            </w:r>
            <w:r>
              <w:rPr>
                <w:rFonts w:hint="eastAsia"/>
                <w:color w:val="auto"/>
                <w:sz w:val="24"/>
                <w:highlight w:val="none"/>
                <w:vertAlign w:val="subscript"/>
              </w:rPr>
              <w:t>石灰石</w:t>
            </w:r>
            <w:r>
              <w:rPr>
                <w:rFonts w:hint="eastAsia"/>
                <w:color w:val="auto"/>
                <w:sz w:val="24"/>
                <w:highlight w:val="none"/>
              </w:rPr>
              <w:t>——石灰石粉用量，根据第一章核算结果，为</w:t>
            </w:r>
            <w:r>
              <w:rPr>
                <w:rFonts w:hint="eastAsia"/>
                <w:color w:val="auto"/>
                <w:sz w:val="24"/>
                <w:szCs w:val="24"/>
                <w:highlight w:val="none"/>
                <w:lang w:val="en-US" w:eastAsia="zh-CN"/>
              </w:rPr>
              <w:t>195.2521</w:t>
            </w:r>
            <w:r>
              <w:rPr>
                <w:rFonts w:hint="eastAsia"/>
                <w:color w:val="auto"/>
                <w:sz w:val="24"/>
                <w:highlight w:val="none"/>
              </w:rPr>
              <w:t>t/a</w:t>
            </w:r>
            <w:r>
              <w:rPr>
                <w:rFonts w:hint="eastAsia"/>
                <w:color w:val="auto"/>
                <w:sz w:val="24"/>
                <w:highlight w:val="none"/>
                <w:lang w:eastAsia="zh-CN"/>
              </w:rPr>
              <w:t>；</w:t>
            </w:r>
          </w:p>
          <w:p w14:paraId="1147245B">
            <w:pPr>
              <w:adjustRightInd w:val="0"/>
              <w:snapToGrid w:val="0"/>
              <w:spacing w:line="360" w:lineRule="auto"/>
              <w:ind w:firstLine="1200" w:firstLineChars="500"/>
              <w:rPr>
                <w:color w:val="auto"/>
                <w:sz w:val="24"/>
                <w:highlight w:val="none"/>
              </w:rPr>
            </w:pPr>
            <w:r>
              <w:rPr>
                <w:rFonts w:hint="eastAsia"/>
                <w:color w:val="auto"/>
                <w:sz w:val="24"/>
                <w:highlight w:val="none"/>
              </w:rPr>
              <w:t>M——钙硫比，取2；</w:t>
            </w:r>
          </w:p>
          <w:p w14:paraId="475ED8A7">
            <w:pPr>
              <w:adjustRightInd w:val="0"/>
              <w:snapToGrid w:val="0"/>
              <w:spacing w:line="360" w:lineRule="auto"/>
              <w:ind w:firstLine="1200" w:firstLineChars="500"/>
              <w:rPr>
                <w:color w:val="auto"/>
                <w:sz w:val="24"/>
                <w:highlight w:val="none"/>
              </w:rPr>
            </w:pPr>
            <w:r>
              <w:rPr>
                <w:rFonts w:hint="eastAsia"/>
                <w:color w:val="auto"/>
                <w:sz w:val="24"/>
                <w:highlight w:val="none"/>
              </w:rPr>
              <w:t>α</w:t>
            </w:r>
            <w:r>
              <w:rPr>
                <w:rFonts w:hint="eastAsia"/>
                <w:color w:val="auto"/>
                <w:sz w:val="24"/>
                <w:highlight w:val="none"/>
                <w:vertAlign w:val="subscript"/>
              </w:rPr>
              <w:t>Sf</w:t>
            </w:r>
            <w:r>
              <w:rPr>
                <w:rFonts w:hint="eastAsia"/>
                <w:color w:val="auto"/>
                <w:sz w:val="24"/>
                <w:highlight w:val="none"/>
              </w:rPr>
              <w:t>——石灰石飞逸份额，取80%；</w:t>
            </w:r>
          </w:p>
          <w:p w14:paraId="513BDD1B">
            <w:pPr>
              <w:adjustRightInd w:val="0"/>
              <w:snapToGrid w:val="0"/>
              <w:spacing w:line="360" w:lineRule="auto"/>
              <w:ind w:firstLine="1200" w:firstLineChars="500"/>
              <w:rPr>
                <w:color w:val="auto"/>
                <w:sz w:val="24"/>
                <w:highlight w:val="none"/>
              </w:rPr>
            </w:pPr>
            <w:r>
              <w:rPr>
                <w:rFonts w:hint="eastAsia"/>
                <w:color w:val="auto"/>
                <w:sz w:val="24"/>
                <w:highlight w:val="none"/>
              </w:rPr>
              <w:t>η</w:t>
            </w:r>
            <w:r>
              <w:rPr>
                <w:rFonts w:hint="eastAsia"/>
                <w:color w:val="auto"/>
                <w:sz w:val="24"/>
                <w:highlight w:val="none"/>
                <w:vertAlign w:val="subscript"/>
              </w:rPr>
              <w:t>SO2</w:t>
            </w:r>
            <w:r>
              <w:rPr>
                <w:rFonts w:hint="eastAsia"/>
                <w:color w:val="auto"/>
                <w:sz w:val="24"/>
                <w:highlight w:val="none"/>
              </w:rPr>
              <w:t>——脱硫效率（%），75%；</w:t>
            </w:r>
          </w:p>
          <w:p w14:paraId="0A62CB82">
            <w:pPr>
              <w:adjustRightInd w:val="0"/>
              <w:snapToGrid w:val="0"/>
              <w:spacing w:line="360" w:lineRule="auto"/>
              <w:ind w:firstLine="1200" w:firstLineChars="500"/>
              <w:rPr>
                <w:color w:val="auto"/>
                <w:sz w:val="24"/>
                <w:highlight w:val="none"/>
              </w:rPr>
            </w:pPr>
            <w:r>
              <w:rPr>
                <w:rFonts w:hint="eastAsia"/>
                <w:color w:val="auto"/>
                <w:sz w:val="24"/>
                <w:highlight w:val="none"/>
              </w:rPr>
              <w:t>X</w:t>
            </w:r>
            <w:r>
              <w:rPr>
                <w:rFonts w:hint="eastAsia"/>
                <w:color w:val="auto"/>
                <w:sz w:val="24"/>
                <w:highlight w:val="none"/>
                <w:vertAlign w:val="subscript"/>
              </w:rPr>
              <w:t>CaO</w:t>
            </w:r>
            <w:r>
              <w:rPr>
                <w:rFonts w:hint="eastAsia"/>
                <w:color w:val="auto"/>
                <w:sz w:val="24"/>
                <w:highlight w:val="none"/>
              </w:rPr>
              <w:t>——石灰石煅烧生成CaO效率，取0.50%。</w:t>
            </w:r>
          </w:p>
          <w:p w14:paraId="0B0EEEBE">
            <w:pPr>
              <w:adjustRightInd w:val="0"/>
              <w:snapToGrid w:val="0"/>
              <w:spacing w:line="360" w:lineRule="auto"/>
              <w:ind w:firstLine="1200" w:firstLineChars="500"/>
              <w:rPr>
                <w:color w:val="auto"/>
                <w:sz w:val="24"/>
                <w:highlight w:val="none"/>
              </w:rPr>
            </w:pPr>
            <w:r>
              <w:rPr>
                <w:rFonts w:hint="eastAsia"/>
                <w:color w:val="auto"/>
                <w:sz w:val="24"/>
                <w:highlight w:val="none"/>
              </w:rPr>
              <w:t>X</w:t>
            </w:r>
            <w:r>
              <w:rPr>
                <w:rFonts w:hint="eastAsia"/>
                <w:color w:val="auto"/>
                <w:sz w:val="24"/>
                <w:highlight w:val="none"/>
                <w:vertAlign w:val="subscript"/>
              </w:rPr>
              <w:t>CaCO3</w:t>
            </w:r>
            <w:r>
              <w:rPr>
                <w:rFonts w:hint="eastAsia"/>
                <w:color w:val="auto"/>
                <w:sz w:val="24"/>
                <w:highlight w:val="none"/>
              </w:rPr>
              <w:t>——石灰石中CaCO</w:t>
            </w:r>
            <w:r>
              <w:rPr>
                <w:rFonts w:hint="eastAsia"/>
                <w:color w:val="auto"/>
                <w:sz w:val="24"/>
                <w:highlight w:val="none"/>
                <w:vertAlign w:val="subscript"/>
              </w:rPr>
              <w:t>3</w:t>
            </w:r>
            <w:r>
              <w:rPr>
                <w:rFonts w:hint="eastAsia"/>
                <w:color w:val="auto"/>
                <w:sz w:val="24"/>
                <w:highlight w:val="none"/>
              </w:rPr>
              <w:t>含量，取90%。</w:t>
            </w:r>
          </w:p>
          <w:p w14:paraId="358B2093">
            <w:pPr>
              <w:adjustRightInd w:val="0"/>
              <w:snapToGrid w:val="0"/>
              <w:spacing w:line="360" w:lineRule="auto"/>
              <w:ind w:firstLine="480" w:firstLineChars="200"/>
              <w:rPr>
                <w:color w:val="auto"/>
                <w:sz w:val="24"/>
                <w:highlight w:val="none"/>
              </w:rPr>
            </w:pPr>
            <w:r>
              <w:rPr>
                <w:rFonts w:hint="eastAsia"/>
                <w:color w:val="auto"/>
                <w:sz w:val="24"/>
                <w:highlight w:val="none"/>
              </w:rPr>
              <w:t>则根据上式计算可得：</w:t>
            </w:r>
          </w:p>
          <w:p w14:paraId="2BF4FDC9">
            <w:pPr>
              <w:adjustRightInd w:val="0"/>
              <w:snapToGrid w:val="0"/>
              <w:spacing w:line="360" w:lineRule="auto"/>
              <w:jc w:val="center"/>
              <w:rPr>
                <w:b/>
                <w:color w:val="auto"/>
                <w:szCs w:val="21"/>
                <w:highlight w:val="none"/>
              </w:rPr>
            </w:pPr>
            <w:r>
              <w:rPr>
                <w:rFonts w:hint="eastAsia"/>
                <w:b/>
                <w:color w:val="auto"/>
                <w:szCs w:val="21"/>
                <w:highlight w:val="none"/>
              </w:rPr>
              <w:t>表</w:t>
            </w:r>
            <w:r>
              <w:rPr>
                <w:rFonts w:hint="eastAsia"/>
                <w:b/>
                <w:color w:val="auto"/>
                <w:szCs w:val="21"/>
                <w:highlight w:val="none"/>
                <w:lang w:val="en-US" w:eastAsia="zh-CN"/>
              </w:rPr>
              <w:t>4</w:t>
            </w:r>
            <w:r>
              <w:rPr>
                <w:rFonts w:hint="eastAsia"/>
                <w:b/>
                <w:color w:val="auto"/>
                <w:szCs w:val="21"/>
                <w:highlight w:val="none"/>
              </w:rPr>
              <w:t>-</w:t>
            </w:r>
            <w:r>
              <w:rPr>
                <w:rFonts w:hint="eastAsia"/>
                <w:b/>
                <w:color w:val="auto"/>
                <w:szCs w:val="21"/>
                <w:highlight w:val="none"/>
                <w:lang w:val="en-US" w:eastAsia="zh-CN"/>
              </w:rPr>
              <w:t>7</w:t>
            </w:r>
            <w:r>
              <w:rPr>
                <w:b/>
                <w:color w:val="auto"/>
                <w:szCs w:val="21"/>
                <w:highlight w:val="none"/>
              </w:rPr>
              <w:t xml:space="preserve">  </w:t>
            </w:r>
            <w:r>
              <w:rPr>
                <w:rFonts w:hint="eastAsia"/>
                <w:b/>
                <w:color w:val="auto"/>
                <w:szCs w:val="21"/>
                <w:highlight w:val="none"/>
              </w:rPr>
              <w:t>热风炉烟气颗粒物核算</w:t>
            </w:r>
          </w:p>
          <w:tbl>
            <w:tblPr>
              <w:tblStyle w:val="27"/>
              <w:tblW w:w="8445"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311"/>
              <w:gridCol w:w="1328"/>
              <w:gridCol w:w="1328"/>
              <w:gridCol w:w="1279"/>
              <w:gridCol w:w="1471"/>
            </w:tblGrid>
            <w:tr w14:paraId="31CE96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8" w:type="dxa"/>
                  <w:shd w:val="clear" w:color="auto" w:fill="auto"/>
                  <w:noWrap/>
                  <w:vAlign w:val="center"/>
                </w:tcPr>
                <w:p w14:paraId="1810DDF2">
                  <w:pPr>
                    <w:adjustRightInd w:val="0"/>
                    <w:snapToGrid w:val="0"/>
                    <w:jc w:val="center"/>
                    <w:rPr>
                      <w:color w:val="auto"/>
                      <w:szCs w:val="21"/>
                      <w:highlight w:val="none"/>
                    </w:rPr>
                  </w:pPr>
                </w:p>
              </w:tc>
              <w:tc>
                <w:tcPr>
                  <w:tcW w:w="1311" w:type="dxa"/>
                  <w:shd w:val="clear" w:color="auto" w:fill="auto"/>
                  <w:noWrap/>
                  <w:vAlign w:val="center"/>
                </w:tcPr>
                <w:p w14:paraId="52C3D337">
                  <w:pPr>
                    <w:adjustRightInd w:val="0"/>
                    <w:snapToGrid w:val="0"/>
                    <w:jc w:val="center"/>
                    <w:rPr>
                      <w:rFonts w:hint="eastAsia" w:eastAsia="宋体"/>
                      <w:b/>
                      <w:color w:val="auto"/>
                      <w:szCs w:val="21"/>
                      <w:highlight w:val="none"/>
                      <w:lang w:eastAsia="zh-CN"/>
                    </w:rPr>
                  </w:pPr>
                  <w:r>
                    <w:rPr>
                      <w:rFonts w:hint="eastAsia"/>
                      <w:b/>
                      <w:color w:val="auto"/>
                      <w:szCs w:val="21"/>
                      <w:highlight w:val="none"/>
                    </w:rPr>
                    <w:t>G</w:t>
                  </w:r>
                  <w:r>
                    <w:rPr>
                      <w:rFonts w:hint="eastAsia"/>
                      <w:b/>
                      <w:color w:val="auto"/>
                      <w:szCs w:val="21"/>
                      <w:highlight w:val="none"/>
                      <w:vertAlign w:val="subscript"/>
                    </w:rPr>
                    <w:t>燃</w:t>
                  </w:r>
                  <w:r>
                    <w:rPr>
                      <w:rFonts w:hint="eastAsia"/>
                      <w:b/>
                      <w:color w:val="auto"/>
                      <w:szCs w:val="21"/>
                      <w:highlight w:val="none"/>
                      <w:vertAlign w:val="subscript"/>
                      <w:lang w:eastAsia="zh-CN"/>
                    </w:rPr>
                    <w:t>生物颗粒</w:t>
                  </w:r>
                </w:p>
              </w:tc>
              <w:tc>
                <w:tcPr>
                  <w:tcW w:w="1328" w:type="dxa"/>
                  <w:shd w:val="clear" w:color="auto" w:fill="auto"/>
                  <w:noWrap/>
                  <w:vAlign w:val="center"/>
                </w:tcPr>
                <w:p w14:paraId="45650437">
                  <w:pPr>
                    <w:adjustRightInd w:val="0"/>
                    <w:snapToGrid w:val="0"/>
                    <w:jc w:val="center"/>
                    <w:rPr>
                      <w:b/>
                      <w:color w:val="auto"/>
                      <w:szCs w:val="21"/>
                      <w:highlight w:val="none"/>
                    </w:rPr>
                  </w:pPr>
                  <w:r>
                    <w:rPr>
                      <w:rFonts w:hint="eastAsia"/>
                      <w:b/>
                      <w:color w:val="auto"/>
                      <w:szCs w:val="21"/>
                      <w:highlight w:val="none"/>
                    </w:rPr>
                    <w:t>G</w:t>
                  </w:r>
                  <w:r>
                    <w:rPr>
                      <w:rFonts w:hint="eastAsia"/>
                      <w:b/>
                      <w:color w:val="auto"/>
                      <w:szCs w:val="21"/>
                      <w:highlight w:val="none"/>
                      <w:vertAlign w:val="subscript"/>
                    </w:rPr>
                    <w:t>硫酸钙</w:t>
                  </w:r>
                </w:p>
              </w:tc>
              <w:tc>
                <w:tcPr>
                  <w:tcW w:w="1328" w:type="dxa"/>
                  <w:shd w:val="clear" w:color="auto" w:fill="auto"/>
                  <w:noWrap/>
                  <w:vAlign w:val="center"/>
                </w:tcPr>
                <w:p w14:paraId="679A030C">
                  <w:pPr>
                    <w:adjustRightInd w:val="0"/>
                    <w:snapToGrid w:val="0"/>
                    <w:jc w:val="center"/>
                    <w:rPr>
                      <w:b/>
                      <w:color w:val="auto"/>
                      <w:szCs w:val="21"/>
                      <w:highlight w:val="none"/>
                    </w:rPr>
                  </w:pPr>
                  <w:r>
                    <w:rPr>
                      <w:rFonts w:hint="eastAsia"/>
                      <w:b/>
                      <w:color w:val="auto"/>
                      <w:szCs w:val="21"/>
                      <w:highlight w:val="none"/>
                    </w:rPr>
                    <w:t>G</w:t>
                  </w:r>
                  <w:r>
                    <w:rPr>
                      <w:rFonts w:hint="eastAsia"/>
                      <w:b/>
                      <w:color w:val="auto"/>
                      <w:szCs w:val="21"/>
                      <w:highlight w:val="none"/>
                      <w:vertAlign w:val="subscript"/>
                    </w:rPr>
                    <w:t>氧化钙</w:t>
                  </w:r>
                </w:p>
              </w:tc>
              <w:tc>
                <w:tcPr>
                  <w:tcW w:w="1279" w:type="dxa"/>
                  <w:shd w:val="clear" w:color="auto" w:fill="auto"/>
                  <w:noWrap/>
                  <w:vAlign w:val="center"/>
                </w:tcPr>
                <w:p w14:paraId="3A836259">
                  <w:pPr>
                    <w:adjustRightInd w:val="0"/>
                    <w:snapToGrid w:val="0"/>
                    <w:jc w:val="center"/>
                    <w:rPr>
                      <w:b/>
                      <w:color w:val="auto"/>
                      <w:szCs w:val="21"/>
                      <w:highlight w:val="none"/>
                    </w:rPr>
                  </w:pPr>
                  <w:r>
                    <w:rPr>
                      <w:rFonts w:hint="eastAsia"/>
                      <w:b/>
                      <w:color w:val="auto"/>
                      <w:szCs w:val="21"/>
                      <w:highlight w:val="none"/>
                    </w:rPr>
                    <w:t>G</w:t>
                  </w:r>
                  <w:r>
                    <w:rPr>
                      <w:rFonts w:hint="eastAsia"/>
                      <w:b/>
                      <w:color w:val="auto"/>
                      <w:szCs w:val="21"/>
                      <w:highlight w:val="none"/>
                      <w:vertAlign w:val="subscript"/>
                    </w:rPr>
                    <w:t>惰性物质</w:t>
                  </w:r>
                </w:p>
              </w:tc>
              <w:tc>
                <w:tcPr>
                  <w:tcW w:w="1471" w:type="dxa"/>
                  <w:shd w:val="clear" w:color="auto" w:fill="auto"/>
                  <w:noWrap/>
                  <w:vAlign w:val="center"/>
                </w:tcPr>
                <w:p w14:paraId="76E3FAC7">
                  <w:pPr>
                    <w:adjustRightInd w:val="0"/>
                    <w:snapToGrid w:val="0"/>
                    <w:jc w:val="center"/>
                    <w:rPr>
                      <w:b/>
                      <w:color w:val="auto"/>
                      <w:szCs w:val="21"/>
                      <w:highlight w:val="none"/>
                    </w:rPr>
                  </w:pPr>
                  <w:r>
                    <w:rPr>
                      <w:rFonts w:hint="eastAsia"/>
                      <w:b/>
                      <w:color w:val="auto"/>
                      <w:szCs w:val="21"/>
                      <w:highlight w:val="none"/>
                    </w:rPr>
                    <w:t>G</w:t>
                  </w:r>
                  <w:r>
                    <w:rPr>
                      <w:rFonts w:hint="eastAsia"/>
                      <w:b/>
                      <w:color w:val="auto"/>
                      <w:szCs w:val="21"/>
                      <w:highlight w:val="none"/>
                      <w:vertAlign w:val="subscript"/>
                    </w:rPr>
                    <w:t>热风炉</w:t>
                  </w:r>
                </w:p>
              </w:tc>
            </w:tr>
            <w:tr w14:paraId="6B534CE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8" w:type="dxa"/>
                  <w:shd w:val="clear" w:color="auto" w:fill="auto"/>
                  <w:noWrap/>
                  <w:vAlign w:val="center"/>
                </w:tcPr>
                <w:p w14:paraId="1BBDCEF4">
                  <w:pPr>
                    <w:adjustRightInd w:val="0"/>
                    <w:snapToGrid w:val="0"/>
                    <w:jc w:val="center"/>
                    <w:rPr>
                      <w:color w:val="auto"/>
                      <w:szCs w:val="21"/>
                      <w:highlight w:val="none"/>
                    </w:rPr>
                  </w:pPr>
                  <w:r>
                    <w:rPr>
                      <w:rFonts w:hint="eastAsia"/>
                      <w:color w:val="auto"/>
                      <w:szCs w:val="21"/>
                      <w:highlight w:val="none"/>
                    </w:rPr>
                    <w:t>产生量</w:t>
                  </w:r>
                </w:p>
              </w:tc>
              <w:tc>
                <w:tcPr>
                  <w:tcW w:w="1311" w:type="dxa"/>
                  <w:shd w:val="clear" w:color="auto" w:fill="auto"/>
                  <w:noWrap/>
                  <w:vAlign w:val="center"/>
                </w:tcPr>
                <w:p w14:paraId="1AD24B5B">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18.2308</w:t>
                  </w:r>
                </w:p>
              </w:tc>
              <w:tc>
                <w:tcPr>
                  <w:tcW w:w="1328" w:type="dxa"/>
                  <w:shd w:val="clear" w:color="auto" w:fill="auto"/>
                  <w:noWrap/>
                  <w:vAlign w:val="center"/>
                </w:tcPr>
                <w:p w14:paraId="109B9E8E">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50.3820</w:t>
                  </w:r>
                </w:p>
              </w:tc>
              <w:tc>
                <w:tcPr>
                  <w:tcW w:w="1328" w:type="dxa"/>
                  <w:shd w:val="clear" w:color="auto" w:fill="auto"/>
                  <w:noWrap/>
                  <w:vAlign w:val="center"/>
                </w:tcPr>
                <w:p w14:paraId="074D3BCF">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0.2441</w:t>
                  </w:r>
                </w:p>
              </w:tc>
              <w:tc>
                <w:tcPr>
                  <w:tcW w:w="1279" w:type="dxa"/>
                  <w:shd w:val="clear" w:color="auto" w:fill="auto"/>
                  <w:noWrap/>
                  <w:vAlign w:val="center"/>
                </w:tcPr>
                <w:p w14:paraId="7971CF60">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7.8101</w:t>
                  </w:r>
                </w:p>
              </w:tc>
              <w:tc>
                <w:tcPr>
                  <w:tcW w:w="1471" w:type="dxa"/>
                  <w:shd w:val="clear" w:color="auto" w:fill="auto"/>
                  <w:noWrap/>
                  <w:vAlign w:val="center"/>
                </w:tcPr>
                <w:p w14:paraId="319DD30A">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76.667</w:t>
                  </w:r>
                </w:p>
              </w:tc>
            </w:tr>
          </w:tbl>
          <w:p w14:paraId="2490B068">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rFonts w:hint="eastAsia" w:eastAsia="宋体" w:cs="Times New Roman"/>
                <w:b/>
                <w:bCs/>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本项目</w:t>
            </w:r>
            <w:r>
              <w:rPr>
                <w:rFonts w:hint="default" w:ascii="Times New Roman" w:hAnsi="Times New Roman" w:eastAsia="宋体" w:cs="Times New Roman"/>
                <w:color w:val="auto"/>
                <w:kern w:val="2"/>
                <w:sz w:val="24"/>
                <w:szCs w:val="24"/>
                <w:highlight w:val="none"/>
                <w:lang w:val="en-US" w:eastAsia="zh-CN" w:bidi="ar-SA"/>
              </w:rPr>
              <w:t>DA005</w:t>
            </w:r>
            <w:r>
              <w:rPr>
                <w:rFonts w:hint="eastAsia" w:ascii="宋体" w:hAnsi="宋体" w:eastAsia="宋体" w:cs="宋体"/>
                <w:color w:val="auto"/>
                <w:kern w:val="2"/>
                <w:sz w:val="24"/>
                <w:szCs w:val="24"/>
                <w:highlight w:val="none"/>
                <w:lang w:val="en-US" w:eastAsia="zh-CN" w:bidi="ar-SA"/>
              </w:rPr>
              <w:t>排气筒颗粒物产生量</w:t>
            </w:r>
            <w:r>
              <w:rPr>
                <w:rFonts w:hint="eastAsia"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76.667</w:t>
            </w:r>
            <w:r>
              <w:rPr>
                <w:rFonts w:hint="eastAsia" w:eastAsia="宋体" w:cs="Times New Roman"/>
                <w:color w:val="auto"/>
                <w:sz w:val="24"/>
                <w:szCs w:val="24"/>
                <w:highlight w:val="none"/>
                <w:lang w:val="en-US" w:eastAsia="zh-CN"/>
              </w:rPr>
              <w:t>t/a，</w:t>
            </w:r>
            <w:r>
              <w:rPr>
                <w:rFonts w:hint="eastAsia" w:ascii="Times New Roman" w:hAnsi="Times New Roman" w:eastAsia="宋体" w:cs="Times New Roman"/>
                <w:color w:val="auto"/>
                <w:sz w:val="24"/>
                <w:highlight w:val="none"/>
                <w:lang w:val="en-US" w:eastAsia="zh-CN"/>
              </w:rPr>
              <w:t>产生速率为</w:t>
            </w:r>
            <w:r>
              <w:rPr>
                <w:rFonts w:hint="eastAsia" w:cs="Times New Roman"/>
                <w:color w:val="auto"/>
                <w:sz w:val="24"/>
                <w:highlight w:val="none"/>
                <w:lang w:val="en-US" w:eastAsia="zh-CN"/>
              </w:rPr>
              <w:t>11.4088</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321.67</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eastAsia="Times New Roman"/>
                <w:color w:val="auto"/>
                <w:sz w:val="24"/>
                <w:highlight w:val="none"/>
                <w:lang w:val="zh-CN"/>
              </w:rPr>
              <w:t>有组织</w:t>
            </w:r>
            <w:r>
              <w:rPr>
                <w:rFonts w:hint="eastAsia" w:ascii="Times New Roman" w:hAnsi="Times New Roman" w:eastAsia="宋体" w:cs="Times New Roman"/>
                <w:color w:val="auto"/>
                <w:sz w:val="24"/>
                <w:highlight w:val="none"/>
                <w:lang w:eastAsia="zh-CN"/>
              </w:rPr>
              <w:t>粉尘排放量为</w:t>
            </w:r>
            <w:r>
              <w:rPr>
                <w:rFonts w:hint="eastAsia" w:cs="Times New Roman"/>
                <w:color w:val="auto"/>
                <w:sz w:val="24"/>
                <w:highlight w:val="none"/>
                <w:lang w:val="en-US" w:eastAsia="zh-CN"/>
              </w:rPr>
              <w:t>0.3067</w:t>
            </w:r>
            <w:r>
              <w:rPr>
                <w:rFonts w:hint="eastAsia" w:ascii="Times New Roman" w:hAnsi="Times New Roman" w:eastAsia="宋体" w:cs="Times New Roman"/>
                <w:color w:val="auto"/>
                <w:sz w:val="24"/>
                <w:highlight w:val="none"/>
                <w:lang w:val="en-US" w:eastAsia="zh-CN"/>
              </w:rPr>
              <w:t>t/a，排放速率为</w:t>
            </w:r>
            <w:r>
              <w:rPr>
                <w:rFonts w:hint="eastAsia" w:cs="Times New Roman"/>
                <w:color w:val="auto"/>
                <w:sz w:val="24"/>
                <w:highlight w:val="none"/>
                <w:lang w:val="en-US" w:eastAsia="zh-CN"/>
              </w:rPr>
              <w:t>0.0456</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1.29</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p>
          <w:p w14:paraId="79B317E2">
            <w:pPr>
              <w:pStyle w:val="11"/>
              <w:ind w:firstLine="482" w:firstLineChars="200"/>
              <w:rPr>
                <w:rFonts w:hint="default"/>
                <w:color w:val="auto"/>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B</w:t>
            </w:r>
            <w:r>
              <w:rPr>
                <w:rFonts w:hint="eastAsia"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kern w:val="2"/>
                <w:sz w:val="24"/>
                <w:szCs w:val="24"/>
                <w:highlight w:val="none"/>
                <w:lang w:val="en-US" w:eastAsia="zh-CN" w:bidi="ar-SA"/>
              </w:rPr>
              <w:t>二氧化硫</w:t>
            </w:r>
          </w:p>
          <w:p w14:paraId="2AD5D1A5">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项目烘干系统采用热风炉燃</w:t>
            </w:r>
            <w:r>
              <w:rPr>
                <w:rFonts w:hint="eastAsia"/>
                <w:color w:val="auto"/>
                <w:kern w:val="0"/>
                <w:sz w:val="24"/>
                <w:highlight w:val="none"/>
                <w:lang w:eastAsia="zh-CN"/>
              </w:rPr>
              <w:t>生物质颗粒</w:t>
            </w:r>
            <w:r>
              <w:rPr>
                <w:rFonts w:hint="eastAsia"/>
                <w:color w:val="auto"/>
                <w:kern w:val="0"/>
                <w:sz w:val="24"/>
                <w:highlight w:val="none"/>
              </w:rPr>
              <w:t>产生的高温烟气作为烘干热源。本项目SO</w:t>
            </w:r>
            <w:r>
              <w:rPr>
                <w:rFonts w:hint="eastAsia"/>
                <w:color w:val="auto"/>
                <w:kern w:val="0"/>
                <w:sz w:val="24"/>
                <w:highlight w:val="none"/>
                <w:vertAlign w:val="subscript"/>
              </w:rPr>
              <w:t>2</w:t>
            </w:r>
            <w:r>
              <w:rPr>
                <w:rFonts w:hint="eastAsia"/>
                <w:color w:val="auto"/>
                <w:kern w:val="0"/>
                <w:sz w:val="24"/>
                <w:highlight w:val="none"/>
              </w:rPr>
              <w:t>产生来自于热风炉燃</w:t>
            </w:r>
            <w:r>
              <w:rPr>
                <w:rFonts w:hint="eastAsia"/>
                <w:color w:val="auto"/>
                <w:kern w:val="0"/>
                <w:sz w:val="24"/>
                <w:highlight w:val="none"/>
                <w:lang w:eastAsia="zh-CN"/>
              </w:rPr>
              <w:t>生物质颗粒</w:t>
            </w:r>
            <w:r>
              <w:rPr>
                <w:rFonts w:hint="eastAsia"/>
                <w:color w:val="auto"/>
                <w:kern w:val="0"/>
                <w:sz w:val="24"/>
                <w:highlight w:val="none"/>
              </w:rPr>
              <w:t>过程，因此提出对生产线的</w:t>
            </w:r>
            <w:r>
              <w:rPr>
                <w:rFonts w:hint="eastAsia"/>
                <w:color w:val="auto"/>
                <w:kern w:val="0"/>
                <w:sz w:val="24"/>
                <w:highlight w:val="none"/>
                <w:lang w:val="en-US" w:eastAsia="zh-CN"/>
              </w:rPr>
              <w:t>1</w:t>
            </w:r>
            <w:r>
              <w:rPr>
                <w:rFonts w:hint="eastAsia"/>
                <w:color w:val="auto"/>
                <w:kern w:val="0"/>
                <w:sz w:val="24"/>
                <w:highlight w:val="none"/>
              </w:rPr>
              <w:t>台热风炉增配炉内喷钙系统进行干法脱硫。</w:t>
            </w:r>
          </w:p>
          <w:p w14:paraId="5DD77DCD">
            <w:pPr>
              <w:adjustRightInd w:val="0"/>
              <w:snapToGrid w:val="0"/>
              <w:spacing w:line="360" w:lineRule="auto"/>
              <w:ind w:firstLine="480" w:firstLineChars="200"/>
              <w:rPr>
                <w:b/>
                <w:color w:val="auto"/>
                <w:kern w:val="0"/>
                <w:sz w:val="24"/>
                <w:highlight w:val="none"/>
              </w:rPr>
            </w:pPr>
            <w:r>
              <w:rPr>
                <w:rFonts w:hint="eastAsia"/>
                <w:color w:val="auto"/>
                <w:kern w:val="0"/>
                <w:sz w:val="24"/>
                <w:highlight w:val="none"/>
              </w:rPr>
              <w:t>在此基础上，由于热风炉炉内喷钙脱硫后烟气中还存有部分未及反应的氧化钙颗粒，随烟气进入烘干系统后，受褐煤烘干产生的水蒸气作用，这部分氧化钙将转化为Ca</w:t>
            </w:r>
            <w:r>
              <w:rPr>
                <w:color w:val="auto"/>
                <w:kern w:val="0"/>
                <w:sz w:val="24"/>
                <w:highlight w:val="none"/>
              </w:rPr>
              <w:t>(OH)</w:t>
            </w:r>
            <w:r>
              <w:rPr>
                <w:color w:val="auto"/>
                <w:kern w:val="0"/>
                <w:sz w:val="24"/>
                <w:highlight w:val="none"/>
                <w:vertAlign w:val="subscript"/>
              </w:rPr>
              <w:t>2</w:t>
            </w:r>
            <w:r>
              <w:rPr>
                <w:color w:val="auto"/>
                <w:kern w:val="0"/>
                <w:sz w:val="24"/>
                <w:highlight w:val="none"/>
              </w:rPr>
              <w:t>，</w:t>
            </w:r>
            <w:r>
              <w:rPr>
                <w:rFonts w:hint="eastAsia"/>
                <w:color w:val="auto"/>
                <w:kern w:val="0"/>
                <w:sz w:val="24"/>
                <w:highlight w:val="none"/>
              </w:rPr>
              <w:t>可进一步与烟气中的SO</w:t>
            </w:r>
            <w:r>
              <w:rPr>
                <w:rFonts w:hint="eastAsia"/>
                <w:color w:val="auto"/>
                <w:kern w:val="0"/>
                <w:sz w:val="24"/>
                <w:highlight w:val="none"/>
                <w:vertAlign w:val="subscript"/>
              </w:rPr>
              <w:t>2</w:t>
            </w:r>
            <w:r>
              <w:rPr>
                <w:rFonts w:hint="eastAsia"/>
                <w:color w:val="auto"/>
                <w:kern w:val="0"/>
                <w:sz w:val="24"/>
                <w:highlight w:val="none"/>
              </w:rPr>
              <w:t>发生反应，其脱硫效应类同于炉内喷钙尾部增湿活化脱硫工艺（LIFAC）。</w:t>
            </w:r>
          </w:p>
          <w:p w14:paraId="5C55E722">
            <w:pPr>
              <w:adjustRightInd w:val="0"/>
              <w:snapToGrid w:val="0"/>
              <w:spacing w:line="360" w:lineRule="auto"/>
              <w:ind w:firstLine="480" w:firstLineChars="200"/>
              <w:rPr>
                <w:color w:val="auto"/>
                <w:kern w:val="0"/>
                <w:sz w:val="24"/>
                <w:highlight w:val="none"/>
              </w:rPr>
            </w:pPr>
            <w:r>
              <w:rPr>
                <w:rFonts w:hint="eastAsia" w:ascii="宋体" w:hAnsi="宋体"/>
                <w:color w:val="auto"/>
                <w:kern w:val="0"/>
                <w:sz w:val="24"/>
                <w:highlight w:val="none"/>
              </w:rPr>
              <w:t>①</w:t>
            </w:r>
            <w:r>
              <w:rPr>
                <w:rFonts w:hint="eastAsia"/>
                <w:color w:val="auto"/>
                <w:kern w:val="0"/>
                <w:sz w:val="24"/>
                <w:highlight w:val="none"/>
              </w:rPr>
              <w:t>热风炉炉内喷钙系统</w:t>
            </w:r>
          </w:p>
          <w:p w14:paraId="54DDB119">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本次环评提出针对生产线的</w:t>
            </w:r>
            <w:r>
              <w:rPr>
                <w:rFonts w:hint="eastAsia"/>
                <w:color w:val="auto"/>
                <w:kern w:val="0"/>
                <w:sz w:val="24"/>
                <w:highlight w:val="none"/>
                <w:lang w:val="en-US" w:eastAsia="zh-CN"/>
              </w:rPr>
              <w:t>1</w:t>
            </w:r>
            <w:r>
              <w:rPr>
                <w:rFonts w:hint="eastAsia"/>
                <w:color w:val="auto"/>
                <w:kern w:val="0"/>
                <w:sz w:val="24"/>
                <w:highlight w:val="none"/>
              </w:rPr>
              <w:t>个热风炉配套炉内喷钙系统，采用石灰石粉进行炉内喷钙干法脱硫。</w:t>
            </w:r>
          </w:p>
          <w:p w14:paraId="7B05D2AE">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石灰石干法脱硫反应原理如下：</w:t>
            </w:r>
          </w:p>
          <w:p w14:paraId="26CD6871">
            <w:pPr>
              <w:adjustRightInd w:val="0"/>
              <w:snapToGrid w:val="0"/>
              <w:spacing w:line="360" w:lineRule="auto"/>
              <w:ind w:firstLine="480" w:firstLineChars="200"/>
              <w:jc w:val="center"/>
              <w:rPr>
                <w:color w:val="auto"/>
                <w:sz w:val="24"/>
                <w:highlight w:val="none"/>
              </w:rPr>
            </w:pPr>
            <m:oMathPara>
              <m:oMath>
                <m:sSub>
                  <m:sSubPr>
                    <m:ctrlPr>
                      <w:rPr>
                        <w:rFonts w:ascii="Cambria Math" w:hAnsi="Cambria Math"/>
                        <w:i/>
                        <w:color w:val="auto"/>
                        <w:sz w:val="24"/>
                        <w:highlight w:val="none"/>
                      </w:rPr>
                    </m:ctrlPr>
                  </m:sSubPr>
                  <m:e>
                    <m:r>
                      <m:rPr/>
                      <w:rPr>
                        <w:rFonts w:hint="eastAsia" w:ascii="Cambria Math" w:hAnsi="Cambria Math"/>
                        <w:color w:val="auto"/>
                        <w:sz w:val="24"/>
                        <w:highlight w:val="none"/>
                      </w:rPr>
                      <m:t>C</m:t>
                    </m:r>
                    <m:r>
                      <m:rPr/>
                      <w:rPr>
                        <w:rFonts w:ascii="Cambria Math" w:hAnsi="Cambria Math"/>
                        <w:color w:val="auto"/>
                        <w:sz w:val="24"/>
                        <w:highlight w:val="none"/>
                      </w:rPr>
                      <m:t>a</m:t>
                    </m:r>
                    <m:r>
                      <m:rPr/>
                      <w:rPr>
                        <w:rFonts w:hint="eastAsia" w:ascii="Cambria Math" w:hAnsi="Cambria Math"/>
                        <w:color w:val="auto"/>
                        <w:sz w:val="24"/>
                        <w:highlight w:val="none"/>
                      </w:rPr>
                      <m:t>C</m:t>
                    </m:r>
                    <m:r>
                      <m:rPr/>
                      <w:rPr>
                        <w:rFonts w:ascii="Cambria Math" w:hAnsi="Cambria Math"/>
                        <w:color w:val="auto"/>
                        <w:sz w:val="24"/>
                        <w:highlight w:val="none"/>
                      </w:rPr>
                      <m:t>O</m:t>
                    </m:r>
                    <m:ctrlPr>
                      <w:rPr>
                        <w:rFonts w:ascii="Cambria Math" w:hAnsi="Cambria Math"/>
                        <w:i/>
                        <w:color w:val="auto"/>
                        <w:sz w:val="24"/>
                        <w:highlight w:val="none"/>
                      </w:rPr>
                    </m:ctrlPr>
                  </m:e>
                  <m:sub>
                    <m:r>
                      <m:rPr/>
                      <w:rPr>
                        <w:rFonts w:ascii="Cambria Math" w:hAnsi="Cambria Math"/>
                        <w:color w:val="auto"/>
                        <w:sz w:val="24"/>
                        <w:highlight w:val="none"/>
                      </w:rPr>
                      <m:t>3</m:t>
                    </m:r>
                    <m:ctrlPr>
                      <w:rPr>
                        <w:rFonts w:ascii="Cambria Math" w:hAnsi="Cambria Math"/>
                        <w:i/>
                        <w:color w:val="auto"/>
                        <w:sz w:val="24"/>
                        <w:highlight w:val="none"/>
                      </w:rPr>
                    </m:ctrlPr>
                  </m:sub>
                </m:sSub>
                <m:box>
                  <m:boxPr>
                    <m:opEmu m:val="1"/>
                    <m:ctrlPr>
                      <w:rPr>
                        <w:rFonts w:ascii="Cambria Math" w:hAnsi="Cambria Math"/>
                        <w:color w:val="auto"/>
                        <w:sz w:val="24"/>
                        <w:highlight w:val="none"/>
                      </w:rPr>
                    </m:ctrlPr>
                  </m:boxPr>
                  <m:e>
                    <m:groupChr>
                      <m:groupChrPr>
                        <m:chr m:val="→"/>
                        <m:vertJc m:val="bot"/>
                        <m:ctrlPr>
                          <w:rPr>
                            <w:rFonts w:ascii="Cambria Math" w:hAnsi="Cambria Math"/>
                            <w:color w:val="auto"/>
                            <w:sz w:val="24"/>
                            <w:highlight w:val="none"/>
                          </w:rPr>
                        </m:ctrlPr>
                      </m:groupChrPr>
                      <m:e>
                        <m:r>
                          <m:rPr>
                            <m:sty m:val="p"/>
                          </m:rPr>
                          <w:rPr>
                            <w:rFonts w:ascii="Cambria Math" w:hAnsi="Cambria Math"/>
                            <w:color w:val="auto"/>
                            <w:sz w:val="24"/>
                            <w:highlight w:val="none"/>
                          </w:rPr>
                          <m:t>850</m:t>
                        </m:r>
                        <m:r>
                          <m:rPr>
                            <m:sty m:val="p"/>
                          </m:rPr>
                          <w:rPr>
                            <w:rFonts w:hint="eastAsia" w:ascii="Cambria Math" w:hAnsi="Cambria Math"/>
                            <w:color w:val="auto"/>
                            <w:sz w:val="24"/>
                            <w:highlight w:val="none"/>
                          </w:rPr>
                          <m:t>℃</m:t>
                        </m:r>
                        <m:r>
                          <m:rPr>
                            <m:sty m:val="p"/>
                          </m:rPr>
                          <w:rPr>
                            <w:rFonts w:ascii="Cambria Math" w:hAnsi="Cambria Math"/>
                            <w:color w:val="auto"/>
                            <w:sz w:val="24"/>
                            <w:highlight w:val="none"/>
                          </w:rPr>
                          <m:t>~1000</m:t>
                        </m:r>
                        <m:r>
                          <m:rPr>
                            <m:sty m:val="p"/>
                          </m:rPr>
                          <w:rPr>
                            <w:rFonts w:hint="eastAsia" w:ascii="Cambria Math" w:hAnsi="Cambria Math"/>
                            <w:color w:val="auto"/>
                            <w:sz w:val="24"/>
                            <w:highlight w:val="none"/>
                          </w:rPr>
                          <m:t>℃</m:t>
                        </m:r>
                        <m:ctrlPr>
                          <w:rPr>
                            <w:rFonts w:ascii="Cambria Math" w:hAnsi="Cambria Math"/>
                            <w:color w:val="auto"/>
                            <w:sz w:val="24"/>
                            <w:highlight w:val="none"/>
                          </w:rPr>
                        </m:ctrlPr>
                      </m:e>
                    </m:groupChr>
                    <m:r>
                      <m:rPr/>
                      <w:rPr>
                        <w:rFonts w:ascii="Cambria Math" w:hAnsi="Cambria Math"/>
                        <w:color w:val="auto"/>
                        <w:sz w:val="24"/>
                        <w:highlight w:val="none"/>
                      </w:rPr>
                      <m:t>CaO+</m:t>
                    </m:r>
                    <m:ctrlPr>
                      <w:rPr>
                        <w:rFonts w:ascii="Cambria Math" w:hAnsi="Cambria Math"/>
                        <w:color w:val="auto"/>
                        <w:sz w:val="24"/>
                        <w:highlight w:val="none"/>
                      </w:rPr>
                    </m:ctrlPr>
                  </m:e>
                </m:box>
                <m:sSub>
                  <m:sSubPr>
                    <m:ctrlPr>
                      <w:rPr>
                        <w:rFonts w:ascii="Cambria Math" w:hAnsi="Cambria Math"/>
                        <w:color w:val="auto"/>
                        <w:sz w:val="24"/>
                        <w:highlight w:val="none"/>
                      </w:rPr>
                    </m:ctrlPr>
                  </m:sSubPr>
                  <m:e>
                    <m:r>
                      <m:rPr>
                        <m:sty m:val="p"/>
                      </m:rPr>
                      <w:rPr>
                        <w:rFonts w:ascii="Cambria Math" w:hAnsi="Cambria Math"/>
                        <w:color w:val="auto"/>
                        <w:sz w:val="24"/>
                        <w:highlight w:val="none"/>
                      </w:rPr>
                      <m:t>CO</m:t>
                    </m:r>
                    <m:ctrlPr>
                      <w:rPr>
                        <w:rFonts w:ascii="Cambria Math" w:hAnsi="Cambria Math"/>
                        <w:color w:val="auto"/>
                        <w:sz w:val="24"/>
                        <w:highlight w:val="none"/>
                      </w:rPr>
                    </m:ctrlPr>
                  </m:e>
                  <m:sub>
                    <m:r>
                      <m:rPr/>
                      <w:rPr>
                        <w:rFonts w:ascii="Cambria Math" w:hAnsi="Cambria Math"/>
                        <w:color w:val="auto"/>
                        <w:sz w:val="24"/>
                        <w:highlight w:val="none"/>
                      </w:rPr>
                      <m:t>2</m:t>
                    </m:r>
                    <m:ctrlPr>
                      <w:rPr>
                        <w:rFonts w:ascii="Cambria Math" w:hAnsi="Cambria Math"/>
                        <w:color w:val="auto"/>
                        <w:sz w:val="24"/>
                        <w:highlight w:val="none"/>
                      </w:rPr>
                    </m:ctrlPr>
                  </m:sub>
                </m:sSub>
                <m:r>
                  <m:rPr/>
                  <w:rPr>
                    <w:rFonts w:ascii="Cambria Math" w:hAnsi="Cambria Math"/>
                    <w:color w:val="auto"/>
                    <w:sz w:val="24"/>
                    <w:highlight w:val="none"/>
                  </w:rPr>
                  <m:t>↑</m:t>
                </m:r>
              </m:oMath>
            </m:oMathPara>
          </w:p>
          <w:p w14:paraId="0325D3B0">
            <w:pPr>
              <w:adjustRightInd w:val="0"/>
              <w:snapToGrid w:val="0"/>
              <w:spacing w:line="360" w:lineRule="auto"/>
              <w:ind w:firstLine="480" w:firstLineChars="200"/>
              <w:jc w:val="center"/>
              <w:rPr>
                <w:color w:val="auto"/>
                <w:sz w:val="24"/>
                <w:highlight w:val="none"/>
              </w:rPr>
            </w:pPr>
            <m:oMathPara>
              <m:oMath>
                <m:sSub>
                  <m:sSubPr>
                    <m:ctrlPr>
                      <w:rPr>
                        <w:rFonts w:ascii="Cambria Math" w:hAnsi="Cambria Math"/>
                        <w:color w:val="auto"/>
                        <w:sz w:val="24"/>
                        <w:highlight w:val="none"/>
                      </w:rPr>
                    </m:ctrlPr>
                  </m:sSubPr>
                  <m:e>
                    <m:r>
                      <m:rPr/>
                      <w:rPr>
                        <w:rFonts w:hint="eastAsia" w:ascii="Cambria Math" w:hAnsi="Cambria Math"/>
                        <w:color w:val="auto"/>
                        <w:sz w:val="24"/>
                        <w:highlight w:val="none"/>
                      </w:rPr>
                      <m:t>SO</m:t>
                    </m:r>
                    <m:ctrlPr>
                      <w:rPr>
                        <w:rFonts w:ascii="Cambria Math" w:hAnsi="Cambria Math"/>
                        <w:color w:val="auto"/>
                        <w:sz w:val="24"/>
                        <w:highlight w:val="none"/>
                      </w:rPr>
                    </m:ctrlPr>
                  </m:e>
                  <m:sub>
                    <m:r>
                      <m:rPr/>
                      <w:rPr>
                        <w:rFonts w:ascii="Cambria Math" w:hAnsi="Cambria Math"/>
                        <w:color w:val="auto"/>
                        <w:sz w:val="24"/>
                        <w:highlight w:val="none"/>
                      </w:rPr>
                      <m:t>2</m:t>
                    </m:r>
                    <m:ctrlPr>
                      <w:rPr>
                        <w:rFonts w:ascii="Cambria Math" w:hAnsi="Cambria Math"/>
                        <w:color w:val="auto"/>
                        <w:sz w:val="24"/>
                        <w:highlight w:val="none"/>
                      </w:rPr>
                    </m:ctrlPr>
                  </m:sub>
                </m:sSub>
                <m:r>
                  <m:rPr/>
                  <w:rPr>
                    <w:rFonts w:ascii="Cambria Math" w:hAnsi="Cambria Math"/>
                    <w:color w:val="auto"/>
                    <w:sz w:val="24"/>
                    <w:highlight w:val="none"/>
                  </w:rPr>
                  <m:t>+</m:t>
                </m:r>
                <m:r>
                  <m:rPr/>
                  <w:rPr>
                    <w:rFonts w:hint="eastAsia" w:ascii="Cambria Math" w:hAnsi="Cambria Math"/>
                    <w:color w:val="auto"/>
                    <w:sz w:val="24"/>
                    <w:highlight w:val="none"/>
                  </w:rPr>
                  <m:t>Ca</m:t>
                </m:r>
                <m:r>
                  <m:rPr/>
                  <w:rPr>
                    <w:rFonts w:ascii="Cambria Math" w:hAnsi="Cambria Math"/>
                    <w:color w:val="auto"/>
                    <w:sz w:val="24"/>
                    <w:highlight w:val="none"/>
                  </w:rPr>
                  <m:t>O</m:t>
                </m:r>
                <m:box>
                  <m:boxPr>
                    <m:opEmu m:val="1"/>
                    <m:ctrlPr>
                      <w:rPr>
                        <w:rFonts w:ascii="Cambria Math" w:hAnsi="Cambria Math"/>
                        <w:i/>
                        <w:color w:val="auto"/>
                        <w:sz w:val="24"/>
                        <w:highlight w:val="none"/>
                      </w:rPr>
                    </m:ctrlPr>
                  </m:boxPr>
                  <m:e>
                    <m:groupChr>
                      <m:groupChrPr>
                        <m:chr m:val="→"/>
                        <m:vertJc m:val="bot"/>
                        <m:ctrlPr>
                          <w:rPr>
                            <w:rFonts w:ascii="Cambria Math" w:hAnsi="Cambria Math"/>
                            <w:i/>
                            <w:color w:val="auto"/>
                            <w:sz w:val="24"/>
                            <w:highlight w:val="none"/>
                          </w:rPr>
                        </m:ctrlPr>
                      </m:groupChrPr>
                      <m:e>
                        <m:r>
                          <m:rPr/>
                          <w:rPr>
                            <w:rFonts w:ascii="Cambria Math" w:hAnsi="Cambria Math"/>
                            <w:color w:val="auto"/>
                            <w:sz w:val="24"/>
                            <w:highlight w:val="none"/>
                          </w:rPr>
                          <m:t xml:space="preserve">             </m:t>
                        </m:r>
                        <m:ctrlPr>
                          <w:rPr>
                            <w:rFonts w:ascii="Cambria Math" w:hAnsi="Cambria Math"/>
                            <w:i/>
                            <w:color w:val="auto"/>
                            <w:sz w:val="24"/>
                            <w:highlight w:val="none"/>
                          </w:rPr>
                        </m:ctrlPr>
                      </m:e>
                    </m:groupChr>
                    <m:ctrlPr>
                      <w:rPr>
                        <w:rFonts w:ascii="Cambria Math" w:hAnsi="Cambria Math"/>
                        <w:i/>
                        <w:color w:val="auto"/>
                        <w:sz w:val="24"/>
                        <w:highlight w:val="none"/>
                      </w:rPr>
                    </m:ctrlPr>
                  </m:e>
                </m:box>
                <m:sSub>
                  <m:sSubPr>
                    <m:ctrlPr>
                      <w:rPr>
                        <w:rFonts w:ascii="Cambria Math" w:hAnsi="Cambria Math"/>
                        <w:i/>
                        <w:color w:val="auto"/>
                        <w:sz w:val="24"/>
                        <w:highlight w:val="none"/>
                      </w:rPr>
                    </m:ctrlPr>
                  </m:sSubPr>
                  <m:e>
                    <m:r>
                      <m:rPr/>
                      <w:rPr>
                        <w:rFonts w:ascii="Cambria Math" w:hAnsi="Cambria Math"/>
                        <w:color w:val="auto"/>
                        <w:sz w:val="24"/>
                        <w:highlight w:val="none"/>
                      </w:rPr>
                      <m:t>CaSO</m:t>
                    </m:r>
                    <m:ctrlPr>
                      <w:rPr>
                        <w:rFonts w:ascii="Cambria Math" w:hAnsi="Cambria Math"/>
                        <w:i/>
                        <w:color w:val="auto"/>
                        <w:sz w:val="24"/>
                        <w:highlight w:val="none"/>
                      </w:rPr>
                    </m:ctrlPr>
                  </m:e>
                  <m:sub>
                    <m:r>
                      <m:rPr/>
                      <w:rPr>
                        <w:rFonts w:ascii="Cambria Math" w:hAnsi="Cambria Math"/>
                        <w:color w:val="auto"/>
                        <w:sz w:val="24"/>
                        <w:highlight w:val="none"/>
                      </w:rPr>
                      <m:t>3</m:t>
                    </m:r>
                    <m:ctrlPr>
                      <w:rPr>
                        <w:rFonts w:ascii="Cambria Math" w:hAnsi="Cambria Math"/>
                        <w:i/>
                        <w:color w:val="auto"/>
                        <w:sz w:val="24"/>
                        <w:highlight w:val="none"/>
                      </w:rPr>
                    </m:ctrlPr>
                  </m:sub>
                </m:sSub>
              </m:oMath>
            </m:oMathPara>
          </w:p>
          <w:p w14:paraId="292C7C7D">
            <w:pPr>
              <w:adjustRightInd w:val="0"/>
              <w:snapToGrid w:val="0"/>
              <w:spacing w:line="360" w:lineRule="auto"/>
              <w:ind w:firstLine="480" w:firstLineChars="200"/>
              <w:jc w:val="center"/>
              <w:rPr>
                <w:color w:val="auto"/>
                <w:sz w:val="24"/>
                <w:highlight w:val="none"/>
              </w:rPr>
            </w:pPr>
            <m:oMathPara>
              <m:oMath>
                <m:sSub>
                  <m:sSubPr>
                    <m:ctrlPr>
                      <w:rPr>
                        <w:rFonts w:ascii="Cambria Math" w:hAnsi="Cambria Math"/>
                        <w:color w:val="auto"/>
                        <w:sz w:val="24"/>
                        <w:highlight w:val="none"/>
                      </w:rPr>
                    </m:ctrlPr>
                  </m:sSubPr>
                  <m:e>
                    <m:r>
                      <m:rPr/>
                      <w:rPr>
                        <w:rFonts w:ascii="Cambria Math" w:hAnsi="Cambria Math"/>
                        <w:color w:val="auto"/>
                        <w:sz w:val="24"/>
                        <w:highlight w:val="none"/>
                      </w:rPr>
                      <m:t>2CaSO</m:t>
                    </m:r>
                    <m:ctrlPr>
                      <w:rPr>
                        <w:rFonts w:ascii="Cambria Math" w:hAnsi="Cambria Math"/>
                        <w:color w:val="auto"/>
                        <w:sz w:val="24"/>
                        <w:highlight w:val="none"/>
                      </w:rPr>
                    </m:ctrlPr>
                  </m:e>
                  <m:sub>
                    <m:r>
                      <m:rPr/>
                      <w:rPr>
                        <w:rFonts w:ascii="Cambria Math" w:hAnsi="Cambria Math"/>
                        <w:color w:val="auto"/>
                        <w:sz w:val="24"/>
                        <w:highlight w:val="none"/>
                      </w:rPr>
                      <m:t>3</m:t>
                    </m:r>
                    <m:ctrlPr>
                      <w:rPr>
                        <w:rFonts w:ascii="Cambria Math" w:hAnsi="Cambria Math"/>
                        <w:color w:val="auto"/>
                        <w:sz w:val="24"/>
                        <w:highlight w:val="none"/>
                      </w:rPr>
                    </m:ctrlPr>
                  </m:sub>
                </m:sSub>
                <m:r>
                  <m:rPr/>
                  <w:rPr>
                    <w:rFonts w:ascii="Cambria Math" w:hAnsi="Cambria Math"/>
                    <w:color w:val="auto"/>
                    <w:sz w:val="24"/>
                    <w:highlight w:val="none"/>
                  </w:rPr>
                  <m:t>+</m:t>
                </m:r>
                <m:sSub>
                  <m:sSubPr>
                    <m:ctrlPr>
                      <w:rPr>
                        <w:rFonts w:ascii="Cambria Math" w:hAnsi="Cambria Math"/>
                        <w:i/>
                        <w:color w:val="auto"/>
                        <w:sz w:val="24"/>
                        <w:highlight w:val="none"/>
                      </w:rPr>
                    </m:ctrlPr>
                  </m:sSubPr>
                  <m:e>
                    <m:r>
                      <m:rPr/>
                      <w:rPr>
                        <w:rFonts w:ascii="Cambria Math" w:hAnsi="Cambria Math"/>
                        <w:color w:val="auto"/>
                        <w:sz w:val="24"/>
                        <w:highlight w:val="none"/>
                      </w:rPr>
                      <m:t>O</m:t>
                    </m:r>
                    <m:ctrlPr>
                      <w:rPr>
                        <w:rFonts w:ascii="Cambria Math" w:hAnsi="Cambria Math"/>
                        <w:i/>
                        <w:color w:val="auto"/>
                        <w:sz w:val="24"/>
                        <w:highlight w:val="none"/>
                      </w:rPr>
                    </m:ctrlPr>
                  </m:e>
                  <m:sub>
                    <m:r>
                      <m:rPr/>
                      <w:rPr>
                        <w:rFonts w:ascii="Cambria Math" w:hAnsi="Cambria Math"/>
                        <w:color w:val="auto"/>
                        <w:sz w:val="24"/>
                        <w:highlight w:val="none"/>
                      </w:rPr>
                      <m:t>2</m:t>
                    </m:r>
                    <m:ctrlPr>
                      <w:rPr>
                        <w:rFonts w:ascii="Cambria Math" w:hAnsi="Cambria Math"/>
                        <w:i/>
                        <w:color w:val="auto"/>
                        <w:sz w:val="24"/>
                        <w:highlight w:val="none"/>
                      </w:rPr>
                    </m:ctrlPr>
                  </m:sub>
                </m:sSub>
                <m:box>
                  <m:boxPr>
                    <m:opEmu m:val="1"/>
                    <m:ctrlPr>
                      <w:rPr>
                        <w:rFonts w:ascii="Cambria Math" w:hAnsi="Cambria Math"/>
                        <w:i/>
                        <w:color w:val="auto"/>
                        <w:sz w:val="24"/>
                        <w:highlight w:val="none"/>
                      </w:rPr>
                    </m:ctrlPr>
                  </m:boxPr>
                  <m:e>
                    <m:groupChr>
                      <m:groupChrPr>
                        <m:chr m:val="→"/>
                        <m:vertJc m:val="bot"/>
                        <m:ctrlPr>
                          <w:rPr>
                            <w:rFonts w:ascii="Cambria Math" w:hAnsi="Cambria Math"/>
                            <w:i/>
                            <w:color w:val="auto"/>
                            <w:sz w:val="24"/>
                            <w:highlight w:val="none"/>
                          </w:rPr>
                        </m:ctrlPr>
                      </m:groupChrPr>
                      <m:e>
                        <m:r>
                          <m:rPr/>
                          <w:rPr>
                            <w:rFonts w:ascii="Cambria Math" w:hAnsi="Cambria Math"/>
                            <w:color w:val="auto"/>
                            <w:sz w:val="24"/>
                            <w:highlight w:val="none"/>
                          </w:rPr>
                          <m:t xml:space="preserve">             </m:t>
                        </m:r>
                        <m:ctrlPr>
                          <w:rPr>
                            <w:rFonts w:ascii="Cambria Math" w:hAnsi="Cambria Math"/>
                            <w:i/>
                            <w:color w:val="auto"/>
                            <w:sz w:val="24"/>
                            <w:highlight w:val="none"/>
                          </w:rPr>
                        </m:ctrlPr>
                      </m:e>
                    </m:groupChr>
                    <m:ctrlPr>
                      <w:rPr>
                        <w:rFonts w:ascii="Cambria Math" w:hAnsi="Cambria Math"/>
                        <w:i/>
                        <w:color w:val="auto"/>
                        <w:sz w:val="24"/>
                        <w:highlight w:val="none"/>
                      </w:rPr>
                    </m:ctrlPr>
                  </m:e>
                </m:box>
                <m:r>
                  <m:rPr/>
                  <w:rPr>
                    <w:rFonts w:ascii="Cambria Math" w:hAnsi="Cambria Math"/>
                    <w:color w:val="auto"/>
                    <w:sz w:val="24"/>
                    <w:highlight w:val="none"/>
                  </w:rPr>
                  <m:t>2</m:t>
                </m:r>
                <m:sSub>
                  <m:sSubPr>
                    <m:ctrlPr>
                      <w:rPr>
                        <w:rFonts w:ascii="Cambria Math" w:hAnsi="Cambria Math"/>
                        <w:i/>
                        <w:color w:val="auto"/>
                        <w:sz w:val="24"/>
                        <w:highlight w:val="none"/>
                      </w:rPr>
                    </m:ctrlPr>
                  </m:sSubPr>
                  <m:e>
                    <m:r>
                      <m:rPr/>
                      <w:rPr>
                        <w:rFonts w:ascii="Cambria Math" w:hAnsi="Cambria Math"/>
                        <w:color w:val="auto"/>
                        <w:sz w:val="24"/>
                        <w:highlight w:val="none"/>
                      </w:rPr>
                      <m:t>CaSO</m:t>
                    </m:r>
                    <m:ctrlPr>
                      <w:rPr>
                        <w:rFonts w:ascii="Cambria Math" w:hAnsi="Cambria Math"/>
                        <w:i/>
                        <w:color w:val="auto"/>
                        <w:sz w:val="24"/>
                        <w:highlight w:val="none"/>
                      </w:rPr>
                    </m:ctrlPr>
                  </m:e>
                  <m:sub>
                    <m:r>
                      <m:rPr/>
                      <w:rPr>
                        <w:rFonts w:ascii="Cambria Math" w:hAnsi="Cambria Math"/>
                        <w:color w:val="auto"/>
                        <w:sz w:val="24"/>
                        <w:highlight w:val="none"/>
                      </w:rPr>
                      <m:t>4</m:t>
                    </m:r>
                    <m:ctrlPr>
                      <w:rPr>
                        <w:rFonts w:ascii="Cambria Math" w:hAnsi="Cambria Math"/>
                        <w:i/>
                        <w:color w:val="auto"/>
                        <w:sz w:val="24"/>
                        <w:highlight w:val="none"/>
                      </w:rPr>
                    </m:ctrlPr>
                  </m:sub>
                </m:sSub>
              </m:oMath>
            </m:oMathPara>
          </w:p>
          <w:p w14:paraId="1A5208C1">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石灰石（CaCO</w:t>
            </w:r>
            <w:r>
              <w:rPr>
                <w:rFonts w:hint="eastAsia"/>
                <w:color w:val="auto"/>
                <w:kern w:val="0"/>
                <w:sz w:val="24"/>
                <w:highlight w:val="none"/>
                <w:vertAlign w:val="subscript"/>
              </w:rPr>
              <w:t>3</w:t>
            </w:r>
            <w:r>
              <w:rPr>
                <w:rFonts w:hint="eastAsia"/>
                <w:color w:val="auto"/>
                <w:kern w:val="0"/>
                <w:sz w:val="24"/>
                <w:highlight w:val="none"/>
              </w:rPr>
              <w:t>）粉末喷入炉膛中在炉内与</w:t>
            </w:r>
            <w:r>
              <w:rPr>
                <w:rFonts w:hint="eastAsia"/>
                <w:color w:val="auto"/>
                <w:kern w:val="0"/>
                <w:sz w:val="24"/>
                <w:highlight w:val="none"/>
                <w:lang w:eastAsia="zh-CN"/>
              </w:rPr>
              <w:t>生物质颗粒</w:t>
            </w:r>
            <w:r>
              <w:rPr>
                <w:rFonts w:hint="eastAsia"/>
                <w:color w:val="auto"/>
                <w:kern w:val="0"/>
                <w:sz w:val="24"/>
                <w:highlight w:val="none"/>
              </w:rPr>
              <w:t>同时燃烧，在800~900℃时，石灰石受热分解为CO</w:t>
            </w:r>
            <w:r>
              <w:rPr>
                <w:rFonts w:hint="eastAsia"/>
                <w:color w:val="auto"/>
                <w:kern w:val="0"/>
                <w:sz w:val="24"/>
                <w:highlight w:val="none"/>
                <w:vertAlign w:val="subscript"/>
              </w:rPr>
              <w:t>2</w:t>
            </w:r>
            <w:r>
              <w:rPr>
                <w:rFonts w:hint="eastAsia"/>
                <w:color w:val="auto"/>
                <w:kern w:val="0"/>
                <w:sz w:val="24"/>
                <w:highlight w:val="none"/>
              </w:rPr>
              <w:t>及多孔活性CaO，CaO与SO</w:t>
            </w:r>
            <w:r>
              <w:rPr>
                <w:rFonts w:hint="eastAsia"/>
                <w:color w:val="auto"/>
                <w:kern w:val="0"/>
                <w:sz w:val="24"/>
                <w:highlight w:val="none"/>
                <w:vertAlign w:val="subscript"/>
              </w:rPr>
              <w:t>2</w:t>
            </w:r>
            <w:r>
              <w:rPr>
                <w:rFonts w:hint="eastAsia"/>
                <w:color w:val="auto"/>
                <w:kern w:val="0"/>
                <w:sz w:val="24"/>
                <w:highlight w:val="none"/>
              </w:rPr>
              <w:t>发生反应生成Ca</w:t>
            </w:r>
            <w:r>
              <w:rPr>
                <w:color w:val="auto"/>
                <w:kern w:val="0"/>
                <w:sz w:val="24"/>
                <w:highlight w:val="none"/>
              </w:rPr>
              <w:t>SO</w:t>
            </w:r>
            <w:r>
              <w:rPr>
                <w:color w:val="auto"/>
                <w:kern w:val="0"/>
                <w:sz w:val="24"/>
                <w:highlight w:val="none"/>
                <w:vertAlign w:val="subscript"/>
              </w:rPr>
              <w:t>3</w:t>
            </w:r>
            <w:r>
              <w:rPr>
                <w:rFonts w:hint="eastAsia"/>
                <w:color w:val="auto"/>
                <w:kern w:val="0"/>
                <w:sz w:val="24"/>
                <w:highlight w:val="none"/>
              </w:rPr>
              <w:t>和CaSO</w:t>
            </w:r>
            <w:r>
              <w:rPr>
                <w:rFonts w:hint="eastAsia"/>
                <w:color w:val="auto"/>
                <w:kern w:val="0"/>
                <w:sz w:val="24"/>
                <w:highlight w:val="none"/>
                <w:vertAlign w:val="subscript"/>
              </w:rPr>
              <w:t>4</w:t>
            </w:r>
            <w:r>
              <w:rPr>
                <w:rFonts w:hint="eastAsia"/>
                <w:color w:val="auto"/>
                <w:kern w:val="0"/>
                <w:sz w:val="24"/>
                <w:highlight w:val="none"/>
              </w:rPr>
              <w:t>。</w:t>
            </w:r>
          </w:p>
          <w:p w14:paraId="3CFEEDA5">
            <w:pPr>
              <w:adjustRightInd w:val="0"/>
              <w:snapToGrid w:val="0"/>
              <w:spacing w:line="360" w:lineRule="auto"/>
              <w:ind w:firstLine="480" w:firstLineChars="200"/>
              <w:rPr>
                <w:color w:val="auto"/>
                <w:sz w:val="24"/>
                <w:highlight w:val="none"/>
              </w:rPr>
            </w:pPr>
            <w:r>
              <w:rPr>
                <w:rFonts w:hint="eastAsia"/>
                <w:color w:val="auto"/>
                <w:sz w:val="24"/>
                <w:highlight w:val="none"/>
              </w:rPr>
              <w:t>石灰石干法脱硫受石灰石粒度、Ca/S摩尔比值、反应温度、粒子碰撞等因素的综合影响。通常石灰石粉越细，其脱硫效率越高。本项目采用</w:t>
            </w:r>
            <w:r>
              <w:rPr>
                <w:rFonts w:hint="eastAsia"/>
                <w:color w:val="auto"/>
                <w:sz w:val="24"/>
                <w:highlight w:val="none"/>
                <w:lang w:val="en-US" w:eastAsia="zh-CN"/>
              </w:rPr>
              <w:t>300目</w:t>
            </w:r>
            <w:r>
              <w:rPr>
                <w:rFonts w:hint="eastAsia"/>
                <w:color w:val="auto"/>
                <w:sz w:val="24"/>
                <w:highlight w:val="none"/>
              </w:rPr>
              <w:t>石灰石</w:t>
            </w:r>
            <w:r>
              <w:rPr>
                <w:rFonts w:hint="eastAsia"/>
                <w:color w:val="auto"/>
                <w:sz w:val="24"/>
                <w:highlight w:val="none"/>
                <w:lang w:eastAsia="zh-CN"/>
              </w:rPr>
              <w:t>粉</w:t>
            </w:r>
            <w:r>
              <w:rPr>
                <w:rFonts w:hint="eastAsia"/>
                <w:color w:val="auto"/>
                <w:sz w:val="24"/>
                <w:highlight w:val="none"/>
              </w:rPr>
              <w:t>，大大增加石灰石的转化效率及生成氧化钙的比表面积，使得SO</w:t>
            </w:r>
            <w:r>
              <w:rPr>
                <w:rFonts w:hint="eastAsia"/>
                <w:color w:val="auto"/>
                <w:sz w:val="24"/>
                <w:highlight w:val="none"/>
                <w:vertAlign w:val="subscript"/>
              </w:rPr>
              <w:t>2</w:t>
            </w:r>
            <w:r>
              <w:rPr>
                <w:rFonts w:hint="eastAsia"/>
                <w:color w:val="auto"/>
                <w:sz w:val="24"/>
                <w:highlight w:val="none"/>
              </w:rPr>
              <w:t>与CaO的结合率增大，脱硫效率提高。类比同类超细石灰石粉喷钙脱硫系统实测监测结果，SO</w:t>
            </w:r>
            <w:r>
              <w:rPr>
                <w:rFonts w:hint="eastAsia"/>
                <w:color w:val="auto"/>
                <w:sz w:val="24"/>
                <w:highlight w:val="none"/>
                <w:vertAlign w:val="subscript"/>
              </w:rPr>
              <w:t>2</w:t>
            </w:r>
            <w:r>
              <w:rPr>
                <w:rFonts w:hint="eastAsia"/>
                <w:color w:val="auto"/>
                <w:sz w:val="24"/>
                <w:highlight w:val="none"/>
              </w:rPr>
              <w:t>去除率可达到7</w:t>
            </w:r>
            <w:r>
              <w:rPr>
                <w:color w:val="auto"/>
                <w:sz w:val="24"/>
                <w:highlight w:val="none"/>
              </w:rPr>
              <w:t>5%</w:t>
            </w:r>
            <w:r>
              <w:rPr>
                <w:rFonts w:hint="eastAsia"/>
                <w:color w:val="auto"/>
                <w:sz w:val="24"/>
                <w:highlight w:val="none"/>
              </w:rPr>
              <w:t>。</w:t>
            </w:r>
          </w:p>
          <w:p w14:paraId="2AD966C1">
            <w:pPr>
              <w:adjustRightInd w:val="0"/>
              <w:snapToGrid w:val="0"/>
              <w:spacing w:line="360" w:lineRule="auto"/>
              <w:ind w:firstLine="480" w:firstLineChars="200"/>
              <w:rPr>
                <w:color w:val="auto"/>
                <w:sz w:val="24"/>
                <w:highlight w:val="none"/>
              </w:rPr>
            </w:pPr>
            <w:r>
              <w:rPr>
                <w:rFonts w:hint="eastAsia" w:ascii="宋体" w:hAnsi="宋体"/>
                <w:color w:val="auto"/>
                <w:sz w:val="24"/>
                <w:highlight w:val="none"/>
              </w:rPr>
              <w:t>②</w:t>
            </w:r>
            <w:r>
              <w:rPr>
                <w:rFonts w:hint="eastAsia"/>
                <w:color w:val="auto"/>
                <w:sz w:val="24"/>
                <w:highlight w:val="none"/>
              </w:rPr>
              <w:t>尾部烟气增湿活化脱硫效应</w:t>
            </w:r>
          </w:p>
          <w:p w14:paraId="41B6A2AD">
            <w:pPr>
              <w:adjustRightInd w:val="0"/>
              <w:snapToGrid w:val="0"/>
              <w:spacing w:line="360" w:lineRule="auto"/>
              <w:ind w:firstLine="480" w:firstLineChars="200"/>
              <w:rPr>
                <w:color w:val="auto"/>
                <w:sz w:val="24"/>
                <w:highlight w:val="none"/>
              </w:rPr>
            </w:pPr>
            <w:r>
              <w:rPr>
                <w:rFonts w:hint="eastAsia"/>
                <w:color w:val="auto"/>
                <w:sz w:val="24"/>
                <w:highlight w:val="none"/>
              </w:rPr>
              <w:t>在热风炉炉内喷钙脱硫过程中，石灰石粉分解后产生多孔</w:t>
            </w:r>
            <w:r>
              <w:rPr>
                <w:color w:val="auto"/>
                <w:sz w:val="24"/>
                <w:highlight w:val="none"/>
              </w:rPr>
              <w:t>CaO</w:t>
            </w:r>
            <w:r>
              <w:rPr>
                <w:rFonts w:hint="eastAsia"/>
                <w:color w:val="auto"/>
                <w:sz w:val="24"/>
                <w:highlight w:val="none"/>
              </w:rPr>
              <w:t>与</w:t>
            </w:r>
            <w:r>
              <w:rPr>
                <w:color w:val="auto"/>
                <w:sz w:val="24"/>
                <w:highlight w:val="none"/>
              </w:rPr>
              <w:t>SO</w:t>
            </w:r>
            <w:r>
              <w:rPr>
                <w:color w:val="auto"/>
                <w:sz w:val="24"/>
                <w:highlight w:val="none"/>
                <w:vertAlign w:val="subscript"/>
              </w:rPr>
              <w:t>2</w:t>
            </w:r>
            <w:r>
              <w:rPr>
                <w:rFonts w:hint="eastAsia"/>
                <w:color w:val="auto"/>
                <w:sz w:val="24"/>
                <w:highlight w:val="none"/>
              </w:rPr>
              <w:t>发生反应。随着C</w:t>
            </w:r>
            <w:r>
              <w:rPr>
                <w:color w:val="auto"/>
                <w:sz w:val="24"/>
                <w:highlight w:val="none"/>
              </w:rPr>
              <w:t>aSO</w:t>
            </w:r>
            <w:r>
              <w:rPr>
                <w:color w:val="auto"/>
                <w:sz w:val="24"/>
                <w:highlight w:val="none"/>
                <w:vertAlign w:val="subscript"/>
              </w:rPr>
              <w:t>4</w:t>
            </w:r>
            <w:r>
              <w:rPr>
                <w:rFonts w:hint="eastAsia"/>
                <w:color w:val="auto"/>
                <w:sz w:val="24"/>
                <w:highlight w:val="none"/>
              </w:rPr>
              <w:t>生成，由于摩尔体积增大堵塞空隙</w:t>
            </w:r>
            <w:r>
              <w:rPr>
                <w:color w:val="auto"/>
                <w:sz w:val="24"/>
                <w:highlight w:val="none"/>
              </w:rPr>
              <w:t>，</w:t>
            </w:r>
            <w:r>
              <w:rPr>
                <w:rFonts w:hint="eastAsia"/>
                <w:color w:val="auto"/>
                <w:sz w:val="24"/>
                <w:highlight w:val="none"/>
              </w:rPr>
              <w:t>将导致内部的Ca</w:t>
            </w:r>
            <w:r>
              <w:rPr>
                <w:color w:val="auto"/>
                <w:sz w:val="24"/>
                <w:highlight w:val="none"/>
              </w:rPr>
              <w:t>O</w:t>
            </w:r>
            <w:r>
              <w:rPr>
                <w:rFonts w:hint="eastAsia"/>
                <w:color w:val="auto"/>
                <w:sz w:val="24"/>
                <w:highlight w:val="none"/>
              </w:rPr>
              <w:t>无法与SO</w:t>
            </w:r>
            <w:r>
              <w:rPr>
                <w:rFonts w:hint="eastAsia"/>
                <w:color w:val="auto"/>
                <w:sz w:val="24"/>
                <w:highlight w:val="none"/>
                <w:vertAlign w:val="subscript"/>
              </w:rPr>
              <w:t>2</w:t>
            </w:r>
            <w:r>
              <w:rPr>
                <w:rFonts w:hint="eastAsia"/>
                <w:color w:val="auto"/>
                <w:sz w:val="24"/>
                <w:highlight w:val="none"/>
              </w:rPr>
              <w:t>发生接触。</w:t>
            </w:r>
          </w:p>
          <w:p w14:paraId="2AA31DE8">
            <w:pPr>
              <w:adjustRightInd w:val="0"/>
              <w:snapToGrid w:val="0"/>
              <w:spacing w:line="360" w:lineRule="auto"/>
              <w:ind w:firstLine="480" w:firstLineChars="200"/>
              <w:rPr>
                <w:rFonts w:ascii="MS Gothic" w:hAnsi="MS Gothic" w:cs="MS Gothic"/>
                <w:color w:val="auto"/>
                <w:sz w:val="24"/>
                <w:highlight w:val="none"/>
              </w:rPr>
            </w:pPr>
            <w:r>
              <w:rPr>
                <w:rFonts w:hint="eastAsia"/>
                <w:color w:val="auto"/>
                <w:sz w:val="24"/>
                <w:highlight w:val="none"/>
              </w:rPr>
              <w:t>在进入烘干系统后，褐煤受热蒸发将产生大量水蒸气进入烟气中。水能渗透烟气飞灰中Ca</w:t>
            </w:r>
            <w:r>
              <w:rPr>
                <w:color w:val="auto"/>
                <w:sz w:val="24"/>
                <w:highlight w:val="none"/>
              </w:rPr>
              <w:t>O</w:t>
            </w:r>
            <w:r>
              <w:rPr>
                <w:rFonts w:hint="eastAsia"/>
                <w:color w:val="auto"/>
                <w:sz w:val="24"/>
                <w:highlight w:val="none"/>
              </w:rPr>
              <w:t>颗粒外包裹的硫酸盐化外壳，并与内部的氧化钙反应生成氢氧化钙。</w:t>
            </w:r>
            <w:r>
              <w:rPr>
                <w:rFonts w:hint="eastAsia" w:ascii="宋体" w:hAnsi="宋体" w:cs="宋体"/>
                <w:color w:val="auto"/>
                <w:sz w:val="24"/>
                <w:highlight w:val="none"/>
              </w:rPr>
              <w:t>由于氢氧化钙的摩尔容积</w:t>
            </w:r>
            <w:r>
              <w:rPr>
                <w:color w:val="auto"/>
                <w:sz w:val="24"/>
                <w:highlight w:val="none"/>
              </w:rPr>
              <w:t>（33.1cm</w:t>
            </w:r>
            <w:r>
              <w:rPr>
                <w:color w:val="auto"/>
                <w:sz w:val="24"/>
                <w:highlight w:val="none"/>
                <w:vertAlign w:val="superscript"/>
              </w:rPr>
              <w:t>3</w:t>
            </w:r>
            <w:r>
              <w:rPr>
                <w:color w:val="auto"/>
                <w:sz w:val="24"/>
                <w:highlight w:val="none"/>
              </w:rPr>
              <w:t>/mol）</w:t>
            </w:r>
            <w:r>
              <w:rPr>
                <w:rFonts w:hint="eastAsia"/>
                <w:color w:val="auto"/>
                <w:sz w:val="24"/>
                <w:highlight w:val="none"/>
              </w:rPr>
              <w:t>比氧化钙的摩尔容积</w:t>
            </w:r>
            <w:r>
              <w:rPr>
                <w:color w:val="auto"/>
                <w:sz w:val="24"/>
                <w:highlight w:val="none"/>
              </w:rPr>
              <w:t>（16.9cm</w:t>
            </w:r>
            <w:r>
              <w:rPr>
                <w:color w:val="auto"/>
                <w:sz w:val="24"/>
                <w:highlight w:val="none"/>
                <w:vertAlign w:val="superscript"/>
              </w:rPr>
              <w:t>3</w:t>
            </w:r>
            <w:r>
              <w:rPr>
                <w:color w:val="auto"/>
                <w:sz w:val="24"/>
                <w:highlight w:val="none"/>
              </w:rPr>
              <w:t>/mol）</w:t>
            </w:r>
            <w:r>
              <w:rPr>
                <w:rFonts w:hint="eastAsia"/>
                <w:color w:val="auto"/>
                <w:sz w:val="24"/>
                <w:highlight w:val="none"/>
              </w:rPr>
              <w:t>大</w:t>
            </w:r>
            <w:r>
              <w:rPr>
                <w:color w:val="auto"/>
                <w:sz w:val="24"/>
                <w:highlight w:val="none"/>
              </w:rPr>
              <w:t>，</w:t>
            </w:r>
            <w:r>
              <w:rPr>
                <w:rFonts w:hint="eastAsia"/>
                <w:color w:val="auto"/>
                <w:sz w:val="24"/>
                <w:highlight w:val="none"/>
              </w:rPr>
              <w:t>它发生膨胀使部分硫酸盐化外壳破裂</w:t>
            </w:r>
            <w:r>
              <w:rPr>
                <w:color w:val="auto"/>
                <w:sz w:val="24"/>
                <w:highlight w:val="none"/>
              </w:rPr>
              <w:t>，</w:t>
            </w:r>
            <w:r>
              <w:rPr>
                <w:rFonts w:hint="eastAsia"/>
                <w:color w:val="auto"/>
                <w:sz w:val="24"/>
                <w:highlight w:val="none"/>
              </w:rPr>
              <w:t>从而能与烟气中的</w:t>
            </w:r>
            <w:r>
              <w:rPr>
                <w:color w:val="auto"/>
                <w:sz w:val="24"/>
                <w:highlight w:val="none"/>
              </w:rPr>
              <w:t>SO</w:t>
            </w:r>
            <w:r>
              <w:rPr>
                <w:color w:val="auto"/>
                <w:sz w:val="24"/>
                <w:highlight w:val="none"/>
                <w:vertAlign w:val="subscript"/>
              </w:rPr>
              <w:t>2</w:t>
            </w:r>
            <w:r>
              <w:rPr>
                <w:rFonts w:hint="eastAsia"/>
                <w:color w:val="auto"/>
                <w:sz w:val="24"/>
                <w:highlight w:val="none"/>
              </w:rPr>
              <w:t>形成接触进一步脱硫</w:t>
            </w:r>
            <w:r>
              <w:rPr>
                <w:color w:val="auto"/>
                <w:sz w:val="24"/>
                <w:highlight w:val="none"/>
              </w:rPr>
              <w:t>；</w:t>
            </w:r>
            <w:r>
              <w:rPr>
                <w:rFonts w:hint="eastAsia"/>
                <w:color w:val="auto"/>
                <w:sz w:val="24"/>
                <w:highlight w:val="none"/>
              </w:rPr>
              <w:t>同时水在</w:t>
            </w:r>
            <w:r>
              <w:rPr>
                <w:color w:val="auto"/>
                <w:sz w:val="24"/>
                <w:highlight w:val="none"/>
              </w:rPr>
              <w:t>Ca(OH)</w:t>
            </w:r>
            <w:r>
              <w:rPr>
                <w:color w:val="auto"/>
                <w:sz w:val="24"/>
                <w:highlight w:val="none"/>
                <w:vertAlign w:val="subscript"/>
              </w:rPr>
              <w:t>2</w:t>
            </w:r>
            <w:r>
              <w:rPr>
                <w:rFonts w:hint="eastAsia"/>
                <w:color w:val="auto"/>
                <w:sz w:val="24"/>
                <w:highlight w:val="none"/>
              </w:rPr>
              <w:t>颗粒表面形成一层液膜</w:t>
            </w:r>
            <w:r>
              <w:rPr>
                <w:color w:val="auto"/>
                <w:sz w:val="24"/>
                <w:highlight w:val="none"/>
              </w:rPr>
              <w:t>，</w:t>
            </w:r>
            <w:r>
              <w:rPr>
                <w:rFonts w:hint="eastAsia"/>
                <w:color w:val="auto"/>
                <w:sz w:val="24"/>
                <w:highlight w:val="none"/>
              </w:rPr>
              <w:t>使脱硫反应从气固反应转变为液膜中的离子反应</w:t>
            </w:r>
            <w:r>
              <w:rPr>
                <w:color w:val="auto"/>
                <w:sz w:val="24"/>
                <w:highlight w:val="none"/>
              </w:rPr>
              <w:t>，</w:t>
            </w:r>
            <w:r>
              <w:rPr>
                <w:rFonts w:hint="eastAsia"/>
                <w:color w:val="auto"/>
                <w:sz w:val="24"/>
                <w:highlight w:val="none"/>
              </w:rPr>
              <w:t>大大加快了反应的进行</w:t>
            </w:r>
            <w:r>
              <w:rPr>
                <w:rFonts w:ascii="MS Gothic" w:hAnsi="MS Gothic" w:cs="MS Gothic"/>
                <w:color w:val="auto"/>
                <w:sz w:val="24"/>
                <w:highlight w:val="none"/>
              </w:rPr>
              <w:t>｡</w:t>
            </w:r>
          </w:p>
          <w:p w14:paraId="0A5540E6">
            <w:pPr>
              <w:adjustRightInd w:val="0"/>
              <w:snapToGrid w:val="0"/>
              <w:spacing w:line="360" w:lineRule="auto"/>
              <w:ind w:firstLine="480" w:firstLineChars="200"/>
              <w:rPr>
                <w:rFonts w:ascii="MS Gothic" w:hAnsi="MS Gothic" w:cs="MS Gothic"/>
                <w:color w:val="auto"/>
                <w:sz w:val="24"/>
                <w:highlight w:val="none"/>
              </w:rPr>
            </w:pPr>
            <w:r>
              <w:rPr>
                <w:rFonts w:hint="eastAsia" w:ascii="MS Gothic" w:hAnsi="MS Gothic" w:cs="MS Gothic"/>
                <w:color w:val="auto"/>
                <w:sz w:val="24"/>
                <w:highlight w:val="none"/>
              </w:rPr>
              <w:t>其反应原理如下：</w:t>
            </w:r>
          </w:p>
          <w:p w14:paraId="7DF56A84">
            <w:pPr>
              <w:adjustRightInd w:val="0"/>
              <w:snapToGrid w:val="0"/>
              <w:spacing w:line="360" w:lineRule="auto"/>
              <w:ind w:firstLine="480" w:firstLineChars="200"/>
              <w:jc w:val="center"/>
              <w:rPr>
                <w:color w:val="auto"/>
                <w:sz w:val="24"/>
                <w:highlight w:val="none"/>
              </w:rPr>
            </w:pPr>
            <m:oMathPara>
              <m:oMath>
                <m:r>
                  <m:rPr/>
                  <w:rPr>
                    <w:rFonts w:hint="eastAsia" w:ascii="Cambria Math" w:hAnsi="Cambria Math"/>
                    <w:color w:val="auto"/>
                    <w:sz w:val="24"/>
                    <w:highlight w:val="none"/>
                  </w:rPr>
                  <m:t>Ca</m:t>
                </m:r>
                <m:r>
                  <m:rPr/>
                  <w:rPr>
                    <w:rFonts w:ascii="Cambria Math" w:hAnsi="Cambria Math"/>
                    <w:color w:val="auto"/>
                    <w:sz w:val="24"/>
                    <w:highlight w:val="none"/>
                  </w:rPr>
                  <m:t>O</m:t>
                </m:r>
                <m:box>
                  <m:boxPr>
                    <m:opEmu m:val="1"/>
                    <m:ctrlPr>
                      <w:rPr>
                        <w:rFonts w:ascii="Cambria Math" w:hAnsi="Cambria Math"/>
                        <w:i/>
                        <w:color w:val="auto"/>
                        <w:sz w:val="24"/>
                        <w:highlight w:val="none"/>
                      </w:rPr>
                    </m:ctrlPr>
                  </m:boxPr>
                  <m:e>
                    <m:r>
                      <m:rPr/>
                      <w:rPr>
                        <w:rFonts w:ascii="Cambria Math" w:hAnsi="Cambria Math"/>
                        <w:color w:val="auto"/>
                        <w:sz w:val="24"/>
                        <w:highlight w:val="none"/>
                      </w:rPr>
                      <m:t xml:space="preserve">+ </m:t>
                    </m:r>
                    <m:sSub>
                      <m:sSubPr>
                        <m:ctrlPr>
                          <w:rPr>
                            <w:rFonts w:ascii="Cambria Math" w:hAnsi="Cambria Math"/>
                            <w:color w:val="auto"/>
                            <w:sz w:val="24"/>
                            <w:highlight w:val="none"/>
                          </w:rPr>
                        </m:ctrlPr>
                      </m:sSubPr>
                      <m:e>
                        <m:r>
                          <m:rPr/>
                          <w:rPr>
                            <w:rFonts w:ascii="Cambria Math" w:hAnsi="Cambria Math"/>
                            <w:color w:val="auto"/>
                            <w:sz w:val="24"/>
                            <w:highlight w:val="none"/>
                          </w:rPr>
                          <m:t>H</m:t>
                        </m:r>
                        <m:ctrlPr>
                          <w:rPr>
                            <w:rFonts w:ascii="Cambria Math" w:hAnsi="Cambria Math"/>
                            <w:color w:val="auto"/>
                            <w:sz w:val="24"/>
                            <w:highlight w:val="none"/>
                          </w:rPr>
                        </m:ctrlPr>
                      </m:e>
                      <m:sub>
                        <m:r>
                          <m:rPr/>
                          <w:rPr>
                            <w:rFonts w:ascii="Cambria Math" w:hAnsi="Cambria Math"/>
                            <w:color w:val="auto"/>
                            <w:sz w:val="24"/>
                            <w:highlight w:val="none"/>
                          </w:rPr>
                          <m:t>2</m:t>
                        </m:r>
                        <m:ctrlPr>
                          <w:rPr>
                            <w:rFonts w:ascii="Cambria Math" w:hAnsi="Cambria Math"/>
                            <w:color w:val="auto"/>
                            <w:sz w:val="24"/>
                            <w:highlight w:val="none"/>
                          </w:rPr>
                        </m:ctrlPr>
                      </m:sub>
                    </m:sSub>
                    <m:r>
                      <m:rPr/>
                      <w:rPr>
                        <w:rFonts w:ascii="Cambria Math" w:hAnsi="Cambria Math"/>
                        <w:color w:val="auto"/>
                        <w:sz w:val="24"/>
                        <w:highlight w:val="none"/>
                      </w:rPr>
                      <m:t>O</m:t>
                    </m:r>
                    <m:groupChr>
                      <m:groupChrPr>
                        <m:chr m:val="→"/>
                        <m:vertJc m:val="bot"/>
                        <m:ctrlPr>
                          <w:rPr>
                            <w:rFonts w:ascii="Cambria Math" w:hAnsi="Cambria Math"/>
                            <w:i/>
                            <w:color w:val="auto"/>
                            <w:sz w:val="24"/>
                            <w:highlight w:val="none"/>
                          </w:rPr>
                        </m:ctrlPr>
                      </m:groupChrPr>
                      <m:e>
                        <m:r>
                          <m:rPr/>
                          <w:rPr>
                            <w:rFonts w:ascii="Cambria Math" w:hAnsi="Cambria Math"/>
                            <w:color w:val="auto"/>
                            <w:sz w:val="24"/>
                            <w:highlight w:val="none"/>
                          </w:rPr>
                          <m:t xml:space="preserve">             </m:t>
                        </m:r>
                        <m:ctrlPr>
                          <w:rPr>
                            <w:rFonts w:ascii="Cambria Math" w:hAnsi="Cambria Math"/>
                            <w:i/>
                            <w:color w:val="auto"/>
                            <w:sz w:val="24"/>
                            <w:highlight w:val="none"/>
                          </w:rPr>
                        </m:ctrlPr>
                      </m:e>
                    </m:groupChr>
                    <m:ctrlPr>
                      <w:rPr>
                        <w:rFonts w:ascii="Cambria Math" w:hAnsi="Cambria Math"/>
                        <w:i/>
                        <w:color w:val="auto"/>
                        <w:sz w:val="24"/>
                        <w:highlight w:val="none"/>
                      </w:rPr>
                    </m:ctrlPr>
                  </m:e>
                </m:box>
                <m:sSub>
                  <m:sSubPr>
                    <m:ctrlPr>
                      <w:rPr>
                        <w:rFonts w:ascii="Cambria Math" w:hAnsi="Cambria Math"/>
                        <w:i/>
                        <w:color w:val="auto"/>
                        <w:sz w:val="24"/>
                        <w:highlight w:val="none"/>
                      </w:rPr>
                    </m:ctrlPr>
                  </m:sSubPr>
                  <m:e>
                    <m:r>
                      <m:rPr/>
                      <w:rPr>
                        <w:rFonts w:ascii="Cambria Math" w:hAnsi="Cambria Math"/>
                        <w:color w:val="auto"/>
                        <w:sz w:val="24"/>
                        <w:highlight w:val="none"/>
                      </w:rPr>
                      <m:t>Ca(OH)</m:t>
                    </m:r>
                    <m:ctrlPr>
                      <w:rPr>
                        <w:rFonts w:ascii="Cambria Math" w:hAnsi="Cambria Math"/>
                        <w:i/>
                        <w:color w:val="auto"/>
                        <w:sz w:val="24"/>
                        <w:highlight w:val="none"/>
                      </w:rPr>
                    </m:ctrlPr>
                  </m:e>
                  <m:sub>
                    <m:r>
                      <m:rPr/>
                      <w:rPr>
                        <w:rFonts w:ascii="Cambria Math" w:hAnsi="Cambria Math"/>
                        <w:color w:val="auto"/>
                        <w:sz w:val="24"/>
                        <w:highlight w:val="none"/>
                      </w:rPr>
                      <m:t>2</m:t>
                    </m:r>
                    <m:ctrlPr>
                      <w:rPr>
                        <w:rFonts w:ascii="Cambria Math" w:hAnsi="Cambria Math"/>
                        <w:i/>
                        <w:color w:val="auto"/>
                        <w:sz w:val="24"/>
                        <w:highlight w:val="none"/>
                      </w:rPr>
                    </m:ctrlPr>
                  </m:sub>
                </m:sSub>
              </m:oMath>
            </m:oMathPara>
          </w:p>
          <w:p w14:paraId="53FB9EC9">
            <w:pPr>
              <w:adjustRightInd w:val="0"/>
              <w:snapToGrid w:val="0"/>
              <w:spacing w:line="360" w:lineRule="auto"/>
              <w:ind w:firstLine="480" w:firstLineChars="200"/>
              <w:jc w:val="center"/>
              <w:rPr>
                <w:color w:val="auto"/>
                <w:sz w:val="24"/>
                <w:highlight w:val="none"/>
              </w:rPr>
            </w:pPr>
            <m:oMathPara>
              <m:oMath>
                <m:sSub>
                  <m:sSubPr>
                    <m:ctrlPr>
                      <w:rPr>
                        <w:rFonts w:ascii="Cambria Math" w:hAnsi="Cambria Math"/>
                        <w:color w:val="auto"/>
                        <w:sz w:val="24"/>
                        <w:highlight w:val="none"/>
                      </w:rPr>
                    </m:ctrlPr>
                  </m:sSubPr>
                  <m:e>
                    <m:r>
                      <m:rPr/>
                      <w:rPr>
                        <w:rFonts w:hint="eastAsia" w:ascii="Cambria Math" w:hAnsi="Cambria Math"/>
                        <w:color w:val="auto"/>
                        <w:sz w:val="24"/>
                        <w:highlight w:val="none"/>
                      </w:rPr>
                      <m:t>SO</m:t>
                    </m:r>
                    <m:ctrlPr>
                      <w:rPr>
                        <w:rFonts w:ascii="Cambria Math" w:hAnsi="Cambria Math"/>
                        <w:color w:val="auto"/>
                        <w:sz w:val="24"/>
                        <w:highlight w:val="none"/>
                      </w:rPr>
                    </m:ctrlPr>
                  </m:e>
                  <m:sub>
                    <m:r>
                      <m:rPr/>
                      <w:rPr>
                        <w:rFonts w:ascii="Cambria Math" w:hAnsi="Cambria Math"/>
                        <w:color w:val="auto"/>
                        <w:sz w:val="24"/>
                        <w:highlight w:val="none"/>
                      </w:rPr>
                      <m:t>2</m:t>
                    </m:r>
                    <m:ctrlPr>
                      <w:rPr>
                        <w:rFonts w:ascii="Cambria Math" w:hAnsi="Cambria Math"/>
                        <w:color w:val="auto"/>
                        <w:sz w:val="24"/>
                        <w:highlight w:val="none"/>
                      </w:rPr>
                    </m:ctrlPr>
                  </m:sub>
                </m:sSub>
                <m:r>
                  <m:rPr/>
                  <w:rPr>
                    <w:rFonts w:ascii="Cambria Math" w:hAnsi="Cambria Math"/>
                    <w:color w:val="auto"/>
                    <w:sz w:val="24"/>
                    <w:highlight w:val="none"/>
                  </w:rPr>
                  <m:t>+</m:t>
                </m:r>
                <m:sSub>
                  <m:sSubPr>
                    <m:ctrlPr>
                      <w:rPr>
                        <w:rFonts w:ascii="Cambria Math" w:hAnsi="Cambria Math"/>
                        <w:color w:val="auto"/>
                        <w:sz w:val="24"/>
                        <w:highlight w:val="none"/>
                      </w:rPr>
                    </m:ctrlPr>
                  </m:sSubPr>
                  <m:e>
                    <m:r>
                      <m:rPr/>
                      <w:rPr>
                        <w:rFonts w:ascii="Cambria Math" w:hAnsi="Cambria Math"/>
                        <w:color w:val="auto"/>
                        <w:sz w:val="24"/>
                        <w:highlight w:val="none"/>
                      </w:rPr>
                      <m:t>H</m:t>
                    </m:r>
                    <m:ctrlPr>
                      <w:rPr>
                        <w:rFonts w:ascii="Cambria Math" w:hAnsi="Cambria Math"/>
                        <w:color w:val="auto"/>
                        <w:sz w:val="24"/>
                        <w:highlight w:val="none"/>
                      </w:rPr>
                    </m:ctrlPr>
                  </m:e>
                  <m:sub>
                    <m:r>
                      <m:rPr/>
                      <w:rPr>
                        <w:rFonts w:ascii="Cambria Math" w:hAnsi="Cambria Math"/>
                        <w:color w:val="auto"/>
                        <w:sz w:val="24"/>
                        <w:highlight w:val="none"/>
                      </w:rPr>
                      <m:t>2</m:t>
                    </m:r>
                    <m:ctrlPr>
                      <w:rPr>
                        <w:rFonts w:ascii="Cambria Math" w:hAnsi="Cambria Math"/>
                        <w:color w:val="auto"/>
                        <w:sz w:val="24"/>
                        <w:highlight w:val="none"/>
                      </w:rPr>
                    </m:ctrlPr>
                  </m:sub>
                </m:sSub>
                <m:r>
                  <m:rPr/>
                  <w:rPr>
                    <w:rFonts w:ascii="Cambria Math" w:hAnsi="Cambria Math"/>
                    <w:color w:val="auto"/>
                    <w:sz w:val="24"/>
                    <w:highlight w:val="none"/>
                  </w:rPr>
                  <m:t>O</m:t>
                </m:r>
                <m:box>
                  <m:boxPr>
                    <m:opEmu m:val="1"/>
                    <m:ctrlPr>
                      <w:rPr>
                        <w:rFonts w:ascii="Cambria Math" w:hAnsi="Cambria Math"/>
                        <w:i/>
                        <w:color w:val="auto"/>
                        <w:sz w:val="24"/>
                        <w:highlight w:val="none"/>
                      </w:rPr>
                    </m:ctrlPr>
                  </m:boxPr>
                  <m:e>
                    <m:groupChr>
                      <m:groupChrPr>
                        <m:chr m:val="→"/>
                        <m:vertJc m:val="bot"/>
                        <m:ctrlPr>
                          <w:rPr>
                            <w:rFonts w:ascii="Cambria Math" w:hAnsi="Cambria Math"/>
                            <w:i/>
                            <w:color w:val="auto"/>
                            <w:sz w:val="24"/>
                            <w:highlight w:val="none"/>
                          </w:rPr>
                        </m:ctrlPr>
                      </m:groupChrPr>
                      <m:e>
                        <m:r>
                          <m:rPr/>
                          <w:rPr>
                            <w:rFonts w:ascii="Cambria Math" w:hAnsi="Cambria Math"/>
                            <w:color w:val="auto"/>
                            <w:sz w:val="24"/>
                            <w:highlight w:val="none"/>
                          </w:rPr>
                          <m:t xml:space="preserve">             </m:t>
                        </m:r>
                        <m:ctrlPr>
                          <w:rPr>
                            <w:rFonts w:ascii="Cambria Math" w:hAnsi="Cambria Math"/>
                            <w:i/>
                            <w:color w:val="auto"/>
                            <w:sz w:val="24"/>
                            <w:highlight w:val="none"/>
                          </w:rPr>
                        </m:ctrlPr>
                      </m:e>
                    </m:groupChr>
                    <m:ctrlPr>
                      <w:rPr>
                        <w:rFonts w:ascii="Cambria Math" w:hAnsi="Cambria Math"/>
                        <w:i/>
                        <w:color w:val="auto"/>
                        <w:sz w:val="24"/>
                        <w:highlight w:val="none"/>
                      </w:rPr>
                    </m:ctrlPr>
                  </m:e>
                </m:box>
                <m:sSub>
                  <m:sSubPr>
                    <m:ctrlPr>
                      <w:rPr>
                        <w:rFonts w:ascii="Cambria Math" w:hAnsi="Cambria Math"/>
                        <w:i/>
                        <w:color w:val="auto"/>
                        <w:sz w:val="24"/>
                        <w:highlight w:val="none"/>
                      </w:rPr>
                    </m:ctrlPr>
                  </m:sSubPr>
                  <m:e>
                    <m:sSub>
                      <m:sSubPr>
                        <m:ctrlPr>
                          <w:rPr>
                            <w:rFonts w:ascii="Cambria Math" w:hAnsi="Cambria Math"/>
                            <w:i/>
                            <w:color w:val="auto"/>
                            <w:sz w:val="24"/>
                            <w:highlight w:val="none"/>
                          </w:rPr>
                        </m:ctrlPr>
                      </m:sSubPr>
                      <m:e>
                        <m:r>
                          <m:rPr/>
                          <w:rPr>
                            <w:rFonts w:ascii="Cambria Math" w:hAnsi="Cambria Math"/>
                            <w:color w:val="auto"/>
                            <w:sz w:val="24"/>
                            <w:highlight w:val="none"/>
                          </w:rPr>
                          <m:t>H</m:t>
                        </m:r>
                        <m:ctrlPr>
                          <w:rPr>
                            <w:rFonts w:ascii="Cambria Math" w:hAnsi="Cambria Math"/>
                            <w:i/>
                            <w:color w:val="auto"/>
                            <w:sz w:val="24"/>
                            <w:highlight w:val="none"/>
                          </w:rPr>
                        </m:ctrlPr>
                      </m:e>
                      <m:sub>
                        <m:r>
                          <m:rPr/>
                          <w:rPr>
                            <w:rFonts w:ascii="Cambria Math" w:hAnsi="Cambria Math"/>
                            <w:color w:val="auto"/>
                            <w:sz w:val="24"/>
                            <w:highlight w:val="none"/>
                          </w:rPr>
                          <m:t>2</m:t>
                        </m:r>
                        <m:ctrlPr>
                          <w:rPr>
                            <w:rFonts w:ascii="Cambria Math" w:hAnsi="Cambria Math"/>
                            <w:i/>
                            <w:color w:val="auto"/>
                            <w:sz w:val="24"/>
                            <w:highlight w:val="none"/>
                          </w:rPr>
                        </m:ctrlPr>
                      </m:sub>
                    </m:sSub>
                    <m:r>
                      <m:rPr/>
                      <w:rPr>
                        <w:rFonts w:ascii="Cambria Math" w:hAnsi="Cambria Math"/>
                        <w:color w:val="auto"/>
                        <w:sz w:val="24"/>
                        <w:highlight w:val="none"/>
                      </w:rPr>
                      <m:t>SO</m:t>
                    </m:r>
                    <m:ctrlPr>
                      <w:rPr>
                        <w:rFonts w:ascii="Cambria Math" w:hAnsi="Cambria Math"/>
                        <w:i/>
                        <w:color w:val="auto"/>
                        <w:sz w:val="24"/>
                        <w:highlight w:val="none"/>
                      </w:rPr>
                    </m:ctrlPr>
                  </m:e>
                  <m:sub>
                    <m:r>
                      <m:rPr/>
                      <w:rPr>
                        <w:rFonts w:ascii="Cambria Math" w:hAnsi="Cambria Math"/>
                        <w:color w:val="auto"/>
                        <w:sz w:val="24"/>
                        <w:highlight w:val="none"/>
                      </w:rPr>
                      <m:t>3</m:t>
                    </m:r>
                    <m:ctrlPr>
                      <w:rPr>
                        <w:rFonts w:ascii="Cambria Math" w:hAnsi="Cambria Math"/>
                        <w:i/>
                        <w:color w:val="auto"/>
                        <w:sz w:val="24"/>
                        <w:highlight w:val="none"/>
                      </w:rPr>
                    </m:ctrlPr>
                  </m:sub>
                </m:sSub>
              </m:oMath>
            </m:oMathPara>
          </w:p>
          <w:p w14:paraId="43801FF0">
            <w:pPr>
              <w:adjustRightInd w:val="0"/>
              <w:snapToGrid w:val="0"/>
              <w:spacing w:line="360" w:lineRule="auto"/>
              <w:ind w:firstLine="480" w:firstLineChars="200"/>
              <w:jc w:val="center"/>
              <w:rPr>
                <w:color w:val="auto"/>
                <w:sz w:val="24"/>
                <w:highlight w:val="none"/>
              </w:rPr>
            </w:pPr>
            <m:oMathPara>
              <m:oMath>
                <m:sSub>
                  <m:sSubPr>
                    <m:ctrlPr>
                      <w:rPr>
                        <w:rFonts w:ascii="Cambria Math" w:hAnsi="Cambria Math"/>
                        <w:i/>
                        <w:color w:val="auto"/>
                        <w:sz w:val="24"/>
                        <w:highlight w:val="none"/>
                      </w:rPr>
                    </m:ctrlPr>
                  </m:sSubPr>
                  <m:e>
                    <m:r>
                      <m:rPr/>
                      <w:rPr>
                        <w:rFonts w:ascii="Cambria Math" w:hAnsi="Cambria Math"/>
                        <w:color w:val="auto"/>
                        <w:sz w:val="24"/>
                        <w:highlight w:val="none"/>
                      </w:rPr>
                      <m:t>Ca(OH)</m:t>
                    </m:r>
                    <m:ctrlPr>
                      <w:rPr>
                        <w:rFonts w:ascii="Cambria Math" w:hAnsi="Cambria Math"/>
                        <w:i/>
                        <w:color w:val="auto"/>
                        <w:sz w:val="24"/>
                        <w:highlight w:val="none"/>
                      </w:rPr>
                    </m:ctrlPr>
                  </m:e>
                  <m:sub>
                    <m:r>
                      <m:rPr/>
                      <w:rPr>
                        <w:rFonts w:ascii="Cambria Math" w:hAnsi="Cambria Math"/>
                        <w:color w:val="auto"/>
                        <w:sz w:val="24"/>
                        <w:highlight w:val="none"/>
                      </w:rPr>
                      <m:t>2</m:t>
                    </m:r>
                    <m:ctrlPr>
                      <w:rPr>
                        <w:rFonts w:ascii="Cambria Math" w:hAnsi="Cambria Math"/>
                        <w:i/>
                        <w:color w:val="auto"/>
                        <w:sz w:val="24"/>
                        <w:highlight w:val="none"/>
                      </w:rPr>
                    </m:ctrlPr>
                  </m:sub>
                </m:sSub>
                <m:box>
                  <m:boxPr>
                    <m:opEmu m:val="1"/>
                    <m:ctrlPr>
                      <w:rPr>
                        <w:rFonts w:ascii="Cambria Math" w:hAnsi="Cambria Math"/>
                        <w:i/>
                        <w:color w:val="auto"/>
                        <w:sz w:val="24"/>
                        <w:highlight w:val="none"/>
                      </w:rPr>
                    </m:ctrlPr>
                  </m:boxPr>
                  <m:e>
                    <m:r>
                      <m:rPr/>
                      <w:rPr>
                        <w:rFonts w:ascii="Cambria Math" w:hAnsi="Cambria Math"/>
                        <w:color w:val="auto"/>
                        <w:sz w:val="24"/>
                        <w:highlight w:val="none"/>
                      </w:rPr>
                      <m:t xml:space="preserve">+ </m:t>
                    </m:r>
                    <m:sSub>
                      <m:sSubPr>
                        <m:ctrlPr>
                          <w:rPr>
                            <w:rFonts w:ascii="Cambria Math" w:hAnsi="Cambria Math"/>
                            <w:i/>
                            <w:color w:val="auto"/>
                            <w:sz w:val="24"/>
                            <w:highlight w:val="none"/>
                          </w:rPr>
                        </m:ctrlPr>
                      </m:sSubPr>
                      <m:e>
                        <m:sSub>
                          <m:sSubPr>
                            <m:ctrlPr>
                              <w:rPr>
                                <w:rFonts w:ascii="Cambria Math" w:hAnsi="Cambria Math"/>
                                <w:i/>
                                <w:color w:val="auto"/>
                                <w:sz w:val="24"/>
                                <w:highlight w:val="none"/>
                              </w:rPr>
                            </m:ctrlPr>
                          </m:sSubPr>
                          <m:e>
                            <m:r>
                              <m:rPr/>
                              <w:rPr>
                                <w:rFonts w:ascii="Cambria Math" w:hAnsi="Cambria Math"/>
                                <w:color w:val="auto"/>
                                <w:sz w:val="24"/>
                                <w:highlight w:val="none"/>
                              </w:rPr>
                              <m:t>H</m:t>
                            </m:r>
                            <m:ctrlPr>
                              <w:rPr>
                                <w:rFonts w:ascii="Cambria Math" w:hAnsi="Cambria Math"/>
                                <w:i/>
                                <w:color w:val="auto"/>
                                <w:sz w:val="24"/>
                                <w:highlight w:val="none"/>
                              </w:rPr>
                            </m:ctrlPr>
                          </m:e>
                          <m:sub>
                            <m:r>
                              <m:rPr/>
                              <w:rPr>
                                <w:rFonts w:ascii="Cambria Math" w:hAnsi="Cambria Math"/>
                                <w:color w:val="auto"/>
                                <w:sz w:val="24"/>
                                <w:highlight w:val="none"/>
                              </w:rPr>
                              <m:t>2</m:t>
                            </m:r>
                            <m:ctrlPr>
                              <w:rPr>
                                <w:rFonts w:ascii="Cambria Math" w:hAnsi="Cambria Math"/>
                                <w:i/>
                                <w:color w:val="auto"/>
                                <w:sz w:val="24"/>
                                <w:highlight w:val="none"/>
                              </w:rPr>
                            </m:ctrlPr>
                          </m:sub>
                        </m:sSub>
                        <m:r>
                          <m:rPr/>
                          <w:rPr>
                            <w:rFonts w:ascii="Cambria Math" w:hAnsi="Cambria Math"/>
                            <w:color w:val="auto"/>
                            <w:sz w:val="24"/>
                            <w:highlight w:val="none"/>
                          </w:rPr>
                          <m:t>SO</m:t>
                        </m:r>
                        <m:ctrlPr>
                          <w:rPr>
                            <w:rFonts w:ascii="Cambria Math" w:hAnsi="Cambria Math"/>
                            <w:i/>
                            <w:color w:val="auto"/>
                            <w:sz w:val="24"/>
                            <w:highlight w:val="none"/>
                          </w:rPr>
                        </m:ctrlPr>
                      </m:e>
                      <m:sub>
                        <m:r>
                          <m:rPr/>
                          <w:rPr>
                            <w:rFonts w:ascii="Cambria Math" w:hAnsi="Cambria Math"/>
                            <w:color w:val="auto"/>
                            <w:sz w:val="24"/>
                            <w:highlight w:val="none"/>
                          </w:rPr>
                          <m:t>3</m:t>
                        </m:r>
                        <m:ctrlPr>
                          <w:rPr>
                            <w:rFonts w:ascii="Cambria Math" w:hAnsi="Cambria Math"/>
                            <w:i/>
                            <w:color w:val="auto"/>
                            <w:sz w:val="24"/>
                            <w:highlight w:val="none"/>
                          </w:rPr>
                        </m:ctrlPr>
                      </m:sub>
                    </m:sSub>
                    <m:groupChr>
                      <m:groupChrPr>
                        <m:chr m:val="→"/>
                        <m:vertJc m:val="bot"/>
                        <m:ctrlPr>
                          <w:rPr>
                            <w:rFonts w:ascii="Cambria Math" w:hAnsi="Cambria Math"/>
                            <w:i/>
                            <w:color w:val="auto"/>
                            <w:sz w:val="24"/>
                            <w:highlight w:val="none"/>
                          </w:rPr>
                        </m:ctrlPr>
                      </m:groupChrPr>
                      <m:e>
                        <m:r>
                          <m:rPr/>
                          <w:rPr>
                            <w:rFonts w:ascii="Cambria Math" w:hAnsi="Cambria Math"/>
                            <w:color w:val="auto"/>
                            <w:sz w:val="24"/>
                            <w:highlight w:val="none"/>
                          </w:rPr>
                          <m:t xml:space="preserve">             </m:t>
                        </m:r>
                        <m:ctrlPr>
                          <w:rPr>
                            <w:rFonts w:ascii="Cambria Math" w:hAnsi="Cambria Math"/>
                            <w:i/>
                            <w:color w:val="auto"/>
                            <w:sz w:val="24"/>
                            <w:highlight w:val="none"/>
                          </w:rPr>
                        </m:ctrlPr>
                      </m:e>
                    </m:groupChr>
                    <m:ctrlPr>
                      <w:rPr>
                        <w:rFonts w:ascii="Cambria Math" w:hAnsi="Cambria Math"/>
                        <w:i/>
                        <w:color w:val="auto"/>
                        <w:sz w:val="24"/>
                        <w:highlight w:val="none"/>
                      </w:rPr>
                    </m:ctrlPr>
                  </m:e>
                </m:box>
                <m:sSub>
                  <m:sSubPr>
                    <m:ctrlPr>
                      <w:rPr>
                        <w:rFonts w:ascii="Cambria Math" w:hAnsi="Cambria Math"/>
                        <w:i/>
                        <w:color w:val="auto"/>
                        <w:sz w:val="24"/>
                        <w:highlight w:val="none"/>
                      </w:rPr>
                    </m:ctrlPr>
                  </m:sSubPr>
                  <m:e>
                    <m:r>
                      <m:rPr/>
                      <w:rPr>
                        <w:rFonts w:ascii="Cambria Math" w:hAnsi="Cambria Math"/>
                        <w:color w:val="auto"/>
                        <w:sz w:val="24"/>
                        <w:highlight w:val="none"/>
                      </w:rPr>
                      <m:t>CaSO</m:t>
                    </m:r>
                    <m:ctrlPr>
                      <w:rPr>
                        <w:rFonts w:ascii="Cambria Math" w:hAnsi="Cambria Math"/>
                        <w:i/>
                        <w:color w:val="auto"/>
                        <w:sz w:val="24"/>
                        <w:highlight w:val="none"/>
                      </w:rPr>
                    </m:ctrlPr>
                  </m:e>
                  <m:sub>
                    <m:r>
                      <m:rPr/>
                      <w:rPr>
                        <w:rFonts w:ascii="Cambria Math" w:hAnsi="Cambria Math"/>
                        <w:color w:val="auto"/>
                        <w:sz w:val="24"/>
                        <w:highlight w:val="none"/>
                      </w:rPr>
                      <m:t>3</m:t>
                    </m:r>
                    <m:ctrlPr>
                      <w:rPr>
                        <w:rFonts w:ascii="Cambria Math" w:hAnsi="Cambria Math"/>
                        <w:i/>
                        <w:color w:val="auto"/>
                        <w:sz w:val="24"/>
                        <w:highlight w:val="none"/>
                      </w:rPr>
                    </m:ctrlPr>
                  </m:sub>
                </m:sSub>
                <m:r>
                  <m:rPr/>
                  <w:rPr>
                    <w:rFonts w:ascii="Cambria Math" w:hAnsi="Cambria Math"/>
                    <w:color w:val="auto"/>
                    <w:sz w:val="24"/>
                    <w:highlight w:val="none"/>
                  </w:rPr>
                  <m:t>+</m:t>
                </m:r>
                <m:sSub>
                  <m:sSubPr>
                    <m:ctrlPr>
                      <w:rPr>
                        <w:rFonts w:ascii="Cambria Math" w:hAnsi="Cambria Math"/>
                        <w:color w:val="auto"/>
                        <w:sz w:val="24"/>
                        <w:highlight w:val="none"/>
                      </w:rPr>
                    </m:ctrlPr>
                  </m:sSubPr>
                  <m:e>
                    <m:r>
                      <m:rPr/>
                      <w:rPr>
                        <w:rFonts w:ascii="Cambria Math" w:hAnsi="Cambria Math"/>
                        <w:color w:val="auto"/>
                        <w:sz w:val="24"/>
                        <w:highlight w:val="none"/>
                      </w:rPr>
                      <m:t>2H</m:t>
                    </m:r>
                    <m:ctrlPr>
                      <w:rPr>
                        <w:rFonts w:ascii="Cambria Math" w:hAnsi="Cambria Math"/>
                        <w:color w:val="auto"/>
                        <w:sz w:val="24"/>
                        <w:highlight w:val="none"/>
                      </w:rPr>
                    </m:ctrlPr>
                  </m:e>
                  <m:sub>
                    <m:r>
                      <m:rPr/>
                      <w:rPr>
                        <w:rFonts w:ascii="Cambria Math" w:hAnsi="Cambria Math"/>
                        <w:color w:val="auto"/>
                        <w:sz w:val="24"/>
                        <w:highlight w:val="none"/>
                      </w:rPr>
                      <m:t>2</m:t>
                    </m:r>
                    <m:ctrlPr>
                      <w:rPr>
                        <w:rFonts w:ascii="Cambria Math" w:hAnsi="Cambria Math"/>
                        <w:color w:val="auto"/>
                        <w:sz w:val="24"/>
                        <w:highlight w:val="none"/>
                      </w:rPr>
                    </m:ctrlPr>
                  </m:sub>
                </m:sSub>
                <m:r>
                  <m:rPr/>
                  <w:rPr>
                    <w:rFonts w:ascii="Cambria Math" w:hAnsi="Cambria Math"/>
                    <w:color w:val="auto"/>
                    <w:sz w:val="24"/>
                    <w:highlight w:val="none"/>
                  </w:rPr>
                  <m:t>O</m:t>
                </m:r>
              </m:oMath>
            </m:oMathPara>
          </w:p>
          <w:p w14:paraId="79B37FB9">
            <w:pPr>
              <w:adjustRightInd w:val="0"/>
              <w:snapToGrid w:val="0"/>
              <w:spacing w:line="360" w:lineRule="auto"/>
              <w:ind w:firstLine="480" w:firstLineChars="200"/>
              <w:rPr>
                <w:color w:val="auto"/>
                <w:sz w:val="24"/>
                <w:highlight w:val="none"/>
              </w:rPr>
            </w:pPr>
            <w:r>
              <w:rPr>
                <w:rFonts w:hint="eastAsia"/>
                <w:color w:val="auto"/>
                <w:sz w:val="24"/>
                <w:highlight w:val="none"/>
              </w:rPr>
              <w:t>生成的亚硫酸钙颗粒最终在后续除尘工艺中被从烟气中捕捉脱除。</w:t>
            </w:r>
          </w:p>
          <w:p w14:paraId="5527A44F">
            <w:pPr>
              <w:adjustRightInd w:val="0"/>
              <w:snapToGrid w:val="0"/>
              <w:spacing w:line="360" w:lineRule="auto"/>
              <w:ind w:firstLine="480" w:firstLineChars="200"/>
              <w:rPr>
                <w:color w:val="auto"/>
                <w:sz w:val="24"/>
                <w:highlight w:val="none"/>
              </w:rPr>
            </w:pPr>
            <w:r>
              <w:rPr>
                <w:rFonts w:hint="eastAsia"/>
                <w:color w:val="auto"/>
                <w:sz w:val="24"/>
                <w:highlight w:val="none"/>
              </w:rPr>
              <w:t>根据对炉内喷钙后尾部增湿活化脱硫工艺的相关研究，脱硫效率主要受雾化水量、液滴粒径、水雾分布和烟气流速、出口烟温等因素的影响，并与前端的炉内喷钙Ca</w:t>
            </w:r>
            <w:r>
              <w:rPr>
                <w:color w:val="auto"/>
                <w:sz w:val="24"/>
                <w:highlight w:val="none"/>
              </w:rPr>
              <w:t>/S</w:t>
            </w:r>
            <w:r>
              <w:rPr>
                <w:rFonts w:hint="eastAsia"/>
                <w:color w:val="auto"/>
                <w:sz w:val="24"/>
                <w:highlight w:val="none"/>
              </w:rPr>
              <w:t>摩尔比相关，最主要的控制因素是脱硫剂颗粒与水滴碰撞的概率。通常前端炉内喷钙时采用的Ca</w:t>
            </w:r>
            <w:r>
              <w:rPr>
                <w:color w:val="auto"/>
                <w:sz w:val="24"/>
                <w:highlight w:val="none"/>
              </w:rPr>
              <w:t>/S</w:t>
            </w:r>
            <w:r>
              <w:rPr>
                <w:rFonts w:hint="eastAsia"/>
                <w:color w:val="auto"/>
                <w:sz w:val="24"/>
                <w:highlight w:val="none"/>
              </w:rPr>
              <w:t>摩尔比越大，烟气飞灰中的Ca</w:t>
            </w:r>
            <w:r>
              <w:rPr>
                <w:color w:val="auto"/>
                <w:sz w:val="24"/>
                <w:highlight w:val="none"/>
              </w:rPr>
              <w:t>O</w:t>
            </w:r>
            <w:r>
              <w:rPr>
                <w:rFonts w:hint="eastAsia"/>
                <w:color w:val="auto"/>
                <w:sz w:val="24"/>
                <w:highlight w:val="none"/>
              </w:rPr>
              <w:t>越多，被水活化后的脱硫效率越大；同时烟气中加入的水量越大、液滴粒径越小、烟气流速越慢（反应时间长），脱硫效率也越大。常规尾部增湿活化反应器的脱硫效率可达到40%~60%。</w:t>
            </w:r>
          </w:p>
          <w:p w14:paraId="071C9561">
            <w:pPr>
              <w:adjustRightInd w:val="0"/>
              <w:snapToGrid w:val="0"/>
              <w:spacing w:line="360" w:lineRule="auto"/>
              <w:ind w:firstLine="480" w:firstLineChars="200"/>
              <w:rPr>
                <w:rFonts w:hint="eastAsia"/>
                <w:color w:val="auto"/>
                <w:kern w:val="0"/>
                <w:sz w:val="24"/>
                <w:highlight w:val="none"/>
              </w:rPr>
            </w:pPr>
            <w:r>
              <w:rPr>
                <w:rFonts w:hint="eastAsia"/>
                <w:color w:val="auto"/>
                <w:sz w:val="24"/>
                <w:highlight w:val="none"/>
              </w:rPr>
              <w:t>本项目烘干烟气由于采用</w:t>
            </w:r>
            <w:r>
              <w:rPr>
                <w:rFonts w:hint="eastAsia"/>
                <w:color w:val="auto"/>
                <w:kern w:val="0"/>
                <w:sz w:val="24"/>
                <w:highlight w:val="none"/>
              </w:rPr>
              <w:t>热风炉燃</w:t>
            </w:r>
            <w:r>
              <w:rPr>
                <w:rFonts w:hint="eastAsia"/>
                <w:color w:val="auto"/>
                <w:kern w:val="0"/>
                <w:sz w:val="24"/>
                <w:highlight w:val="none"/>
                <w:lang w:eastAsia="zh-CN"/>
              </w:rPr>
              <w:t>生物质颗粒</w:t>
            </w:r>
            <w:r>
              <w:rPr>
                <w:rFonts w:hint="eastAsia"/>
                <w:color w:val="auto"/>
                <w:kern w:val="0"/>
                <w:sz w:val="24"/>
                <w:highlight w:val="none"/>
              </w:rPr>
              <w:t>产生的高温烟气作为气源</w:t>
            </w:r>
            <w:r>
              <w:rPr>
                <w:rFonts w:hint="eastAsia"/>
                <w:color w:val="auto"/>
                <w:kern w:val="0"/>
                <w:sz w:val="24"/>
                <w:highlight w:val="none"/>
                <w:lang w:eastAsia="zh-CN"/>
              </w:rPr>
              <w:t>，</w:t>
            </w:r>
            <w:r>
              <w:rPr>
                <w:rFonts w:hint="eastAsia"/>
                <w:color w:val="auto"/>
                <w:kern w:val="0"/>
                <w:sz w:val="24"/>
                <w:highlight w:val="none"/>
              </w:rPr>
              <w:t>同时本项目烟气增湿的水分来源于褐煤蒸发产生的接近饱和的水蒸气，水量极大，温度较高、均匀分布于烟气中、且粒径极小，水蒸气进入烟气后与烟气中悬浮的颗粒物湍流碰撞，具有较高的脱硫效率。</w:t>
            </w:r>
          </w:p>
          <w:p w14:paraId="4CC6E5DC">
            <w:pPr>
              <w:adjustRightInd w:val="0"/>
              <w:snapToGrid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color w:val="auto"/>
                <w:kern w:val="0"/>
                <w:sz w:val="24"/>
                <w:highlight w:val="none"/>
              </w:rPr>
              <w:t>综合考虑，项目热风炉喷钙脱硫后，结合后端烟气的增湿活化效应，总脱硫效率约可</w:t>
            </w:r>
            <w:r>
              <w:rPr>
                <w:rFonts w:hint="eastAsia"/>
                <w:color w:val="auto"/>
                <w:sz w:val="24"/>
                <w:highlight w:val="none"/>
              </w:rPr>
              <w:t>达到</w:t>
            </w:r>
            <w:r>
              <w:rPr>
                <w:rFonts w:hint="eastAsia"/>
                <w:color w:val="auto"/>
                <w:sz w:val="24"/>
                <w:highlight w:val="none"/>
                <w:lang w:val="en-US" w:eastAsia="zh-CN"/>
              </w:rPr>
              <w:t>85</w:t>
            </w:r>
            <w:r>
              <w:rPr>
                <w:rFonts w:hint="eastAsia"/>
                <w:color w:val="auto"/>
                <w:sz w:val="24"/>
                <w:highlight w:val="none"/>
              </w:rPr>
              <w:t>%。</w:t>
            </w:r>
          </w:p>
          <w:p w14:paraId="56E41168">
            <w:pPr>
              <w:adjustRightInd w:val="0"/>
              <w:snapToGrid w:val="0"/>
              <w:spacing w:line="360" w:lineRule="auto"/>
              <w:ind w:firstLine="480" w:firstLineChars="200"/>
              <w:rPr>
                <w:rFonts w:hint="eastAsia"/>
                <w:bCs/>
                <w:color w:val="auto"/>
                <w:spacing w:val="-10"/>
                <w:szCs w:val="21"/>
                <w:highlight w:val="none"/>
                <w:vertAlign w:val="baseline"/>
                <w:lang w:eastAsia="zh-CN"/>
              </w:rPr>
            </w:pPr>
            <w:r>
              <w:rPr>
                <w:rFonts w:hint="eastAsia" w:ascii="宋体" w:hAnsi="宋体" w:eastAsia="宋体" w:cs="宋体"/>
                <w:color w:val="auto"/>
                <w:kern w:val="2"/>
                <w:sz w:val="24"/>
                <w:szCs w:val="24"/>
                <w:highlight w:val="none"/>
                <w:lang w:val="en-US" w:eastAsia="zh-CN" w:bidi="ar-SA"/>
              </w:rPr>
              <w:t>本项目</w:t>
            </w:r>
            <w:r>
              <w:rPr>
                <w:rFonts w:hint="eastAsia" w:ascii="宋体" w:hAnsi="宋体" w:cs="宋体"/>
                <w:color w:val="auto"/>
                <w:kern w:val="2"/>
                <w:sz w:val="24"/>
                <w:szCs w:val="24"/>
                <w:highlight w:val="none"/>
                <w:lang w:val="en-US" w:eastAsia="zh-CN" w:bidi="ar-SA"/>
              </w:rPr>
              <w:t>燃料为生物质颗粒，</w:t>
            </w:r>
            <w:r>
              <w:rPr>
                <w:rFonts w:hint="eastAsia" w:cs="Times New Roman"/>
                <w:color w:val="auto"/>
                <w:kern w:val="2"/>
                <w:sz w:val="24"/>
                <w:szCs w:val="24"/>
                <w:highlight w:val="none"/>
                <w:lang w:val="en-US" w:eastAsia="zh-CN" w:bidi="ar-SA"/>
              </w:rPr>
              <w:t>燃料年用量为36461.6448t。二氧化硫产生量为17S千克/吨-原料；S=0.09%</w:t>
            </w:r>
            <w:r>
              <w:rPr>
                <w:rFonts w:hint="eastAsia" w:ascii="Times New Roman" w:hAnsi="Times New Roman" w:eastAsia="宋体" w:cs="Times New Roman"/>
                <w:color w:val="auto"/>
                <w:sz w:val="24"/>
                <w:szCs w:val="24"/>
                <w:highlight w:val="none"/>
                <w:lang w:eastAsia="zh-CN"/>
              </w:rPr>
              <w:t>，</w:t>
            </w:r>
            <w:r>
              <w:rPr>
                <w:rFonts w:hint="eastAsia" w:ascii="宋体" w:hAnsi="宋体" w:eastAsia="宋体" w:cs="宋体"/>
                <w:color w:val="auto"/>
                <w:kern w:val="2"/>
                <w:sz w:val="24"/>
                <w:szCs w:val="24"/>
                <w:highlight w:val="none"/>
                <w:lang w:val="en-US" w:eastAsia="zh-CN" w:bidi="ar-SA"/>
              </w:rPr>
              <w:t>本项目</w:t>
            </w:r>
            <w:r>
              <w:rPr>
                <w:rFonts w:hint="eastAsia" w:eastAsia="宋体" w:cs="Times New Roman"/>
                <w:color w:val="auto"/>
                <w:sz w:val="24"/>
                <w:szCs w:val="24"/>
                <w:highlight w:val="none"/>
                <w:lang w:val="en-US" w:eastAsia="zh-CN"/>
              </w:rPr>
              <w:t>SO</w:t>
            </w:r>
            <w:r>
              <w:rPr>
                <w:rFonts w:hint="eastAsia" w:eastAsia="宋体" w:cs="Times New Roman"/>
                <w:color w:val="auto"/>
                <w:sz w:val="24"/>
                <w:szCs w:val="24"/>
                <w:highlight w:val="none"/>
                <w:vertAlign w:val="subscript"/>
                <w:lang w:val="en-US" w:eastAsia="zh-CN"/>
              </w:rPr>
              <w:t>2</w:t>
            </w:r>
            <w:r>
              <w:rPr>
                <w:rFonts w:hint="eastAsia" w:ascii="宋体" w:hAnsi="宋体" w:eastAsia="宋体" w:cs="宋体"/>
                <w:color w:val="auto"/>
                <w:kern w:val="2"/>
                <w:sz w:val="24"/>
                <w:szCs w:val="24"/>
                <w:highlight w:val="none"/>
                <w:lang w:val="en-US" w:eastAsia="zh-CN" w:bidi="ar-SA"/>
              </w:rPr>
              <w:t>产生量</w:t>
            </w:r>
            <w:r>
              <w:rPr>
                <w:rFonts w:hint="eastAsia"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55.7863</w:t>
            </w:r>
            <w:r>
              <w:rPr>
                <w:rFonts w:hint="eastAsia" w:eastAsia="宋体" w:cs="Times New Roman"/>
                <w:color w:val="auto"/>
                <w:sz w:val="24"/>
                <w:szCs w:val="24"/>
                <w:highlight w:val="none"/>
                <w:lang w:val="en-US" w:eastAsia="zh-CN"/>
              </w:rPr>
              <w:t>t/a，</w:t>
            </w:r>
            <w:r>
              <w:rPr>
                <w:rFonts w:hint="eastAsia" w:ascii="Times New Roman" w:hAnsi="Times New Roman" w:eastAsia="宋体" w:cs="Times New Roman"/>
                <w:color w:val="auto"/>
                <w:sz w:val="24"/>
                <w:highlight w:val="none"/>
                <w:lang w:val="en-US" w:eastAsia="zh-CN"/>
              </w:rPr>
              <w:t>产生速率为</w:t>
            </w:r>
            <w:r>
              <w:rPr>
                <w:rFonts w:hint="eastAsia" w:cs="Times New Roman"/>
                <w:color w:val="auto"/>
                <w:sz w:val="24"/>
                <w:highlight w:val="none"/>
                <w:lang w:val="en-US" w:eastAsia="zh-CN"/>
              </w:rPr>
              <w:t>8.3015</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234.06</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eastAsia="Times New Roman"/>
                <w:color w:val="auto"/>
                <w:sz w:val="24"/>
                <w:highlight w:val="none"/>
                <w:lang w:val="zh-CN"/>
              </w:rPr>
              <w:t>有组织</w:t>
            </w:r>
            <w:r>
              <w:rPr>
                <w:rFonts w:hint="eastAsia" w:eastAsia="宋体" w:cs="Times New Roman"/>
                <w:color w:val="auto"/>
                <w:sz w:val="24"/>
                <w:szCs w:val="24"/>
                <w:highlight w:val="none"/>
                <w:lang w:val="en-US" w:eastAsia="zh-CN"/>
              </w:rPr>
              <w:t>SO</w:t>
            </w:r>
            <w:r>
              <w:rPr>
                <w:rFonts w:hint="eastAsia"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highlight w:val="none"/>
                <w:lang w:eastAsia="zh-CN"/>
              </w:rPr>
              <w:t>排放量为</w:t>
            </w:r>
            <w:r>
              <w:rPr>
                <w:rFonts w:hint="eastAsia" w:cs="Times New Roman"/>
                <w:color w:val="auto"/>
                <w:sz w:val="24"/>
                <w:highlight w:val="none"/>
                <w:lang w:val="en-US" w:eastAsia="zh-CN"/>
              </w:rPr>
              <w:t>8.3679</w:t>
            </w:r>
            <w:r>
              <w:rPr>
                <w:rFonts w:hint="eastAsia" w:ascii="Times New Roman" w:hAnsi="Times New Roman" w:eastAsia="宋体" w:cs="Times New Roman"/>
                <w:color w:val="auto"/>
                <w:sz w:val="24"/>
                <w:highlight w:val="none"/>
                <w:lang w:val="en-US" w:eastAsia="zh-CN"/>
              </w:rPr>
              <w:t>t/a，排放速率为</w:t>
            </w:r>
            <w:r>
              <w:rPr>
                <w:rFonts w:hint="eastAsia" w:cs="Times New Roman"/>
                <w:color w:val="auto"/>
                <w:sz w:val="24"/>
                <w:highlight w:val="none"/>
                <w:lang w:val="en-US" w:eastAsia="zh-CN"/>
              </w:rPr>
              <w:t>1.2452</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35.11</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p>
          <w:p w14:paraId="4DBE22B0">
            <w:pPr>
              <w:keepNext w:val="0"/>
              <w:keepLines w:val="0"/>
              <w:pageBreakBefore w:val="0"/>
              <w:widowControl w:val="0"/>
              <w:kinsoku/>
              <w:wordWrap/>
              <w:overflowPunct/>
              <w:topLinePunct w:val="0"/>
              <w:autoSpaceDE/>
              <w:autoSpaceDN/>
              <w:bidi w:val="0"/>
              <w:adjustRightInd/>
              <w:snapToGrid/>
              <w:spacing w:line="348" w:lineRule="auto"/>
              <w:ind w:left="0" w:leftChars="0" w:firstLine="506" w:firstLineChars="200"/>
              <w:textAlignment w:val="auto"/>
              <w:outlineLvl w:val="9"/>
              <w:rPr>
                <w:rFonts w:hint="default" w:cs="Times New Roman"/>
                <w:b/>
                <w:bCs/>
                <w:color w:val="auto"/>
                <w:spacing w:val="6"/>
                <w:kern w:val="2"/>
                <w:sz w:val="24"/>
                <w:szCs w:val="24"/>
                <w:highlight w:val="none"/>
                <w:lang w:val="en-US" w:eastAsia="zh-CN" w:bidi="ar-SA"/>
              </w:rPr>
            </w:pPr>
            <w:r>
              <w:rPr>
                <w:rFonts w:hint="eastAsia" w:cs="Times New Roman"/>
                <w:b/>
                <w:bCs/>
                <w:color w:val="auto"/>
                <w:spacing w:val="6"/>
                <w:kern w:val="2"/>
                <w:sz w:val="24"/>
                <w:szCs w:val="24"/>
                <w:highlight w:val="none"/>
                <w:lang w:val="en-US" w:eastAsia="zh-CN" w:bidi="ar-SA"/>
              </w:rPr>
              <w:t>C、氮氧化物</w:t>
            </w:r>
          </w:p>
          <w:p w14:paraId="2865E095">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rFonts w:hint="eastAsia" w:eastAsia="宋体"/>
                <w:color w:val="auto"/>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bidi="ar-SA"/>
              </w:rPr>
              <w:t>本项目氮氧化物采取脱硝措施，</w:t>
            </w:r>
            <w:r>
              <w:rPr>
                <w:rFonts w:hint="eastAsia"/>
                <w:color w:val="auto"/>
                <w:sz w:val="24"/>
                <w:highlight w:val="none"/>
              </w:rPr>
              <w:t>根据各污染治理工艺文献资料</w:t>
            </w:r>
            <w:r>
              <w:rPr>
                <w:rFonts w:hint="eastAsia"/>
                <w:color w:val="auto"/>
                <w:sz w:val="24"/>
                <w:highlight w:val="none"/>
                <w:lang w:val="en-US" w:eastAsia="zh-CN"/>
              </w:rPr>
              <w:t>及业主方环保设施设计</w:t>
            </w:r>
            <w:r>
              <w:rPr>
                <w:rFonts w:hint="eastAsia"/>
                <w:color w:val="auto"/>
                <w:sz w:val="24"/>
                <w:szCs w:val="24"/>
                <w:highlight w:val="none"/>
                <w:lang w:val="en-US" w:eastAsia="zh-CN"/>
              </w:rPr>
              <w:t>单位提供的资料分级燃烧（分风及分物料）处理约为30%，S</w:t>
            </w:r>
            <w:r>
              <w:rPr>
                <w:rFonts w:hint="eastAsia"/>
                <w:color w:val="auto"/>
                <w:sz w:val="24"/>
                <w:szCs w:val="24"/>
                <w:highlight w:val="none"/>
              </w:rPr>
              <w:t>NCR</w:t>
            </w:r>
            <w:r>
              <w:rPr>
                <w:rFonts w:hint="eastAsia"/>
                <w:color w:val="auto"/>
                <w:sz w:val="24"/>
                <w:szCs w:val="24"/>
                <w:highlight w:val="none"/>
                <w:lang w:val="en-US" w:eastAsia="zh-CN"/>
              </w:rPr>
              <w:t>喷氨</w:t>
            </w:r>
            <w:r>
              <w:rPr>
                <w:rFonts w:hint="eastAsia"/>
                <w:color w:val="auto"/>
                <w:sz w:val="24"/>
                <w:szCs w:val="24"/>
                <w:highlight w:val="none"/>
              </w:rPr>
              <w:t>脱硝效率约为</w:t>
            </w:r>
            <w:r>
              <w:rPr>
                <w:rFonts w:hint="eastAsia"/>
                <w:color w:val="auto"/>
                <w:sz w:val="24"/>
                <w:szCs w:val="24"/>
                <w:highlight w:val="none"/>
                <w:lang w:val="en-US" w:eastAsia="zh-CN"/>
              </w:rPr>
              <w:t>60</w:t>
            </w:r>
            <w:r>
              <w:rPr>
                <w:rFonts w:hint="eastAsia"/>
                <w:color w:val="auto"/>
                <w:sz w:val="24"/>
                <w:szCs w:val="24"/>
                <w:highlight w:val="none"/>
              </w:rPr>
              <w:t>%；</w:t>
            </w:r>
            <w:r>
              <w:rPr>
                <w:rFonts w:hint="eastAsia"/>
                <w:color w:val="auto"/>
                <w:sz w:val="24"/>
                <w:szCs w:val="24"/>
                <w:highlight w:val="none"/>
                <w:lang w:val="en-US" w:eastAsia="zh-CN"/>
              </w:rPr>
              <w:t>本项</w:t>
            </w:r>
            <w:r>
              <w:rPr>
                <w:rFonts w:hint="eastAsia" w:eastAsia="宋体"/>
                <w:color w:val="auto"/>
                <w:sz w:val="24"/>
                <w:szCs w:val="24"/>
                <w:highlight w:val="none"/>
                <w:lang w:val="en-US" w:eastAsia="zh-CN"/>
              </w:rPr>
              <w:t>目总去除率按</w:t>
            </w:r>
            <w:r>
              <w:rPr>
                <w:rFonts w:hint="eastAsia"/>
                <w:color w:val="auto"/>
                <w:sz w:val="24"/>
                <w:szCs w:val="24"/>
                <w:highlight w:val="none"/>
                <w:lang w:val="en-US" w:eastAsia="zh-CN"/>
              </w:rPr>
              <w:t>75</w:t>
            </w:r>
            <w:r>
              <w:rPr>
                <w:rFonts w:hint="eastAsia" w:eastAsia="宋体"/>
                <w:color w:val="auto"/>
                <w:sz w:val="24"/>
                <w:szCs w:val="24"/>
                <w:highlight w:val="none"/>
                <w:lang w:val="en-US" w:eastAsia="zh-CN"/>
              </w:rPr>
              <w:t>%</w:t>
            </w:r>
            <w:r>
              <w:rPr>
                <w:rFonts w:hint="eastAsia"/>
                <w:color w:val="auto"/>
                <w:sz w:val="24"/>
                <w:szCs w:val="24"/>
                <w:highlight w:val="none"/>
                <w:lang w:val="en-US" w:eastAsia="zh-CN"/>
              </w:rPr>
              <w:t>考虑</w:t>
            </w:r>
            <w:r>
              <w:rPr>
                <w:rFonts w:hint="eastAsia" w:eastAsia="宋体"/>
                <w:color w:val="auto"/>
                <w:sz w:val="24"/>
                <w:szCs w:val="24"/>
                <w:highlight w:val="none"/>
                <w:lang w:val="en-US" w:eastAsia="zh-CN"/>
              </w:rPr>
              <w:t>。</w:t>
            </w:r>
          </w:p>
          <w:p w14:paraId="0E504FCD">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rFonts w:hint="default"/>
                <w:bCs/>
                <w:color w:val="auto"/>
                <w:spacing w:val="-10"/>
                <w:szCs w:val="21"/>
                <w:highlight w:val="none"/>
                <w:vertAlign w:val="baseline"/>
                <w:lang w:val="en-US" w:eastAsia="zh-CN"/>
              </w:rPr>
            </w:pPr>
            <w:r>
              <w:rPr>
                <w:rFonts w:hint="eastAsia"/>
                <w:color w:val="auto"/>
                <w:sz w:val="24"/>
                <w:szCs w:val="24"/>
                <w:highlight w:val="none"/>
                <w:lang w:val="en-US" w:eastAsia="zh-CN"/>
              </w:rPr>
              <w:t>本项目</w:t>
            </w:r>
            <w:r>
              <w:rPr>
                <w:rFonts w:hint="eastAsia" w:cs="Times New Roman"/>
                <w:color w:val="auto"/>
                <w:kern w:val="2"/>
                <w:sz w:val="24"/>
                <w:szCs w:val="24"/>
                <w:highlight w:val="none"/>
                <w:lang w:val="en-US" w:eastAsia="zh-CN" w:bidi="ar-SA"/>
              </w:rPr>
              <w:t>燃料年用量为36461.6448t，氮氧化物产生量为1.02千克/吨-原料；则</w:t>
            </w:r>
            <w:r>
              <w:rPr>
                <w:rFonts w:hint="eastAsia" w:ascii="宋体" w:hAnsi="宋体" w:eastAsia="宋体" w:cs="宋体"/>
                <w:color w:val="auto"/>
                <w:kern w:val="2"/>
                <w:sz w:val="24"/>
                <w:szCs w:val="24"/>
                <w:highlight w:val="none"/>
                <w:lang w:val="en-US" w:eastAsia="zh-CN" w:bidi="ar-SA"/>
              </w:rPr>
              <w:t>项目</w:t>
            </w:r>
            <w:r>
              <w:rPr>
                <w:rFonts w:hint="eastAsia" w:eastAsia="宋体" w:cs="Times New Roman"/>
                <w:color w:val="auto"/>
                <w:sz w:val="24"/>
                <w:szCs w:val="24"/>
                <w:highlight w:val="none"/>
                <w:lang w:val="en-US" w:eastAsia="zh-CN"/>
              </w:rPr>
              <w:t>NOx</w:t>
            </w:r>
            <w:r>
              <w:rPr>
                <w:rFonts w:hint="eastAsia" w:ascii="宋体" w:hAnsi="宋体" w:eastAsia="宋体" w:cs="宋体"/>
                <w:color w:val="auto"/>
                <w:kern w:val="2"/>
                <w:sz w:val="24"/>
                <w:szCs w:val="24"/>
                <w:highlight w:val="none"/>
                <w:lang w:val="en-US" w:eastAsia="zh-CN" w:bidi="ar-SA"/>
              </w:rPr>
              <w:t>产生量</w:t>
            </w:r>
            <w:r>
              <w:rPr>
                <w:rFonts w:hint="eastAsia"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37.1909</w:t>
            </w:r>
            <w:r>
              <w:rPr>
                <w:rFonts w:hint="eastAsia" w:eastAsia="宋体" w:cs="Times New Roman"/>
                <w:color w:val="auto"/>
                <w:sz w:val="24"/>
                <w:szCs w:val="24"/>
                <w:highlight w:val="none"/>
                <w:lang w:val="en-US" w:eastAsia="zh-CN"/>
              </w:rPr>
              <w:t>t/a，</w:t>
            </w:r>
            <w:r>
              <w:rPr>
                <w:rFonts w:hint="eastAsia" w:ascii="Times New Roman" w:hAnsi="Times New Roman" w:eastAsia="宋体" w:cs="Times New Roman"/>
                <w:color w:val="auto"/>
                <w:sz w:val="24"/>
                <w:highlight w:val="none"/>
                <w:lang w:val="en-US" w:eastAsia="zh-CN"/>
              </w:rPr>
              <w:t>产生速率为</w:t>
            </w:r>
            <w:r>
              <w:rPr>
                <w:rFonts w:hint="eastAsia" w:cs="Times New Roman"/>
                <w:color w:val="auto"/>
                <w:sz w:val="24"/>
                <w:highlight w:val="none"/>
                <w:lang w:val="en-US" w:eastAsia="zh-CN"/>
              </w:rPr>
              <w:t>5.5344</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156.04</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eastAsia="Times New Roman"/>
                <w:color w:val="auto"/>
                <w:sz w:val="24"/>
                <w:highlight w:val="none"/>
                <w:lang w:val="zh-CN"/>
              </w:rPr>
              <w:t>有组织</w:t>
            </w:r>
            <w:r>
              <w:rPr>
                <w:rFonts w:hint="eastAsia" w:eastAsia="宋体" w:cs="Times New Roman"/>
                <w:color w:val="auto"/>
                <w:sz w:val="24"/>
                <w:szCs w:val="24"/>
                <w:highlight w:val="none"/>
                <w:lang w:val="en-US" w:eastAsia="zh-CN"/>
              </w:rPr>
              <w:t>NOx</w:t>
            </w:r>
            <w:r>
              <w:rPr>
                <w:rFonts w:hint="eastAsia" w:ascii="Times New Roman" w:hAnsi="Times New Roman" w:eastAsia="宋体" w:cs="Times New Roman"/>
                <w:color w:val="auto"/>
                <w:sz w:val="24"/>
                <w:highlight w:val="none"/>
                <w:lang w:eastAsia="zh-CN"/>
              </w:rPr>
              <w:t>排放量为</w:t>
            </w:r>
            <w:r>
              <w:rPr>
                <w:rFonts w:hint="eastAsia" w:cs="Times New Roman"/>
                <w:color w:val="auto"/>
                <w:sz w:val="24"/>
                <w:highlight w:val="none"/>
                <w:lang w:val="en-US" w:eastAsia="zh-CN"/>
              </w:rPr>
              <w:t>9.2977</w:t>
            </w:r>
            <w:r>
              <w:rPr>
                <w:rFonts w:hint="eastAsia" w:ascii="Times New Roman" w:hAnsi="Times New Roman" w:eastAsia="宋体" w:cs="Times New Roman"/>
                <w:color w:val="auto"/>
                <w:sz w:val="24"/>
                <w:highlight w:val="none"/>
                <w:lang w:val="en-US" w:eastAsia="zh-CN"/>
              </w:rPr>
              <w:t>t/a，排放速率为</w:t>
            </w:r>
            <w:r>
              <w:rPr>
                <w:rFonts w:hint="eastAsia" w:cs="Times New Roman"/>
                <w:color w:val="auto"/>
                <w:sz w:val="24"/>
                <w:highlight w:val="none"/>
                <w:lang w:val="en-US" w:eastAsia="zh-CN"/>
              </w:rPr>
              <w:t>1.3836</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39.01</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p>
          <w:p w14:paraId="00CA8451">
            <w:pPr>
              <w:keepNext w:val="0"/>
              <w:keepLines w:val="0"/>
              <w:pageBreakBefore w:val="0"/>
              <w:widowControl w:val="0"/>
              <w:kinsoku/>
              <w:wordWrap/>
              <w:overflowPunct/>
              <w:topLinePunct w:val="0"/>
              <w:autoSpaceDE/>
              <w:autoSpaceDN/>
              <w:bidi w:val="0"/>
              <w:adjustRightInd/>
              <w:snapToGrid/>
              <w:spacing w:line="348" w:lineRule="auto"/>
              <w:ind w:left="0" w:leftChars="0" w:firstLine="506" w:firstLineChars="200"/>
              <w:textAlignment w:val="auto"/>
              <w:outlineLvl w:val="9"/>
              <w:rPr>
                <w:rFonts w:hint="default" w:cs="Times New Roman"/>
                <w:b/>
                <w:bCs/>
                <w:color w:val="auto"/>
                <w:spacing w:val="6"/>
                <w:kern w:val="2"/>
                <w:sz w:val="24"/>
                <w:szCs w:val="24"/>
                <w:highlight w:val="none"/>
                <w:lang w:val="en-US" w:eastAsia="zh-CN" w:bidi="ar-SA"/>
              </w:rPr>
            </w:pPr>
            <w:r>
              <w:rPr>
                <w:rFonts w:hint="eastAsia" w:cs="Times New Roman"/>
                <w:b/>
                <w:bCs/>
                <w:color w:val="auto"/>
                <w:spacing w:val="6"/>
                <w:kern w:val="2"/>
                <w:sz w:val="24"/>
                <w:szCs w:val="24"/>
                <w:highlight w:val="none"/>
                <w:lang w:val="en-US" w:eastAsia="zh-CN" w:bidi="ar-SA"/>
              </w:rPr>
              <w:t>D、水蒸气</w:t>
            </w:r>
          </w:p>
          <w:p w14:paraId="140E9269">
            <w:pPr>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vertAlign w:val="baseline"/>
                <w:lang w:val="en-US" w:eastAsia="zh-CN"/>
              </w:rPr>
            </w:pPr>
            <w:r>
              <w:rPr>
                <w:rFonts w:hint="eastAsia" w:ascii="Times New Roman" w:hAnsi="Times New Roman" w:eastAsia="宋体" w:cs="Times New Roman"/>
                <w:b w:val="0"/>
                <w:bCs w:val="0"/>
                <w:color w:val="auto"/>
                <w:sz w:val="24"/>
                <w:highlight w:val="none"/>
                <w:vertAlign w:val="baseline"/>
                <w:lang w:val="en-US" w:eastAsia="zh-CN"/>
              </w:rPr>
              <w:t>根据业主提供资料，原料</w:t>
            </w:r>
            <w:r>
              <w:rPr>
                <w:rFonts w:hint="default" w:ascii="Times New Roman" w:hAnsi="Times New Roman" w:eastAsia="宋体" w:cs="Times New Roman"/>
                <w:b w:val="0"/>
                <w:bCs w:val="0"/>
                <w:color w:val="auto"/>
                <w:sz w:val="24"/>
                <w:highlight w:val="none"/>
                <w:vertAlign w:val="baseline"/>
                <w:lang w:val="en-US" w:eastAsia="zh-CN"/>
              </w:rPr>
              <w:t>煤中水分</w:t>
            </w:r>
            <w:r>
              <w:rPr>
                <w:rFonts w:hint="eastAsia" w:ascii="Times New Roman" w:hAnsi="Times New Roman" w:eastAsia="宋体" w:cs="Times New Roman"/>
                <w:b w:val="0"/>
                <w:bCs w:val="0"/>
                <w:color w:val="auto"/>
                <w:sz w:val="24"/>
                <w:highlight w:val="none"/>
                <w:vertAlign w:val="baseline"/>
                <w:lang w:val="en-US" w:eastAsia="zh-CN"/>
              </w:rPr>
              <w:t>约为55%</w:t>
            </w:r>
            <w:r>
              <w:rPr>
                <w:rFonts w:hint="default" w:ascii="Times New Roman" w:hAnsi="Times New Roman" w:eastAsia="宋体" w:cs="Times New Roman"/>
                <w:b w:val="0"/>
                <w:bCs w:val="0"/>
                <w:color w:val="auto"/>
                <w:sz w:val="24"/>
                <w:highlight w:val="none"/>
                <w:vertAlign w:val="baseline"/>
                <w:lang w:val="en-US" w:eastAsia="zh-CN"/>
              </w:rPr>
              <w:t>，提质后优质煤中全水分</w:t>
            </w:r>
            <w:r>
              <w:rPr>
                <w:rFonts w:hint="eastAsia" w:ascii="Times New Roman" w:hAnsi="Times New Roman" w:eastAsia="宋体" w:cs="Times New Roman"/>
                <w:b w:val="0"/>
                <w:bCs w:val="0"/>
                <w:color w:val="auto"/>
                <w:sz w:val="24"/>
                <w:highlight w:val="none"/>
                <w:vertAlign w:val="baseline"/>
                <w:lang w:val="en-US" w:eastAsia="zh-CN"/>
              </w:rPr>
              <w:t>约</w:t>
            </w:r>
            <w:r>
              <w:rPr>
                <w:rFonts w:hint="default" w:ascii="Times New Roman" w:hAnsi="Times New Roman" w:eastAsia="宋体" w:cs="Times New Roman"/>
                <w:b w:val="0"/>
                <w:bCs w:val="0"/>
                <w:color w:val="auto"/>
                <w:sz w:val="24"/>
                <w:highlight w:val="none"/>
                <w:vertAlign w:val="baseline"/>
                <w:lang w:val="en-US" w:eastAsia="zh-CN"/>
              </w:rPr>
              <w:t>为</w:t>
            </w:r>
            <w:r>
              <w:rPr>
                <w:rFonts w:hint="eastAsia" w:ascii="Times New Roman" w:hAnsi="Times New Roman" w:eastAsia="宋体" w:cs="Times New Roman"/>
                <w:b w:val="0"/>
                <w:bCs w:val="0"/>
                <w:color w:val="auto"/>
                <w:sz w:val="24"/>
                <w:highlight w:val="none"/>
                <w:vertAlign w:val="baseline"/>
                <w:lang w:val="en-US" w:eastAsia="zh-CN"/>
              </w:rPr>
              <w:t>30%。</w:t>
            </w:r>
          </w:p>
          <w:p w14:paraId="0127F0CC">
            <w:pPr>
              <w:adjustRightInd w:val="0"/>
              <w:snapToGrid w:val="0"/>
              <w:spacing w:line="360" w:lineRule="auto"/>
              <w:ind w:firstLine="480" w:firstLineChars="200"/>
              <w:rPr>
                <w:rFonts w:hint="eastAsia"/>
                <w:color w:val="auto"/>
                <w:sz w:val="24"/>
                <w:highlight w:val="none"/>
              </w:rPr>
            </w:pPr>
            <w:r>
              <w:rPr>
                <w:rFonts w:hint="eastAsia" w:cs="Times New Roman"/>
                <w:b w:val="0"/>
                <w:bCs w:val="0"/>
                <w:color w:val="auto"/>
                <w:sz w:val="24"/>
                <w:highlight w:val="none"/>
                <w:vertAlign w:val="baseline"/>
                <w:lang w:val="en-US" w:eastAsia="zh-CN"/>
              </w:rPr>
              <w:t>根据热平衡计算得出，</w:t>
            </w:r>
            <w:r>
              <w:rPr>
                <w:rFonts w:hint="default" w:ascii="Times New Roman" w:hAnsi="Times New Roman" w:eastAsia="宋体" w:cs="Times New Roman"/>
                <w:b w:val="0"/>
                <w:bCs w:val="0"/>
                <w:color w:val="auto"/>
                <w:sz w:val="24"/>
                <w:highlight w:val="none"/>
                <w:vertAlign w:val="baseline"/>
                <w:lang w:val="en-US" w:eastAsia="zh-CN"/>
              </w:rPr>
              <w:t>项目年</w:t>
            </w:r>
            <w:r>
              <w:rPr>
                <w:rFonts w:hint="eastAsia" w:ascii="Times New Roman" w:hAnsi="Times New Roman" w:eastAsia="宋体" w:cs="Times New Roman"/>
                <w:b w:val="0"/>
                <w:bCs w:val="0"/>
                <w:color w:val="auto"/>
                <w:sz w:val="24"/>
                <w:highlight w:val="none"/>
                <w:vertAlign w:val="baseline"/>
                <w:lang w:val="en-US" w:eastAsia="zh-CN"/>
              </w:rPr>
              <w:t>处理100万吨褐煤，得产品</w:t>
            </w:r>
            <w:r>
              <w:rPr>
                <w:rFonts w:hint="eastAsia" w:cs="Times New Roman"/>
                <w:i w:val="0"/>
                <w:iCs w:val="0"/>
                <w:color w:val="auto"/>
                <w:kern w:val="2"/>
                <w:sz w:val="24"/>
                <w:szCs w:val="24"/>
                <w:highlight w:val="none"/>
                <w:u w:val="none"/>
                <w:lang w:val="en-US" w:eastAsia="zh-CN" w:bidi="ar-SA"/>
              </w:rPr>
              <w:t>714268.8</w:t>
            </w:r>
            <w:r>
              <w:rPr>
                <w:rFonts w:hint="default" w:ascii="Times New Roman" w:hAnsi="Times New Roman" w:eastAsia="宋体" w:cs="Times New Roman"/>
                <w:b w:val="0"/>
                <w:bCs w:val="0"/>
                <w:color w:val="auto"/>
                <w:sz w:val="24"/>
                <w:highlight w:val="none"/>
                <w:vertAlign w:val="baseline"/>
                <w:lang w:val="en-US" w:eastAsia="zh-CN"/>
              </w:rPr>
              <w:t>吨优质煤</w:t>
            </w:r>
            <w:r>
              <w:rPr>
                <w:rFonts w:hint="eastAsia"/>
                <w:color w:val="auto"/>
                <w:sz w:val="24"/>
                <w:szCs w:val="24"/>
                <w:highlight w:val="none"/>
                <w:lang w:val="en-US" w:eastAsia="zh-CN"/>
              </w:rPr>
              <w:t>，</w:t>
            </w:r>
            <w:r>
              <w:rPr>
                <w:rFonts w:hint="default" w:ascii="Times New Roman" w:hAnsi="Times New Roman" w:eastAsia="宋体" w:cs="Times New Roman"/>
                <w:b w:val="0"/>
                <w:bCs w:val="0"/>
                <w:color w:val="auto"/>
                <w:sz w:val="24"/>
                <w:highlight w:val="none"/>
                <w:vertAlign w:val="baseline"/>
                <w:lang w:val="en-US" w:eastAsia="zh-CN"/>
              </w:rPr>
              <w:t>其中蒸发消耗水量为</w:t>
            </w:r>
            <w:r>
              <w:rPr>
                <w:rFonts w:hint="eastAsia" w:cs="Times New Roman"/>
                <w:b w:val="0"/>
                <w:bCs w:val="0"/>
                <w:color w:val="auto"/>
                <w:sz w:val="24"/>
                <w:highlight w:val="none"/>
                <w:vertAlign w:val="baseline"/>
                <w:lang w:val="en-US" w:eastAsia="zh-CN"/>
              </w:rPr>
              <w:t>28.57312</w:t>
            </w:r>
            <w:r>
              <w:rPr>
                <w:rFonts w:hint="eastAsia" w:ascii="Times New Roman" w:hAnsi="Times New Roman" w:eastAsia="宋体" w:cs="Times New Roman"/>
                <w:b w:val="0"/>
                <w:bCs w:val="0"/>
                <w:color w:val="auto"/>
                <w:sz w:val="24"/>
                <w:highlight w:val="none"/>
                <w:vertAlign w:val="baseline"/>
                <w:lang w:val="en-US" w:eastAsia="zh-CN"/>
              </w:rPr>
              <w:t>万</w:t>
            </w:r>
            <w:r>
              <w:rPr>
                <w:rFonts w:hint="default" w:ascii="Times New Roman" w:hAnsi="Times New Roman" w:eastAsia="宋体" w:cs="Times New Roman"/>
                <w:b w:val="0"/>
                <w:bCs w:val="0"/>
                <w:color w:val="auto"/>
                <w:sz w:val="24"/>
                <w:highlight w:val="none"/>
                <w:vertAlign w:val="baseline"/>
                <w:lang w:val="en-US" w:eastAsia="zh-CN"/>
              </w:rPr>
              <w:t>t液态水，折合为</w:t>
            </w:r>
            <w:r>
              <w:rPr>
                <w:rFonts w:hint="eastAsia" w:cs="Times New Roman"/>
                <w:b w:val="0"/>
                <w:bCs w:val="0"/>
                <w:color w:val="auto"/>
                <w:sz w:val="24"/>
                <w:highlight w:val="none"/>
                <w:vertAlign w:val="baseline"/>
                <w:lang w:val="en-US" w:eastAsia="zh-CN"/>
              </w:rPr>
              <w:t>42.5195</w:t>
            </w:r>
            <w:r>
              <w:rPr>
                <w:rFonts w:hint="default" w:ascii="Times New Roman" w:hAnsi="Times New Roman" w:eastAsia="宋体" w:cs="Times New Roman"/>
                <w:b w:val="0"/>
                <w:bCs w:val="0"/>
                <w:color w:val="auto"/>
                <w:sz w:val="24"/>
                <w:highlight w:val="none"/>
                <w:vertAlign w:val="baseline"/>
                <w:lang w:val="en-US" w:eastAsia="zh-CN"/>
              </w:rPr>
              <w:t>t/h液态水</w:t>
            </w:r>
            <w:r>
              <w:rPr>
                <w:rFonts w:hint="eastAsia" w:ascii="Times New Roman" w:hAnsi="Times New Roman" w:eastAsia="宋体" w:cs="Times New Roman"/>
                <w:b w:val="0"/>
                <w:bCs w:val="0"/>
                <w:color w:val="auto"/>
                <w:sz w:val="24"/>
                <w:highlight w:val="none"/>
                <w:vertAlign w:val="baseline"/>
                <w:lang w:val="en-US" w:eastAsia="zh-CN"/>
              </w:rPr>
              <w:t>（烘干炉运营时间为</w:t>
            </w:r>
            <w:r>
              <w:rPr>
                <w:rFonts w:hint="eastAsia" w:cs="Times New Roman"/>
                <w:b w:val="0"/>
                <w:bCs w:val="0"/>
                <w:color w:val="auto"/>
                <w:sz w:val="24"/>
                <w:highlight w:val="none"/>
                <w:vertAlign w:val="baseline"/>
                <w:lang w:val="en-US" w:eastAsia="zh-CN"/>
              </w:rPr>
              <w:t>6720</w:t>
            </w:r>
            <w:r>
              <w:rPr>
                <w:rFonts w:hint="eastAsia" w:ascii="Times New Roman" w:hAnsi="Times New Roman" w:eastAsia="宋体" w:cs="Times New Roman"/>
                <w:b w:val="0"/>
                <w:bCs w:val="0"/>
                <w:color w:val="auto"/>
                <w:sz w:val="24"/>
                <w:highlight w:val="none"/>
                <w:vertAlign w:val="baseline"/>
                <w:lang w:val="en-US" w:eastAsia="zh-CN"/>
              </w:rPr>
              <w:t>h）</w:t>
            </w:r>
            <w:r>
              <w:rPr>
                <w:rFonts w:hint="default" w:ascii="Times New Roman" w:hAnsi="Times New Roman" w:eastAsia="宋体" w:cs="Times New Roman"/>
                <w:b w:val="0"/>
                <w:bCs w:val="0"/>
                <w:color w:val="auto"/>
                <w:sz w:val="24"/>
                <w:highlight w:val="none"/>
                <w:vertAlign w:val="baseline"/>
                <w:lang w:val="en-US" w:eastAsia="zh-CN"/>
              </w:rPr>
              <w:t>，水在烘干炉内以水蒸气形式存在，1kg液态水在气化后（100℃以上）的体积为1.2444m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vertAlign w:val="baseline"/>
                <w:lang w:val="en-US" w:eastAsia="zh-CN"/>
              </w:rPr>
              <w:t>，则本项目水蒸气产生量为</w:t>
            </w:r>
            <w:r>
              <w:rPr>
                <w:rFonts w:hint="eastAsia" w:cs="Times New Roman"/>
                <w:b w:val="0"/>
                <w:bCs w:val="0"/>
                <w:color w:val="auto"/>
                <w:sz w:val="24"/>
                <w:highlight w:val="none"/>
                <w:vertAlign w:val="baseline"/>
                <w:lang w:val="en-US" w:eastAsia="zh-CN"/>
              </w:rPr>
              <w:t>52911.2658</w:t>
            </w:r>
            <w:r>
              <w:rPr>
                <w:rFonts w:hint="default" w:ascii="Times New Roman" w:hAnsi="Times New Roman" w:eastAsia="宋体" w:cs="Times New Roman"/>
                <w:b w:val="0"/>
                <w:bCs w:val="0"/>
                <w:color w:val="auto"/>
                <w:sz w:val="24"/>
                <w:highlight w:val="none"/>
                <w:vertAlign w:val="baseli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vertAlign w:val="baseline"/>
                <w:lang w:val="en-US" w:eastAsia="zh-CN"/>
              </w:rPr>
              <w:t>/h，水蒸气通过</w:t>
            </w:r>
            <w:r>
              <w:rPr>
                <w:rFonts w:hint="eastAsia" w:ascii="Times New Roman" w:hAnsi="Times New Roman" w:eastAsia="宋体" w:cs="Times New Roman"/>
                <w:b w:val="0"/>
                <w:bCs w:val="0"/>
                <w:color w:val="auto"/>
                <w:sz w:val="24"/>
                <w:highlight w:val="none"/>
                <w:vertAlign w:val="baseline"/>
                <w:lang w:val="en-US" w:eastAsia="zh-CN"/>
              </w:rPr>
              <w:t>相应的污染物治理设施</w:t>
            </w:r>
            <w:r>
              <w:rPr>
                <w:rFonts w:hint="default" w:ascii="Times New Roman" w:hAnsi="Times New Roman" w:eastAsia="宋体" w:cs="Times New Roman"/>
                <w:b w:val="0"/>
                <w:bCs w:val="0"/>
                <w:color w:val="auto"/>
                <w:sz w:val="24"/>
                <w:highlight w:val="none"/>
                <w:vertAlign w:val="baseline"/>
                <w:lang w:val="en-US" w:eastAsia="zh-CN"/>
              </w:rPr>
              <w:t>后，损失量约为</w:t>
            </w:r>
            <w:r>
              <w:rPr>
                <w:rFonts w:hint="eastAsia"/>
                <w:color w:val="auto"/>
                <w:sz w:val="24"/>
                <w:highlight w:val="none"/>
                <w:lang w:val="en-US" w:eastAsia="zh-CN"/>
              </w:rPr>
              <w:t>1</w:t>
            </w:r>
            <w:r>
              <w:rPr>
                <w:color w:val="auto"/>
                <w:sz w:val="24"/>
                <w:highlight w:val="none"/>
              </w:rPr>
              <w:t>%，因此水蒸气外排量为</w:t>
            </w:r>
            <w:r>
              <w:rPr>
                <w:rFonts w:hint="eastAsia"/>
                <w:color w:val="auto"/>
                <w:sz w:val="24"/>
                <w:highlight w:val="none"/>
                <w:lang w:val="en-US" w:eastAsia="zh-CN"/>
              </w:rPr>
              <w:t>52382.1531</w:t>
            </w:r>
            <w:r>
              <w:rPr>
                <w:color w:val="auto"/>
                <w:sz w:val="24"/>
                <w:highlight w:val="none"/>
              </w:rPr>
              <w:t>m</w:t>
            </w:r>
            <w:r>
              <w:rPr>
                <w:color w:val="auto"/>
                <w:sz w:val="24"/>
                <w:highlight w:val="none"/>
                <w:vertAlign w:val="superscript"/>
              </w:rPr>
              <w:t>3</w:t>
            </w:r>
            <w:r>
              <w:rPr>
                <w:color w:val="auto"/>
                <w:sz w:val="24"/>
                <w:highlight w:val="none"/>
              </w:rPr>
              <w:t>/h</w:t>
            </w:r>
            <w:r>
              <w:rPr>
                <w:rFonts w:hint="eastAsia"/>
                <w:color w:val="auto"/>
                <w:sz w:val="24"/>
                <w:highlight w:val="none"/>
              </w:rPr>
              <w:t>。</w:t>
            </w:r>
          </w:p>
          <w:p w14:paraId="7793CC33">
            <w:pPr>
              <w:keepNext w:val="0"/>
              <w:keepLines w:val="0"/>
              <w:pageBreakBefore w:val="0"/>
              <w:widowControl w:val="0"/>
              <w:kinsoku/>
              <w:wordWrap/>
              <w:overflowPunct/>
              <w:topLinePunct w:val="0"/>
              <w:autoSpaceDE/>
              <w:autoSpaceDN/>
              <w:bidi w:val="0"/>
              <w:adjustRightInd/>
              <w:snapToGrid/>
              <w:spacing w:line="348" w:lineRule="auto"/>
              <w:ind w:left="0" w:leftChars="0" w:firstLine="506" w:firstLineChars="200"/>
              <w:textAlignment w:val="auto"/>
              <w:outlineLvl w:val="9"/>
              <w:rPr>
                <w:rFonts w:hint="default" w:cs="Times New Roman"/>
                <w:b/>
                <w:bCs/>
                <w:color w:val="auto"/>
                <w:spacing w:val="6"/>
                <w:kern w:val="2"/>
                <w:sz w:val="24"/>
                <w:szCs w:val="24"/>
                <w:highlight w:val="none"/>
                <w:lang w:val="en-US" w:eastAsia="zh-CN" w:bidi="ar-SA"/>
              </w:rPr>
            </w:pPr>
            <w:r>
              <w:rPr>
                <w:rFonts w:hint="eastAsia" w:cs="Times New Roman"/>
                <w:b/>
                <w:bCs/>
                <w:color w:val="auto"/>
                <w:spacing w:val="6"/>
                <w:kern w:val="2"/>
                <w:sz w:val="24"/>
                <w:szCs w:val="24"/>
                <w:highlight w:val="none"/>
                <w:lang w:val="en-US" w:eastAsia="zh-CN" w:bidi="ar-SA"/>
              </w:rPr>
              <w:t>E、氨逃逸</w:t>
            </w:r>
          </w:p>
          <w:p w14:paraId="2FAA6D78">
            <w:pPr>
              <w:adjustRightInd w:val="0"/>
              <w:snapToGrid w:val="0"/>
              <w:spacing w:line="360" w:lineRule="auto"/>
              <w:ind w:firstLine="480" w:firstLineChars="200"/>
              <w:rPr>
                <w:color w:val="auto"/>
                <w:sz w:val="24"/>
                <w:highlight w:val="none"/>
              </w:rPr>
            </w:pPr>
            <w:r>
              <w:rPr>
                <w:rFonts w:hint="eastAsia"/>
                <w:color w:val="auto"/>
                <w:sz w:val="24"/>
                <w:highlight w:val="none"/>
              </w:rPr>
              <w:t>SNCR脱硝过程中，脱硝率通常会随</w:t>
            </w:r>
            <w:r>
              <w:rPr>
                <w:color w:val="auto"/>
                <w:sz w:val="24"/>
                <w:highlight w:val="none"/>
              </w:rPr>
              <w:t>NH</w:t>
            </w:r>
            <w:r>
              <w:rPr>
                <w:color w:val="auto"/>
                <w:sz w:val="24"/>
                <w:highlight w:val="none"/>
                <w:vertAlign w:val="subscript"/>
              </w:rPr>
              <w:t>3</w:t>
            </w:r>
            <w:r>
              <w:rPr>
                <w:color w:val="auto"/>
                <w:sz w:val="24"/>
                <w:highlight w:val="none"/>
              </w:rPr>
              <w:t>/NO</w:t>
            </w:r>
            <w:r>
              <w:rPr>
                <w:rFonts w:hint="eastAsia"/>
                <w:color w:val="auto"/>
                <w:sz w:val="24"/>
                <w:highlight w:val="none"/>
                <w:vertAlign w:val="subscript"/>
              </w:rPr>
              <w:t>X</w:t>
            </w:r>
            <w:r>
              <w:rPr>
                <w:rFonts w:hint="eastAsia"/>
                <w:color w:val="auto"/>
                <w:sz w:val="24"/>
                <w:highlight w:val="none"/>
              </w:rPr>
              <w:t>摩尔比的增大而增大，但</w:t>
            </w:r>
            <w:r>
              <w:rPr>
                <w:color w:val="auto"/>
                <w:sz w:val="24"/>
                <w:highlight w:val="none"/>
              </w:rPr>
              <w:t>NH</w:t>
            </w:r>
            <w:r>
              <w:rPr>
                <w:color w:val="auto"/>
                <w:sz w:val="24"/>
                <w:highlight w:val="none"/>
                <w:vertAlign w:val="subscript"/>
              </w:rPr>
              <w:t>3</w:t>
            </w:r>
            <w:r>
              <w:rPr>
                <w:color w:val="auto"/>
                <w:sz w:val="24"/>
                <w:highlight w:val="none"/>
              </w:rPr>
              <w:t>/NO</w:t>
            </w:r>
            <w:r>
              <w:rPr>
                <w:rFonts w:hint="eastAsia"/>
                <w:color w:val="auto"/>
                <w:sz w:val="24"/>
                <w:highlight w:val="none"/>
                <w:vertAlign w:val="subscript"/>
              </w:rPr>
              <w:t>X</w:t>
            </w:r>
            <w:r>
              <w:rPr>
                <w:rFonts w:hint="eastAsia"/>
                <w:color w:val="auto"/>
                <w:sz w:val="24"/>
                <w:highlight w:val="none"/>
              </w:rPr>
              <w:t>摩尔比增大后运行中将有部分NH</w:t>
            </w:r>
            <w:r>
              <w:rPr>
                <w:rFonts w:hint="eastAsia"/>
                <w:color w:val="auto"/>
                <w:sz w:val="24"/>
                <w:highlight w:val="none"/>
                <w:vertAlign w:val="subscript"/>
              </w:rPr>
              <w:t>3</w:t>
            </w:r>
            <w:r>
              <w:rPr>
                <w:rFonts w:hint="eastAsia"/>
                <w:color w:val="auto"/>
                <w:sz w:val="24"/>
                <w:highlight w:val="none"/>
              </w:rPr>
              <w:t>未与NO</w:t>
            </w:r>
            <w:r>
              <w:rPr>
                <w:rFonts w:hint="eastAsia"/>
                <w:color w:val="auto"/>
                <w:sz w:val="24"/>
                <w:highlight w:val="none"/>
                <w:vertAlign w:val="subscript"/>
              </w:rPr>
              <w:t>X</w:t>
            </w:r>
            <w:r>
              <w:rPr>
                <w:rFonts w:hint="eastAsia"/>
                <w:color w:val="auto"/>
                <w:sz w:val="24"/>
                <w:highlight w:val="none"/>
              </w:rPr>
              <w:t>反应直接随烟气排出。现行SNCR脱硝系统设计一般要求氨逃逸量控制在8</w:t>
            </w:r>
            <w:r>
              <w:rPr>
                <w:color w:val="auto"/>
                <w:sz w:val="24"/>
                <w:highlight w:val="none"/>
              </w:rPr>
              <w:t>pp</w:t>
            </w:r>
            <w:r>
              <w:rPr>
                <w:rFonts w:hint="eastAsia"/>
                <w:color w:val="auto"/>
                <w:sz w:val="24"/>
                <w:highlight w:val="none"/>
              </w:rPr>
              <w:t>m（即6.072</w:t>
            </w:r>
            <w:r>
              <w:rPr>
                <w:color w:val="auto"/>
                <w:sz w:val="24"/>
                <w:highlight w:val="none"/>
              </w:rPr>
              <w:t>mg/m</w:t>
            </w:r>
            <w:r>
              <w:rPr>
                <w:color w:val="auto"/>
                <w:sz w:val="24"/>
                <w:highlight w:val="none"/>
                <w:vertAlign w:val="superscript"/>
              </w:rPr>
              <w:t>3</w:t>
            </w:r>
            <w:r>
              <w:rPr>
                <w:rFonts w:hint="eastAsia"/>
                <w:color w:val="auto"/>
                <w:sz w:val="24"/>
                <w:highlight w:val="none"/>
              </w:rPr>
              <w:t>）以下。则烘干系统氨逃逸量为</w:t>
            </w:r>
            <w:r>
              <w:rPr>
                <w:rFonts w:hint="eastAsia"/>
                <w:color w:val="auto"/>
                <w:sz w:val="24"/>
                <w:highlight w:val="none"/>
                <w:lang w:val="en-US" w:eastAsia="zh-CN"/>
              </w:rPr>
              <w:t>0.2154</w:t>
            </w:r>
            <w:r>
              <w:rPr>
                <w:color w:val="auto"/>
                <w:sz w:val="24"/>
                <w:highlight w:val="none"/>
              </w:rPr>
              <w:t>kg/h，</w:t>
            </w:r>
            <w:r>
              <w:rPr>
                <w:rFonts w:hint="eastAsia"/>
                <w:color w:val="auto"/>
                <w:sz w:val="24"/>
                <w:highlight w:val="none"/>
                <w:lang w:val="en-US" w:eastAsia="zh-CN"/>
              </w:rPr>
              <w:t>1.4475</w:t>
            </w:r>
            <w:r>
              <w:rPr>
                <w:color w:val="auto"/>
                <w:sz w:val="24"/>
                <w:highlight w:val="none"/>
              </w:rPr>
              <w:t>t/a。</w:t>
            </w:r>
          </w:p>
          <w:p w14:paraId="2623BCC6">
            <w:pPr>
              <w:adjustRightInd w:val="0"/>
              <w:snapToGrid w:val="0"/>
              <w:spacing w:line="360" w:lineRule="auto"/>
              <w:ind w:firstLine="480" w:firstLineChars="200"/>
              <w:rPr>
                <w:color w:val="auto"/>
                <w:sz w:val="24"/>
                <w:highlight w:val="none"/>
              </w:rPr>
            </w:pPr>
            <w:r>
              <w:rPr>
                <w:rFonts w:hint="eastAsia"/>
                <w:color w:val="auto"/>
                <w:sz w:val="24"/>
                <w:highlight w:val="none"/>
              </w:rPr>
              <w:t>系统内未反应的N</w:t>
            </w:r>
            <w:r>
              <w:rPr>
                <w:color w:val="auto"/>
                <w:sz w:val="24"/>
                <w:highlight w:val="none"/>
              </w:rPr>
              <w:t>H</w:t>
            </w:r>
            <w:r>
              <w:rPr>
                <w:color w:val="auto"/>
                <w:sz w:val="24"/>
                <w:highlight w:val="none"/>
                <w:vertAlign w:val="subscript"/>
              </w:rPr>
              <w:t>3</w:t>
            </w:r>
            <w:r>
              <w:rPr>
                <w:rFonts w:hint="eastAsia"/>
                <w:color w:val="auto"/>
                <w:sz w:val="24"/>
                <w:highlight w:val="none"/>
              </w:rPr>
              <w:t>可与烟气中的SO</w:t>
            </w:r>
            <w:r>
              <w:rPr>
                <w:rFonts w:hint="eastAsia"/>
                <w:color w:val="auto"/>
                <w:sz w:val="24"/>
                <w:highlight w:val="none"/>
                <w:vertAlign w:val="subscript"/>
              </w:rPr>
              <w:t>3</w:t>
            </w:r>
            <w:r>
              <w:rPr>
                <w:rFonts w:hint="eastAsia"/>
                <w:color w:val="auto"/>
                <w:sz w:val="24"/>
                <w:highlight w:val="none"/>
              </w:rPr>
              <w:t>及颗粒物在低温下发生固化反应形成硫酸铵或亚硫酸铵，随烟气排出经过除尘器除尘后，保守考虑综合氨吸收在80%以上，因此烘干系统最终排放烟气中的氨排放情况如下：</w:t>
            </w:r>
          </w:p>
          <w:p w14:paraId="6A8D63EA">
            <w:pPr>
              <w:adjustRightInd w:val="0"/>
              <w:snapToGrid w:val="0"/>
              <w:spacing w:line="360" w:lineRule="auto"/>
              <w:jc w:val="center"/>
              <w:rPr>
                <w:rFonts w:hint="eastAsia"/>
                <w:b/>
                <w:color w:val="auto"/>
                <w:szCs w:val="21"/>
                <w:highlight w:val="none"/>
              </w:rPr>
            </w:pPr>
          </w:p>
          <w:p w14:paraId="464969A5">
            <w:pPr>
              <w:adjustRightInd w:val="0"/>
              <w:snapToGrid w:val="0"/>
              <w:spacing w:line="360" w:lineRule="auto"/>
              <w:jc w:val="center"/>
              <w:rPr>
                <w:b/>
                <w:color w:val="auto"/>
                <w:szCs w:val="21"/>
                <w:highlight w:val="none"/>
              </w:rPr>
            </w:pPr>
            <w:r>
              <w:rPr>
                <w:rFonts w:hint="eastAsia"/>
                <w:b/>
                <w:color w:val="auto"/>
                <w:szCs w:val="21"/>
                <w:highlight w:val="none"/>
              </w:rPr>
              <w:t>表</w:t>
            </w:r>
            <w:r>
              <w:rPr>
                <w:rFonts w:hint="eastAsia"/>
                <w:b/>
                <w:color w:val="auto"/>
                <w:szCs w:val="21"/>
                <w:highlight w:val="none"/>
                <w:lang w:val="en-US" w:eastAsia="zh-CN"/>
              </w:rPr>
              <w:t>4</w:t>
            </w:r>
            <w:r>
              <w:rPr>
                <w:rFonts w:hint="eastAsia"/>
                <w:b/>
                <w:color w:val="auto"/>
                <w:szCs w:val="21"/>
                <w:highlight w:val="none"/>
              </w:rPr>
              <w:t>-</w:t>
            </w:r>
            <w:r>
              <w:rPr>
                <w:rFonts w:hint="eastAsia"/>
                <w:b/>
                <w:color w:val="auto"/>
                <w:szCs w:val="21"/>
                <w:highlight w:val="none"/>
                <w:lang w:val="en-US" w:eastAsia="zh-CN"/>
              </w:rPr>
              <w:t>8</w:t>
            </w:r>
            <w:r>
              <w:rPr>
                <w:b/>
                <w:color w:val="auto"/>
                <w:szCs w:val="21"/>
                <w:highlight w:val="none"/>
              </w:rPr>
              <w:t xml:space="preserve">  </w:t>
            </w:r>
            <w:r>
              <w:rPr>
                <w:rFonts w:hint="eastAsia"/>
                <w:b/>
                <w:color w:val="auto"/>
                <w:szCs w:val="21"/>
                <w:highlight w:val="none"/>
              </w:rPr>
              <w:t>烘干系统外排烟气中NH</w:t>
            </w:r>
            <w:r>
              <w:rPr>
                <w:rFonts w:hint="eastAsia"/>
                <w:b/>
                <w:color w:val="auto"/>
                <w:szCs w:val="21"/>
                <w:highlight w:val="none"/>
                <w:vertAlign w:val="subscript"/>
              </w:rPr>
              <w:t>3</w:t>
            </w:r>
            <w:r>
              <w:rPr>
                <w:rFonts w:hint="eastAsia"/>
                <w:b/>
                <w:color w:val="auto"/>
                <w:szCs w:val="21"/>
                <w:highlight w:val="none"/>
              </w:rPr>
              <w:t>产排情况</w:t>
            </w:r>
          </w:p>
          <w:tbl>
            <w:tblPr>
              <w:tblStyle w:val="27"/>
              <w:tblW w:w="8445"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794"/>
              <w:gridCol w:w="837"/>
              <w:gridCol w:w="867"/>
              <w:gridCol w:w="868"/>
              <w:gridCol w:w="794"/>
              <w:gridCol w:w="794"/>
              <w:gridCol w:w="798"/>
              <w:gridCol w:w="880"/>
              <w:gridCol w:w="629"/>
            </w:tblGrid>
            <w:tr w14:paraId="43087E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4" w:type="dxa"/>
                  <w:vMerge w:val="restart"/>
                  <w:vAlign w:val="center"/>
                </w:tcPr>
                <w:p w14:paraId="594E2090">
                  <w:pPr>
                    <w:adjustRightInd w:val="0"/>
                    <w:snapToGrid w:val="0"/>
                    <w:jc w:val="center"/>
                    <w:rPr>
                      <w:b/>
                      <w:color w:val="auto"/>
                      <w:szCs w:val="21"/>
                      <w:highlight w:val="none"/>
                    </w:rPr>
                  </w:pPr>
                  <w:r>
                    <w:rPr>
                      <w:rFonts w:hint="eastAsia"/>
                      <w:b/>
                      <w:color w:val="auto"/>
                      <w:szCs w:val="21"/>
                      <w:highlight w:val="none"/>
                    </w:rPr>
                    <w:t>污染物</w:t>
                  </w:r>
                </w:p>
              </w:tc>
              <w:tc>
                <w:tcPr>
                  <w:tcW w:w="2498" w:type="dxa"/>
                  <w:gridSpan w:val="3"/>
                  <w:vAlign w:val="center"/>
                </w:tcPr>
                <w:p w14:paraId="2960BB0C">
                  <w:pPr>
                    <w:adjustRightInd w:val="0"/>
                    <w:snapToGrid w:val="0"/>
                    <w:jc w:val="center"/>
                    <w:rPr>
                      <w:b/>
                      <w:color w:val="auto"/>
                      <w:szCs w:val="21"/>
                      <w:highlight w:val="none"/>
                    </w:rPr>
                  </w:pPr>
                  <w:r>
                    <w:rPr>
                      <w:b/>
                      <w:color w:val="auto"/>
                      <w:szCs w:val="21"/>
                      <w:highlight w:val="none"/>
                    </w:rPr>
                    <w:t>产生情况</w:t>
                  </w:r>
                </w:p>
              </w:tc>
              <w:tc>
                <w:tcPr>
                  <w:tcW w:w="868" w:type="dxa"/>
                  <w:vMerge w:val="restart"/>
                  <w:vAlign w:val="center"/>
                </w:tcPr>
                <w:p w14:paraId="2DCEB9FA">
                  <w:pPr>
                    <w:adjustRightInd w:val="0"/>
                    <w:snapToGrid w:val="0"/>
                    <w:jc w:val="center"/>
                    <w:rPr>
                      <w:b/>
                      <w:color w:val="auto"/>
                      <w:szCs w:val="21"/>
                      <w:highlight w:val="none"/>
                    </w:rPr>
                  </w:pPr>
                  <w:r>
                    <w:rPr>
                      <w:b/>
                      <w:color w:val="auto"/>
                      <w:szCs w:val="21"/>
                      <w:highlight w:val="none"/>
                    </w:rPr>
                    <w:t>削减量</w:t>
                  </w:r>
                </w:p>
              </w:tc>
              <w:tc>
                <w:tcPr>
                  <w:tcW w:w="2386" w:type="dxa"/>
                  <w:gridSpan w:val="3"/>
                  <w:vAlign w:val="center"/>
                </w:tcPr>
                <w:p w14:paraId="523796B3">
                  <w:pPr>
                    <w:adjustRightInd w:val="0"/>
                    <w:snapToGrid w:val="0"/>
                    <w:jc w:val="center"/>
                    <w:rPr>
                      <w:b/>
                      <w:color w:val="auto"/>
                      <w:szCs w:val="21"/>
                      <w:highlight w:val="none"/>
                    </w:rPr>
                  </w:pPr>
                  <w:r>
                    <w:rPr>
                      <w:b/>
                      <w:color w:val="auto"/>
                      <w:szCs w:val="21"/>
                      <w:highlight w:val="none"/>
                    </w:rPr>
                    <w:t>排放情况</w:t>
                  </w:r>
                </w:p>
              </w:tc>
              <w:tc>
                <w:tcPr>
                  <w:tcW w:w="880" w:type="dxa"/>
                  <w:vMerge w:val="restart"/>
                  <w:vAlign w:val="center"/>
                </w:tcPr>
                <w:p w14:paraId="2148E637">
                  <w:pPr>
                    <w:adjustRightInd w:val="0"/>
                    <w:snapToGrid w:val="0"/>
                    <w:jc w:val="center"/>
                    <w:rPr>
                      <w:b/>
                      <w:color w:val="auto"/>
                      <w:szCs w:val="21"/>
                      <w:highlight w:val="none"/>
                    </w:rPr>
                  </w:pPr>
                  <w:r>
                    <w:rPr>
                      <w:b/>
                      <w:color w:val="auto"/>
                      <w:szCs w:val="21"/>
                      <w:highlight w:val="none"/>
                    </w:rPr>
                    <w:t>标准</w:t>
                  </w:r>
                </w:p>
                <w:p w14:paraId="3C400C74">
                  <w:pPr>
                    <w:adjustRightInd w:val="0"/>
                    <w:snapToGrid w:val="0"/>
                    <w:jc w:val="center"/>
                    <w:rPr>
                      <w:b/>
                      <w:color w:val="auto"/>
                      <w:szCs w:val="21"/>
                      <w:highlight w:val="none"/>
                    </w:rPr>
                  </w:pPr>
                  <w:r>
                    <w:rPr>
                      <w:b/>
                      <w:color w:val="auto"/>
                      <w:szCs w:val="21"/>
                      <w:highlight w:val="none"/>
                    </w:rPr>
                    <w:t>限值</w:t>
                  </w:r>
                </w:p>
              </w:tc>
              <w:tc>
                <w:tcPr>
                  <w:tcW w:w="629" w:type="dxa"/>
                  <w:vMerge w:val="restart"/>
                  <w:vAlign w:val="center"/>
                </w:tcPr>
                <w:p w14:paraId="4E5F3BD1">
                  <w:pPr>
                    <w:adjustRightInd w:val="0"/>
                    <w:snapToGrid w:val="0"/>
                    <w:jc w:val="center"/>
                    <w:rPr>
                      <w:b/>
                      <w:color w:val="auto"/>
                      <w:szCs w:val="21"/>
                      <w:highlight w:val="none"/>
                    </w:rPr>
                  </w:pPr>
                  <w:r>
                    <w:rPr>
                      <w:b/>
                      <w:color w:val="auto"/>
                      <w:szCs w:val="21"/>
                      <w:highlight w:val="none"/>
                    </w:rPr>
                    <w:t>达标情况</w:t>
                  </w:r>
                </w:p>
              </w:tc>
            </w:tr>
            <w:tr w14:paraId="1F2F8F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4" w:type="dxa"/>
                  <w:vMerge w:val="continue"/>
                  <w:vAlign w:val="center"/>
                </w:tcPr>
                <w:p w14:paraId="025D95C3">
                  <w:pPr>
                    <w:adjustRightInd w:val="0"/>
                    <w:snapToGrid w:val="0"/>
                    <w:jc w:val="center"/>
                    <w:rPr>
                      <w:b/>
                      <w:color w:val="auto"/>
                      <w:szCs w:val="21"/>
                      <w:highlight w:val="none"/>
                    </w:rPr>
                  </w:pPr>
                </w:p>
              </w:tc>
              <w:tc>
                <w:tcPr>
                  <w:tcW w:w="794" w:type="dxa"/>
                  <w:vAlign w:val="center"/>
                </w:tcPr>
                <w:p w14:paraId="52021993">
                  <w:pPr>
                    <w:adjustRightInd w:val="0"/>
                    <w:snapToGrid w:val="0"/>
                    <w:jc w:val="center"/>
                    <w:rPr>
                      <w:b/>
                      <w:color w:val="auto"/>
                      <w:szCs w:val="21"/>
                      <w:highlight w:val="none"/>
                    </w:rPr>
                  </w:pPr>
                  <w:r>
                    <w:rPr>
                      <w:b/>
                      <w:color w:val="auto"/>
                      <w:szCs w:val="21"/>
                      <w:highlight w:val="none"/>
                    </w:rPr>
                    <w:t>速率</w:t>
                  </w:r>
                </w:p>
              </w:tc>
              <w:tc>
                <w:tcPr>
                  <w:tcW w:w="837" w:type="dxa"/>
                  <w:vAlign w:val="center"/>
                </w:tcPr>
                <w:p w14:paraId="73F8423C">
                  <w:pPr>
                    <w:adjustRightInd w:val="0"/>
                    <w:snapToGrid w:val="0"/>
                    <w:jc w:val="center"/>
                    <w:rPr>
                      <w:b/>
                      <w:color w:val="auto"/>
                      <w:szCs w:val="21"/>
                      <w:highlight w:val="none"/>
                    </w:rPr>
                  </w:pPr>
                  <w:r>
                    <w:rPr>
                      <w:b/>
                      <w:color w:val="auto"/>
                      <w:szCs w:val="21"/>
                      <w:highlight w:val="none"/>
                    </w:rPr>
                    <w:t>量</w:t>
                  </w:r>
                </w:p>
              </w:tc>
              <w:tc>
                <w:tcPr>
                  <w:tcW w:w="867" w:type="dxa"/>
                  <w:vAlign w:val="center"/>
                </w:tcPr>
                <w:p w14:paraId="3518379B">
                  <w:pPr>
                    <w:adjustRightInd w:val="0"/>
                    <w:snapToGrid w:val="0"/>
                    <w:jc w:val="center"/>
                    <w:rPr>
                      <w:b/>
                      <w:color w:val="auto"/>
                      <w:szCs w:val="21"/>
                      <w:highlight w:val="none"/>
                    </w:rPr>
                  </w:pPr>
                  <w:r>
                    <w:rPr>
                      <w:b/>
                      <w:color w:val="auto"/>
                      <w:szCs w:val="21"/>
                      <w:highlight w:val="none"/>
                    </w:rPr>
                    <w:t>浓度</w:t>
                  </w:r>
                </w:p>
              </w:tc>
              <w:tc>
                <w:tcPr>
                  <w:tcW w:w="868" w:type="dxa"/>
                  <w:vMerge w:val="continue"/>
                  <w:vAlign w:val="center"/>
                </w:tcPr>
                <w:p w14:paraId="6F15DFD6">
                  <w:pPr>
                    <w:adjustRightInd w:val="0"/>
                    <w:snapToGrid w:val="0"/>
                    <w:jc w:val="center"/>
                    <w:rPr>
                      <w:b/>
                      <w:color w:val="auto"/>
                      <w:szCs w:val="21"/>
                      <w:highlight w:val="none"/>
                    </w:rPr>
                  </w:pPr>
                </w:p>
              </w:tc>
              <w:tc>
                <w:tcPr>
                  <w:tcW w:w="794" w:type="dxa"/>
                  <w:vAlign w:val="center"/>
                </w:tcPr>
                <w:p w14:paraId="36D6FE74">
                  <w:pPr>
                    <w:adjustRightInd w:val="0"/>
                    <w:snapToGrid w:val="0"/>
                    <w:jc w:val="center"/>
                    <w:rPr>
                      <w:b/>
                      <w:color w:val="auto"/>
                      <w:szCs w:val="21"/>
                      <w:highlight w:val="none"/>
                    </w:rPr>
                  </w:pPr>
                  <w:r>
                    <w:rPr>
                      <w:b/>
                      <w:color w:val="auto"/>
                      <w:szCs w:val="21"/>
                      <w:highlight w:val="none"/>
                    </w:rPr>
                    <w:t>速率</w:t>
                  </w:r>
                </w:p>
              </w:tc>
              <w:tc>
                <w:tcPr>
                  <w:tcW w:w="794" w:type="dxa"/>
                  <w:vAlign w:val="center"/>
                </w:tcPr>
                <w:p w14:paraId="51CD4B92">
                  <w:pPr>
                    <w:adjustRightInd w:val="0"/>
                    <w:snapToGrid w:val="0"/>
                    <w:jc w:val="center"/>
                    <w:rPr>
                      <w:b/>
                      <w:color w:val="auto"/>
                      <w:szCs w:val="21"/>
                      <w:highlight w:val="none"/>
                    </w:rPr>
                  </w:pPr>
                  <w:r>
                    <w:rPr>
                      <w:b/>
                      <w:color w:val="auto"/>
                      <w:szCs w:val="21"/>
                      <w:highlight w:val="none"/>
                    </w:rPr>
                    <w:t>量</w:t>
                  </w:r>
                </w:p>
              </w:tc>
              <w:tc>
                <w:tcPr>
                  <w:tcW w:w="798" w:type="dxa"/>
                  <w:vAlign w:val="center"/>
                </w:tcPr>
                <w:p w14:paraId="46427C14">
                  <w:pPr>
                    <w:adjustRightInd w:val="0"/>
                    <w:snapToGrid w:val="0"/>
                    <w:jc w:val="center"/>
                    <w:rPr>
                      <w:b/>
                      <w:color w:val="auto"/>
                      <w:szCs w:val="21"/>
                      <w:highlight w:val="none"/>
                    </w:rPr>
                  </w:pPr>
                  <w:r>
                    <w:rPr>
                      <w:b/>
                      <w:color w:val="auto"/>
                      <w:szCs w:val="21"/>
                      <w:highlight w:val="none"/>
                    </w:rPr>
                    <w:t>浓度</w:t>
                  </w:r>
                </w:p>
              </w:tc>
              <w:tc>
                <w:tcPr>
                  <w:tcW w:w="880" w:type="dxa"/>
                  <w:vMerge w:val="continue"/>
                  <w:vAlign w:val="center"/>
                </w:tcPr>
                <w:p w14:paraId="08C64DAD">
                  <w:pPr>
                    <w:adjustRightInd w:val="0"/>
                    <w:snapToGrid w:val="0"/>
                    <w:jc w:val="center"/>
                    <w:rPr>
                      <w:color w:val="auto"/>
                      <w:szCs w:val="21"/>
                      <w:highlight w:val="none"/>
                    </w:rPr>
                  </w:pPr>
                </w:p>
              </w:tc>
              <w:tc>
                <w:tcPr>
                  <w:tcW w:w="629" w:type="dxa"/>
                  <w:vMerge w:val="continue"/>
                  <w:vAlign w:val="center"/>
                </w:tcPr>
                <w:p w14:paraId="0AEA562A">
                  <w:pPr>
                    <w:adjustRightInd w:val="0"/>
                    <w:snapToGrid w:val="0"/>
                    <w:jc w:val="center"/>
                    <w:rPr>
                      <w:color w:val="auto"/>
                      <w:szCs w:val="21"/>
                      <w:highlight w:val="none"/>
                    </w:rPr>
                  </w:pPr>
                </w:p>
              </w:tc>
            </w:tr>
            <w:tr w14:paraId="6F7850B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4" w:type="dxa"/>
                  <w:vMerge w:val="continue"/>
                  <w:vAlign w:val="center"/>
                </w:tcPr>
                <w:p w14:paraId="02C98BE7">
                  <w:pPr>
                    <w:adjustRightInd w:val="0"/>
                    <w:snapToGrid w:val="0"/>
                    <w:jc w:val="center"/>
                    <w:rPr>
                      <w:b/>
                      <w:color w:val="auto"/>
                      <w:szCs w:val="21"/>
                      <w:highlight w:val="none"/>
                    </w:rPr>
                  </w:pPr>
                </w:p>
              </w:tc>
              <w:tc>
                <w:tcPr>
                  <w:tcW w:w="794" w:type="dxa"/>
                  <w:vAlign w:val="center"/>
                </w:tcPr>
                <w:p w14:paraId="48B431F6">
                  <w:pPr>
                    <w:adjustRightInd w:val="0"/>
                    <w:snapToGrid w:val="0"/>
                    <w:jc w:val="center"/>
                    <w:rPr>
                      <w:b/>
                      <w:color w:val="auto"/>
                      <w:szCs w:val="21"/>
                      <w:highlight w:val="none"/>
                    </w:rPr>
                  </w:pPr>
                  <w:r>
                    <w:rPr>
                      <w:b/>
                      <w:color w:val="auto"/>
                      <w:szCs w:val="21"/>
                      <w:highlight w:val="none"/>
                    </w:rPr>
                    <w:t>kg/h</w:t>
                  </w:r>
                </w:p>
              </w:tc>
              <w:tc>
                <w:tcPr>
                  <w:tcW w:w="837" w:type="dxa"/>
                  <w:vAlign w:val="center"/>
                </w:tcPr>
                <w:p w14:paraId="242D98B6">
                  <w:pPr>
                    <w:adjustRightInd w:val="0"/>
                    <w:snapToGrid w:val="0"/>
                    <w:jc w:val="center"/>
                    <w:rPr>
                      <w:b/>
                      <w:color w:val="auto"/>
                      <w:szCs w:val="21"/>
                      <w:highlight w:val="none"/>
                    </w:rPr>
                  </w:pPr>
                  <w:r>
                    <w:rPr>
                      <w:b/>
                      <w:color w:val="auto"/>
                      <w:szCs w:val="21"/>
                      <w:highlight w:val="none"/>
                    </w:rPr>
                    <w:t>t/a</w:t>
                  </w:r>
                </w:p>
              </w:tc>
              <w:tc>
                <w:tcPr>
                  <w:tcW w:w="867" w:type="dxa"/>
                  <w:vAlign w:val="center"/>
                </w:tcPr>
                <w:p w14:paraId="1F523B0C">
                  <w:pPr>
                    <w:adjustRightInd w:val="0"/>
                    <w:snapToGrid w:val="0"/>
                    <w:jc w:val="center"/>
                    <w:rPr>
                      <w:b/>
                      <w:color w:val="auto"/>
                      <w:szCs w:val="21"/>
                      <w:highlight w:val="none"/>
                    </w:rPr>
                  </w:pPr>
                  <w:r>
                    <w:rPr>
                      <w:b/>
                      <w:color w:val="auto"/>
                      <w:szCs w:val="21"/>
                      <w:highlight w:val="none"/>
                    </w:rPr>
                    <w:t>mg/m</w:t>
                  </w:r>
                  <w:r>
                    <w:rPr>
                      <w:b/>
                      <w:color w:val="auto"/>
                      <w:szCs w:val="21"/>
                      <w:highlight w:val="none"/>
                      <w:vertAlign w:val="superscript"/>
                    </w:rPr>
                    <w:t>3</w:t>
                  </w:r>
                </w:p>
              </w:tc>
              <w:tc>
                <w:tcPr>
                  <w:tcW w:w="868" w:type="dxa"/>
                  <w:vAlign w:val="center"/>
                </w:tcPr>
                <w:p w14:paraId="7D0498B3">
                  <w:pPr>
                    <w:adjustRightInd w:val="0"/>
                    <w:snapToGrid w:val="0"/>
                    <w:jc w:val="center"/>
                    <w:rPr>
                      <w:b/>
                      <w:color w:val="auto"/>
                      <w:szCs w:val="21"/>
                      <w:highlight w:val="none"/>
                    </w:rPr>
                  </w:pPr>
                  <w:r>
                    <w:rPr>
                      <w:b/>
                      <w:color w:val="auto"/>
                      <w:szCs w:val="21"/>
                      <w:highlight w:val="none"/>
                    </w:rPr>
                    <w:t>t/a</w:t>
                  </w:r>
                </w:p>
              </w:tc>
              <w:tc>
                <w:tcPr>
                  <w:tcW w:w="794" w:type="dxa"/>
                  <w:vAlign w:val="center"/>
                </w:tcPr>
                <w:p w14:paraId="5CDEF69A">
                  <w:pPr>
                    <w:adjustRightInd w:val="0"/>
                    <w:snapToGrid w:val="0"/>
                    <w:jc w:val="center"/>
                    <w:rPr>
                      <w:b/>
                      <w:color w:val="auto"/>
                      <w:szCs w:val="21"/>
                      <w:highlight w:val="none"/>
                    </w:rPr>
                  </w:pPr>
                  <w:r>
                    <w:rPr>
                      <w:b/>
                      <w:color w:val="auto"/>
                      <w:szCs w:val="21"/>
                      <w:highlight w:val="none"/>
                    </w:rPr>
                    <w:t>kg/h</w:t>
                  </w:r>
                </w:p>
              </w:tc>
              <w:tc>
                <w:tcPr>
                  <w:tcW w:w="794" w:type="dxa"/>
                  <w:vAlign w:val="center"/>
                </w:tcPr>
                <w:p w14:paraId="351D9FC7">
                  <w:pPr>
                    <w:adjustRightInd w:val="0"/>
                    <w:snapToGrid w:val="0"/>
                    <w:jc w:val="center"/>
                    <w:rPr>
                      <w:b/>
                      <w:color w:val="auto"/>
                      <w:szCs w:val="21"/>
                      <w:highlight w:val="none"/>
                    </w:rPr>
                  </w:pPr>
                  <w:r>
                    <w:rPr>
                      <w:b/>
                      <w:color w:val="auto"/>
                      <w:szCs w:val="21"/>
                      <w:highlight w:val="none"/>
                    </w:rPr>
                    <w:t>t/a</w:t>
                  </w:r>
                </w:p>
              </w:tc>
              <w:tc>
                <w:tcPr>
                  <w:tcW w:w="798" w:type="dxa"/>
                  <w:vAlign w:val="center"/>
                </w:tcPr>
                <w:p w14:paraId="5450436B">
                  <w:pPr>
                    <w:adjustRightInd w:val="0"/>
                    <w:snapToGrid w:val="0"/>
                    <w:jc w:val="center"/>
                    <w:rPr>
                      <w:b/>
                      <w:color w:val="auto"/>
                      <w:szCs w:val="21"/>
                      <w:highlight w:val="none"/>
                    </w:rPr>
                  </w:pPr>
                  <w:r>
                    <w:rPr>
                      <w:b/>
                      <w:color w:val="auto"/>
                      <w:szCs w:val="21"/>
                      <w:highlight w:val="none"/>
                    </w:rPr>
                    <w:t>mg/m</w:t>
                  </w:r>
                  <w:r>
                    <w:rPr>
                      <w:b/>
                      <w:color w:val="auto"/>
                      <w:szCs w:val="21"/>
                      <w:highlight w:val="none"/>
                      <w:vertAlign w:val="superscript"/>
                    </w:rPr>
                    <w:t>3</w:t>
                  </w:r>
                </w:p>
              </w:tc>
              <w:tc>
                <w:tcPr>
                  <w:tcW w:w="880" w:type="dxa"/>
                  <w:vMerge w:val="continue"/>
                  <w:vAlign w:val="center"/>
                </w:tcPr>
                <w:p w14:paraId="1C4E9828">
                  <w:pPr>
                    <w:adjustRightInd w:val="0"/>
                    <w:snapToGrid w:val="0"/>
                    <w:jc w:val="center"/>
                    <w:rPr>
                      <w:color w:val="auto"/>
                      <w:szCs w:val="21"/>
                      <w:highlight w:val="none"/>
                    </w:rPr>
                  </w:pPr>
                </w:p>
              </w:tc>
              <w:tc>
                <w:tcPr>
                  <w:tcW w:w="629" w:type="dxa"/>
                  <w:vMerge w:val="continue"/>
                  <w:vAlign w:val="center"/>
                </w:tcPr>
                <w:p w14:paraId="3CAC6696">
                  <w:pPr>
                    <w:adjustRightInd w:val="0"/>
                    <w:snapToGrid w:val="0"/>
                    <w:jc w:val="center"/>
                    <w:rPr>
                      <w:color w:val="auto"/>
                      <w:szCs w:val="21"/>
                      <w:highlight w:val="none"/>
                    </w:rPr>
                  </w:pPr>
                </w:p>
              </w:tc>
            </w:tr>
            <w:tr w14:paraId="6FEE5BB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4" w:type="dxa"/>
                  <w:vAlign w:val="center"/>
                </w:tcPr>
                <w:p w14:paraId="713ADB9C">
                  <w:pPr>
                    <w:adjustRightInd w:val="0"/>
                    <w:snapToGrid w:val="0"/>
                    <w:jc w:val="center"/>
                    <w:rPr>
                      <w:color w:val="auto"/>
                      <w:szCs w:val="21"/>
                      <w:highlight w:val="none"/>
                    </w:rPr>
                  </w:pPr>
                  <w:r>
                    <w:rPr>
                      <w:rFonts w:hint="eastAsia"/>
                      <w:color w:val="auto"/>
                      <w:szCs w:val="21"/>
                      <w:highlight w:val="none"/>
                    </w:rPr>
                    <w:t>NH</w:t>
                  </w:r>
                  <w:r>
                    <w:rPr>
                      <w:rFonts w:hint="eastAsia"/>
                      <w:color w:val="auto"/>
                      <w:szCs w:val="21"/>
                      <w:highlight w:val="none"/>
                      <w:vertAlign w:val="subscript"/>
                    </w:rPr>
                    <w:t>3</w:t>
                  </w:r>
                </w:p>
              </w:tc>
              <w:tc>
                <w:tcPr>
                  <w:tcW w:w="794" w:type="dxa"/>
                  <w:vAlign w:val="center"/>
                </w:tcPr>
                <w:p w14:paraId="14CCA448">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0.2154</w:t>
                  </w:r>
                </w:p>
              </w:tc>
              <w:tc>
                <w:tcPr>
                  <w:tcW w:w="837" w:type="dxa"/>
                  <w:vAlign w:val="center"/>
                </w:tcPr>
                <w:p w14:paraId="4DEED533">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1.4475</w:t>
                  </w:r>
                </w:p>
              </w:tc>
              <w:tc>
                <w:tcPr>
                  <w:tcW w:w="867" w:type="dxa"/>
                  <w:vAlign w:val="center"/>
                </w:tcPr>
                <w:p w14:paraId="7588E3DE">
                  <w:pPr>
                    <w:adjustRightInd w:val="0"/>
                    <w:snapToGrid w:val="0"/>
                    <w:jc w:val="center"/>
                    <w:rPr>
                      <w:rFonts w:hint="default" w:eastAsia="宋体"/>
                      <w:color w:val="auto"/>
                      <w:szCs w:val="21"/>
                      <w:highlight w:val="none"/>
                      <w:lang w:val="en-US" w:eastAsia="zh-CN"/>
                    </w:rPr>
                  </w:pPr>
                  <w:r>
                    <w:rPr>
                      <w:color w:val="auto"/>
                      <w:szCs w:val="21"/>
                      <w:highlight w:val="none"/>
                    </w:rPr>
                    <w:t>6.0</w:t>
                  </w:r>
                  <w:r>
                    <w:rPr>
                      <w:rFonts w:hint="eastAsia"/>
                      <w:color w:val="auto"/>
                      <w:szCs w:val="21"/>
                      <w:highlight w:val="none"/>
                      <w:lang w:val="en-US" w:eastAsia="zh-CN"/>
                    </w:rPr>
                    <w:t>72</w:t>
                  </w:r>
                </w:p>
              </w:tc>
              <w:tc>
                <w:tcPr>
                  <w:tcW w:w="868" w:type="dxa"/>
                  <w:vAlign w:val="center"/>
                </w:tcPr>
                <w:p w14:paraId="7A1F550A">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1.1580</w:t>
                  </w:r>
                </w:p>
              </w:tc>
              <w:tc>
                <w:tcPr>
                  <w:tcW w:w="794" w:type="dxa"/>
                  <w:vAlign w:val="center"/>
                </w:tcPr>
                <w:p w14:paraId="49E9DE42">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0.0431</w:t>
                  </w:r>
                </w:p>
              </w:tc>
              <w:tc>
                <w:tcPr>
                  <w:tcW w:w="794" w:type="dxa"/>
                  <w:vAlign w:val="center"/>
                </w:tcPr>
                <w:p w14:paraId="63CE4C5C">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0.2895</w:t>
                  </w:r>
                </w:p>
              </w:tc>
              <w:tc>
                <w:tcPr>
                  <w:tcW w:w="798" w:type="dxa"/>
                  <w:vAlign w:val="center"/>
                </w:tcPr>
                <w:p w14:paraId="64696A6C">
                  <w:pPr>
                    <w:adjustRightInd w:val="0"/>
                    <w:snapToGrid w:val="0"/>
                    <w:jc w:val="center"/>
                    <w:rPr>
                      <w:rFonts w:hint="eastAsia" w:eastAsia="宋体"/>
                      <w:color w:val="auto"/>
                      <w:szCs w:val="21"/>
                      <w:highlight w:val="none"/>
                      <w:lang w:eastAsia="zh-CN"/>
                    </w:rPr>
                  </w:pPr>
                  <w:r>
                    <w:rPr>
                      <w:color w:val="auto"/>
                      <w:szCs w:val="21"/>
                      <w:highlight w:val="none"/>
                    </w:rPr>
                    <w:t>1.2</w:t>
                  </w:r>
                  <w:r>
                    <w:rPr>
                      <w:rFonts w:hint="eastAsia"/>
                      <w:color w:val="auto"/>
                      <w:szCs w:val="21"/>
                      <w:highlight w:val="none"/>
                      <w:lang w:val="en-US" w:eastAsia="zh-CN"/>
                    </w:rPr>
                    <w:t>2</w:t>
                  </w:r>
                </w:p>
              </w:tc>
              <w:tc>
                <w:tcPr>
                  <w:tcW w:w="880" w:type="dxa"/>
                  <w:vAlign w:val="center"/>
                </w:tcPr>
                <w:p w14:paraId="244A8E68">
                  <w:pPr>
                    <w:adjustRightInd w:val="0"/>
                    <w:snapToGrid w:val="0"/>
                    <w:jc w:val="center"/>
                    <w:rPr>
                      <w:color w:val="auto"/>
                      <w:szCs w:val="21"/>
                      <w:highlight w:val="none"/>
                    </w:rPr>
                  </w:pPr>
                  <w:r>
                    <w:rPr>
                      <w:color w:val="auto"/>
                      <w:szCs w:val="21"/>
                      <w:highlight w:val="none"/>
                    </w:rPr>
                    <w:t>8mg/m</w:t>
                  </w:r>
                  <w:r>
                    <w:rPr>
                      <w:color w:val="auto"/>
                      <w:szCs w:val="21"/>
                      <w:highlight w:val="none"/>
                      <w:vertAlign w:val="superscript"/>
                    </w:rPr>
                    <w:t>3</w:t>
                  </w:r>
                </w:p>
                <w:p w14:paraId="5AB1AFDD">
                  <w:pPr>
                    <w:adjustRightInd w:val="0"/>
                    <w:snapToGrid w:val="0"/>
                    <w:jc w:val="center"/>
                    <w:rPr>
                      <w:color w:val="auto"/>
                      <w:szCs w:val="21"/>
                      <w:highlight w:val="none"/>
                    </w:rPr>
                  </w:pPr>
                  <w:r>
                    <w:rPr>
                      <w:color w:val="auto"/>
                      <w:szCs w:val="21"/>
                      <w:highlight w:val="none"/>
                    </w:rPr>
                    <w:t>75kg/</w:t>
                  </w:r>
                  <w:r>
                    <w:rPr>
                      <w:rFonts w:hint="eastAsia"/>
                      <w:color w:val="auto"/>
                      <w:szCs w:val="21"/>
                      <w:highlight w:val="none"/>
                    </w:rPr>
                    <w:t>h</w:t>
                  </w:r>
                </w:p>
              </w:tc>
              <w:tc>
                <w:tcPr>
                  <w:tcW w:w="629" w:type="dxa"/>
                  <w:vAlign w:val="center"/>
                </w:tcPr>
                <w:p w14:paraId="20523135">
                  <w:pPr>
                    <w:adjustRightInd w:val="0"/>
                    <w:snapToGrid w:val="0"/>
                    <w:jc w:val="center"/>
                    <w:rPr>
                      <w:color w:val="auto"/>
                      <w:szCs w:val="21"/>
                      <w:highlight w:val="none"/>
                    </w:rPr>
                  </w:pPr>
                  <w:r>
                    <w:rPr>
                      <w:color w:val="auto"/>
                      <w:szCs w:val="21"/>
                      <w:highlight w:val="none"/>
                    </w:rPr>
                    <w:t>达标</w:t>
                  </w:r>
                </w:p>
              </w:tc>
            </w:tr>
          </w:tbl>
          <w:p w14:paraId="519F97AF">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rFonts w:hint="eastAsia" w:eastAsia="宋体"/>
                <w:bCs/>
                <w:color w:val="auto"/>
                <w:spacing w:val="-10"/>
                <w:szCs w:val="21"/>
                <w:highlight w:val="none"/>
                <w:vertAlign w:val="baseline"/>
                <w:lang w:eastAsia="zh-CN"/>
              </w:rPr>
            </w:pPr>
            <w:r>
              <w:rPr>
                <w:rFonts w:hint="eastAsia" w:ascii="Times New Roman" w:hAnsi="Times New Roman" w:eastAsia="宋体" w:cs="Times New Roman"/>
                <w:color w:val="auto"/>
                <w:kern w:val="2"/>
                <w:sz w:val="24"/>
                <w:szCs w:val="24"/>
                <w:highlight w:val="none"/>
                <w:lang w:val="en-US" w:eastAsia="zh-CN" w:bidi="ar-SA"/>
              </w:rPr>
              <w:t>则项目</w:t>
            </w:r>
            <w:r>
              <w:rPr>
                <w:rFonts w:hint="eastAsia"/>
                <w:color w:val="auto"/>
                <w:sz w:val="24"/>
                <w:highlight w:val="none"/>
              </w:rPr>
              <w:t>烘干系统最终排放烟气中</w:t>
            </w:r>
            <w:r>
              <w:rPr>
                <w:rFonts w:hint="eastAsia"/>
                <w:color w:val="auto"/>
                <w:sz w:val="24"/>
                <w:highlight w:val="none"/>
                <w:lang w:val="en-US" w:eastAsia="zh-CN"/>
              </w:rPr>
              <w:t>DA005</w:t>
            </w:r>
            <w:r>
              <w:rPr>
                <w:rFonts w:hint="eastAsia"/>
                <w:color w:val="auto"/>
                <w:sz w:val="24"/>
                <w:highlight w:val="none"/>
              </w:rPr>
              <w:t>的氨</w:t>
            </w:r>
            <w:r>
              <w:rPr>
                <w:rFonts w:hint="eastAsia"/>
                <w:color w:val="auto"/>
                <w:sz w:val="24"/>
                <w:highlight w:val="none"/>
                <w:lang w:eastAsia="zh-CN"/>
              </w:rPr>
              <w:t>排放量为</w:t>
            </w:r>
            <w:r>
              <w:rPr>
                <w:rFonts w:hint="eastAsia"/>
                <w:color w:val="auto"/>
                <w:sz w:val="24"/>
                <w:highlight w:val="none"/>
                <w:lang w:val="en-US" w:eastAsia="zh-CN"/>
              </w:rPr>
              <w:t>0.2895t/a，</w:t>
            </w:r>
            <w:r>
              <w:rPr>
                <w:rFonts w:hint="eastAsia" w:ascii="Times New Roman" w:hAnsi="Times New Roman" w:eastAsia="宋体" w:cs="Times New Roman"/>
                <w:color w:val="auto"/>
                <w:sz w:val="24"/>
                <w:highlight w:val="none"/>
                <w:lang w:val="en-US" w:eastAsia="zh-CN"/>
              </w:rPr>
              <w:t>排放速率为</w:t>
            </w:r>
            <w:r>
              <w:rPr>
                <w:rFonts w:hint="eastAsia" w:cs="Times New Roman"/>
                <w:color w:val="auto"/>
                <w:sz w:val="24"/>
                <w:highlight w:val="none"/>
                <w:lang w:val="en-US" w:eastAsia="zh-CN"/>
              </w:rPr>
              <w:t>0.0431</w:t>
            </w:r>
            <w:r>
              <w:rPr>
                <w:rFonts w:hint="eastAsia" w:ascii="Times New Roman" w:hAnsi="Times New Roman" w:eastAsia="宋体" w:cs="Times New Roman"/>
                <w:color w:val="auto"/>
                <w:sz w:val="24"/>
                <w:highlight w:val="none"/>
                <w:lang w:val="en-US" w:eastAsia="zh-CN"/>
              </w:rPr>
              <w:t>kg/h，排放浓度为</w:t>
            </w:r>
            <w:r>
              <w:rPr>
                <w:rFonts w:hint="eastAsia" w:eastAsia="宋体" w:cs="Times New Roman"/>
                <w:color w:val="auto"/>
                <w:sz w:val="24"/>
                <w:highlight w:val="none"/>
                <w:lang w:val="en-US" w:eastAsia="zh-CN"/>
              </w:rPr>
              <w:t>1.2</w:t>
            </w:r>
            <w:r>
              <w:rPr>
                <w:rFonts w:hint="eastAsia" w:cs="Times New Roman"/>
                <w:color w:val="auto"/>
                <w:sz w:val="24"/>
                <w:highlight w:val="none"/>
                <w:lang w:val="en-US" w:eastAsia="zh-CN"/>
              </w:rPr>
              <w:t>2</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p>
          <w:p w14:paraId="0D8205A9">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根据企业提供的褐煤燃烧特性实验报告</w:t>
            </w:r>
            <w:r>
              <w:rPr>
                <w:rFonts w:hint="eastAsia" w:cs="Times New Roman"/>
                <w:color w:val="auto"/>
                <w:kern w:val="2"/>
                <w:sz w:val="24"/>
                <w:szCs w:val="24"/>
                <w:highlight w:val="none"/>
                <w:lang w:val="en-US" w:eastAsia="zh-CN" w:bidi="ar-SA"/>
              </w:rPr>
              <w:t>（详见附件14）</w:t>
            </w:r>
            <w:r>
              <w:rPr>
                <w:rFonts w:hint="eastAsia" w:ascii="Times New Roman" w:hAnsi="Times New Roman" w:eastAsia="宋体" w:cs="Times New Roman"/>
                <w:color w:val="auto"/>
                <w:kern w:val="2"/>
                <w:sz w:val="24"/>
                <w:szCs w:val="24"/>
                <w:highlight w:val="none"/>
                <w:lang w:val="en-US" w:eastAsia="zh-CN" w:bidi="ar-SA"/>
              </w:rPr>
              <w:t>，报告明确通过对燃烧特性分析，考虑褐煤煤样在200~350℃范围内，没有着火的现象发生，即挥发分没有析出，煤没有产生热解，没有酚类化合物产生。</w:t>
            </w:r>
          </w:p>
          <w:p w14:paraId="7F7272AA">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项目运营</w:t>
            </w:r>
            <w:r>
              <w:rPr>
                <w:rFonts w:hint="default" w:ascii="Times New Roman" w:hAnsi="Times New Roman" w:cs="Times New Roman"/>
                <w:b/>
                <w:bCs/>
                <w:color w:val="auto"/>
                <w:sz w:val="21"/>
                <w:szCs w:val="21"/>
                <w:highlight w:val="none"/>
                <w:lang w:val="en-US" w:eastAsia="zh-CN"/>
              </w:rPr>
              <w:t>期</w:t>
            </w:r>
            <w:r>
              <w:rPr>
                <w:rFonts w:hint="eastAsia" w:ascii="Times New Roman" w:hAnsi="Times New Roman" w:cs="Times New Roman"/>
                <w:b/>
                <w:bCs/>
                <w:color w:val="auto"/>
                <w:sz w:val="21"/>
                <w:szCs w:val="21"/>
                <w:highlight w:val="none"/>
                <w:lang w:val="en-US" w:eastAsia="zh-CN"/>
              </w:rPr>
              <w:t>烘干废气</w:t>
            </w:r>
            <w:r>
              <w:rPr>
                <w:rFonts w:hint="default" w:ascii="Times New Roman" w:hAnsi="Times New Roman" w:eastAsia="宋体" w:cs="Times New Roman"/>
                <w:b/>
                <w:bCs/>
                <w:color w:val="auto"/>
                <w:sz w:val="21"/>
                <w:szCs w:val="21"/>
                <w:highlight w:val="none"/>
                <w:lang w:val="en-US" w:eastAsia="zh-CN"/>
              </w:rPr>
              <w:t>排放源一览表</w:t>
            </w:r>
          </w:p>
          <w:tbl>
            <w:tblPr>
              <w:tblStyle w:val="28"/>
              <w:tblW w:w="8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305"/>
              <w:gridCol w:w="2065"/>
              <w:gridCol w:w="1400"/>
              <w:gridCol w:w="1400"/>
              <w:gridCol w:w="1400"/>
              <w:gridCol w:w="1132"/>
            </w:tblGrid>
            <w:tr w14:paraId="4828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30" w:type="dxa"/>
                  <w:gridSpan w:val="3"/>
                  <w:vAlign w:val="center"/>
                </w:tcPr>
                <w:p w14:paraId="03C9406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5332" w:type="dxa"/>
                  <w:gridSpan w:val="4"/>
                  <w:vAlign w:val="center"/>
                </w:tcPr>
                <w:p w14:paraId="6CD12BC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烘干废气</w:t>
                  </w:r>
                </w:p>
              </w:tc>
            </w:tr>
            <w:tr w14:paraId="62D4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3130" w:type="dxa"/>
                  <w:gridSpan w:val="3"/>
                  <w:vAlign w:val="center"/>
                </w:tcPr>
                <w:p w14:paraId="30918D3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1400" w:type="dxa"/>
                  <w:vAlign w:val="center"/>
                </w:tcPr>
                <w:p w14:paraId="5A5F9EC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1400" w:type="dxa"/>
                  <w:vAlign w:val="center"/>
                </w:tcPr>
                <w:p w14:paraId="004033F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subscript"/>
                      <w:lang w:val="en-US" w:eastAsia="zh-CN"/>
                    </w:rPr>
                  </w:pPr>
                  <w:r>
                    <w:rPr>
                      <w:rFonts w:hint="eastAsia" w:cs="Times New Roman"/>
                      <w:b w:val="0"/>
                      <w:bCs/>
                      <w:color w:val="auto"/>
                      <w:spacing w:val="-10"/>
                      <w:sz w:val="21"/>
                      <w:szCs w:val="21"/>
                      <w:highlight w:val="none"/>
                      <w:vertAlign w:val="baseline"/>
                      <w:lang w:val="en-US" w:eastAsia="zh-CN"/>
                    </w:rPr>
                    <w:t>SO</w:t>
                  </w:r>
                  <w:r>
                    <w:rPr>
                      <w:rFonts w:hint="eastAsia" w:cs="Times New Roman"/>
                      <w:b w:val="0"/>
                      <w:bCs/>
                      <w:color w:val="auto"/>
                      <w:spacing w:val="-10"/>
                      <w:sz w:val="21"/>
                      <w:szCs w:val="21"/>
                      <w:highlight w:val="none"/>
                      <w:vertAlign w:val="subscript"/>
                      <w:lang w:val="en-US" w:eastAsia="zh-CN"/>
                    </w:rPr>
                    <w:t>2</w:t>
                  </w:r>
                </w:p>
              </w:tc>
              <w:tc>
                <w:tcPr>
                  <w:tcW w:w="1400" w:type="dxa"/>
                  <w:vAlign w:val="center"/>
                </w:tcPr>
                <w:p w14:paraId="60627AF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NOx</w:t>
                  </w:r>
                </w:p>
              </w:tc>
              <w:tc>
                <w:tcPr>
                  <w:tcW w:w="1132" w:type="dxa"/>
                  <w:vAlign w:val="center"/>
                </w:tcPr>
                <w:p w14:paraId="6BF961E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氨</w:t>
                  </w:r>
                </w:p>
              </w:tc>
            </w:tr>
            <w:tr w14:paraId="794E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30" w:type="dxa"/>
                  <w:gridSpan w:val="3"/>
                  <w:vAlign w:val="center"/>
                </w:tcPr>
                <w:p w14:paraId="6F0C472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1400" w:type="dxa"/>
                  <w:vAlign w:val="center"/>
                </w:tcPr>
                <w:p w14:paraId="7C15A7E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76.667</w:t>
                  </w:r>
                </w:p>
              </w:tc>
              <w:tc>
                <w:tcPr>
                  <w:tcW w:w="1400" w:type="dxa"/>
                  <w:vAlign w:val="center"/>
                </w:tcPr>
                <w:p w14:paraId="6A42E6D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55.7863</w:t>
                  </w:r>
                </w:p>
              </w:tc>
              <w:tc>
                <w:tcPr>
                  <w:tcW w:w="1400" w:type="dxa"/>
                  <w:vAlign w:val="center"/>
                </w:tcPr>
                <w:p w14:paraId="4C42FF3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37.1909</w:t>
                  </w:r>
                </w:p>
              </w:tc>
              <w:tc>
                <w:tcPr>
                  <w:tcW w:w="1132" w:type="dxa"/>
                  <w:vAlign w:val="center"/>
                </w:tcPr>
                <w:p w14:paraId="45C204E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1.4475</w:t>
                  </w:r>
                </w:p>
              </w:tc>
            </w:tr>
            <w:tr w14:paraId="3A49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dxa"/>
                  <w:gridSpan w:val="3"/>
                  <w:vAlign w:val="center"/>
                </w:tcPr>
                <w:p w14:paraId="14E4800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1400" w:type="dxa"/>
                  <w:vAlign w:val="center"/>
                </w:tcPr>
                <w:p w14:paraId="21280FE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321.67</w:t>
                  </w:r>
                </w:p>
              </w:tc>
              <w:tc>
                <w:tcPr>
                  <w:tcW w:w="1400" w:type="dxa"/>
                  <w:vAlign w:val="center"/>
                </w:tcPr>
                <w:p w14:paraId="10DE601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234.06</w:t>
                  </w:r>
                </w:p>
              </w:tc>
              <w:tc>
                <w:tcPr>
                  <w:tcW w:w="1400" w:type="dxa"/>
                  <w:vAlign w:val="center"/>
                </w:tcPr>
                <w:p w14:paraId="20653C2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156.04</w:t>
                  </w:r>
                </w:p>
              </w:tc>
              <w:tc>
                <w:tcPr>
                  <w:tcW w:w="1132" w:type="dxa"/>
                  <w:vAlign w:val="center"/>
                </w:tcPr>
                <w:p w14:paraId="2ED54B7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6.072</w:t>
                  </w:r>
                </w:p>
              </w:tc>
            </w:tr>
            <w:tr w14:paraId="3D7D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dxa"/>
                  <w:gridSpan w:val="3"/>
                  <w:vAlign w:val="center"/>
                </w:tcPr>
                <w:p w14:paraId="32507D0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1400" w:type="dxa"/>
                  <w:vAlign w:val="center"/>
                </w:tcPr>
                <w:p w14:paraId="041D6B2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400" w:type="dxa"/>
                  <w:vAlign w:val="center"/>
                </w:tcPr>
                <w:p w14:paraId="33B4B7A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400" w:type="dxa"/>
                  <w:vAlign w:val="center"/>
                </w:tcPr>
                <w:p w14:paraId="7C78F08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132" w:type="dxa"/>
                  <w:vAlign w:val="center"/>
                </w:tcPr>
                <w:p w14:paraId="0682340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r>
            <w:tr w14:paraId="1483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60" w:type="dxa"/>
                  <w:vMerge w:val="restart"/>
                  <w:vAlign w:val="center"/>
                </w:tcPr>
                <w:p w14:paraId="4B50626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2370" w:type="dxa"/>
                  <w:gridSpan w:val="2"/>
                  <w:vAlign w:val="center"/>
                </w:tcPr>
                <w:p w14:paraId="28728C9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5332" w:type="dxa"/>
                  <w:gridSpan w:val="4"/>
                  <w:vAlign w:val="center"/>
                </w:tcPr>
                <w:p w14:paraId="4D8406E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35467.44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r>
            <w:tr w14:paraId="191E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vAlign w:val="center"/>
                </w:tcPr>
                <w:p w14:paraId="5632CFE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370" w:type="dxa"/>
                  <w:gridSpan w:val="2"/>
                  <w:vAlign w:val="center"/>
                </w:tcPr>
                <w:p w14:paraId="2CF68C3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5332" w:type="dxa"/>
                  <w:gridSpan w:val="4"/>
                  <w:vAlign w:val="center"/>
                </w:tcPr>
                <w:p w14:paraId="54F1C9A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100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606E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vAlign w:val="center"/>
                </w:tcPr>
                <w:p w14:paraId="7FC9441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370" w:type="dxa"/>
                  <w:gridSpan w:val="2"/>
                  <w:vAlign w:val="center"/>
                </w:tcPr>
                <w:p w14:paraId="1062DFB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1400" w:type="dxa"/>
                  <w:vAlign w:val="center"/>
                </w:tcPr>
                <w:p w14:paraId="3CC9D22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p>
              </w:tc>
              <w:tc>
                <w:tcPr>
                  <w:tcW w:w="1400" w:type="dxa"/>
                  <w:vAlign w:val="center"/>
                </w:tcPr>
                <w:p w14:paraId="3E6A84D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炉内喷钙脱硫+尾部烟气的增湿活化脱硫效应</w:t>
                  </w:r>
                </w:p>
              </w:tc>
              <w:tc>
                <w:tcPr>
                  <w:tcW w:w="1400" w:type="dxa"/>
                  <w:vAlign w:val="center"/>
                </w:tcPr>
                <w:p w14:paraId="5FAF4A3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分级燃烧+</w:t>
                  </w:r>
                  <w:r>
                    <w:rPr>
                      <w:rFonts w:hint="eastAsia" w:ascii="Times New Roman" w:hAnsi="Times New Roman" w:eastAsia="宋体" w:cs="Times New Roman"/>
                      <w:color w:val="auto"/>
                      <w:sz w:val="21"/>
                      <w:szCs w:val="21"/>
                      <w:highlight w:val="none"/>
                      <w:lang w:val="en-US" w:eastAsia="zh-CN"/>
                    </w:rPr>
                    <w:t>SNCR喷氨脱硝</w:t>
                  </w:r>
                </w:p>
              </w:tc>
              <w:tc>
                <w:tcPr>
                  <w:tcW w:w="1132" w:type="dxa"/>
                  <w:vAlign w:val="center"/>
                </w:tcPr>
                <w:p w14:paraId="3FF98FA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固化反应，氨吸收</w:t>
                  </w:r>
                </w:p>
              </w:tc>
            </w:tr>
            <w:tr w14:paraId="364A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60" w:type="dxa"/>
                  <w:vMerge w:val="continue"/>
                  <w:vAlign w:val="center"/>
                </w:tcPr>
                <w:p w14:paraId="753CF68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370" w:type="dxa"/>
                  <w:gridSpan w:val="2"/>
                  <w:vAlign w:val="center"/>
                </w:tcPr>
                <w:p w14:paraId="32DE043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1400" w:type="dxa"/>
                  <w:vAlign w:val="center"/>
                </w:tcPr>
                <w:p w14:paraId="1BE2980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400" w:type="dxa"/>
                  <w:vAlign w:val="center"/>
                </w:tcPr>
                <w:p w14:paraId="43EFBB2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400" w:type="dxa"/>
                  <w:vAlign w:val="center"/>
                </w:tcPr>
                <w:p w14:paraId="501A345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75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132" w:type="dxa"/>
                  <w:vAlign w:val="center"/>
                </w:tcPr>
                <w:p w14:paraId="0558B41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w:t>
                  </w:r>
                  <w:r>
                    <w:rPr>
                      <w:rFonts w:hint="default" w:ascii="Times New Roman" w:hAnsi="Times New Roman" w:eastAsia="宋体" w:cs="Times New Roman"/>
                      <w:b w:val="0"/>
                      <w:bCs/>
                      <w:color w:val="auto"/>
                      <w:spacing w:val="-10"/>
                      <w:sz w:val="21"/>
                      <w:szCs w:val="21"/>
                      <w:highlight w:val="none"/>
                      <w:vertAlign w:val="baseline"/>
                      <w:lang w:val="en-US" w:eastAsia="zh-CN"/>
                    </w:rPr>
                    <w:t>0%</w:t>
                  </w:r>
                </w:p>
              </w:tc>
            </w:tr>
            <w:tr w14:paraId="5901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vAlign w:val="center"/>
                </w:tcPr>
                <w:p w14:paraId="2E69835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370" w:type="dxa"/>
                  <w:gridSpan w:val="2"/>
                  <w:vAlign w:val="center"/>
                </w:tcPr>
                <w:p w14:paraId="5D1A27C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1400" w:type="dxa"/>
                  <w:vAlign w:val="center"/>
                </w:tcPr>
                <w:p w14:paraId="18246EA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400" w:type="dxa"/>
                  <w:vAlign w:val="center"/>
                </w:tcPr>
                <w:p w14:paraId="6C2ED94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400" w:type="dxa"/>
                  <w:vAlign w:val="center"/>
                </w:tcPr>
                <w:p w14:paraId="5EB946D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132" w:type="dxa"/>
                  <w:vAlign w:val="center"/>
                </w:tcPr>
                <w:p w14:paraId="7E866F0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是</w:t>
                  </w:r>
                </w:p>
              </w:tc>
            </w:tr>
            <w:tr w14:paraId="6ED3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dxa"/>
                  <w:gridSpan w:val="3"/>
                  <w:vAlign w:val="center"/>
                </w:tcPr>
                <w:p w14:paraId="6ABFAB6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1400" w:type="dxa"/>
                  <w:vAlign w:val="center"/>
                </w:tcPr>
                <w:p w14:paraId="7257CB4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1.29</w:t>
                  </w:r>
                </w:p>
              </w:tc>
              <w:tc>
                <w:tcPr>
                  <w:tcW w:w="1400" w:type="dxa"/>
                  <w:vAlign w:val="center"/>
                </w:tcPr>
                <w:p w14:paraId="7287278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35.11</w:t>
                  </w:r>
                </w:p>
              </w:tc>
              <w:tc>
                <w:tcPr>
                  <w:tcW w:w="1400" w:type="dxa"/>
                  <w:vAlign w:val="center"/>
                </w:tcPr>
                <w:p w14:paraId="07146BC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39.01</w:t>
                  </w:r>
                </w:p>
              </w:tc>
              <w:tc>
                <w:tcPr>
                  <w:tcW w:w="1132" w:type="dxa"/>
                  <w:vAlign w:val="center"/>
                </w:tcPr>
                <w:p w14:paraId="07B3A45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1.22</w:t>
                  </w:r>
                </w:p>
              </w:tc>
            </w:tr>
            <w:tr w14:paraId="236C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130" w:type="dxa"/>
                  <w:gridSpan w:val="3"/>
                  <w:vAlign w:val="center"/>
                </w:tcPr>
                <w:p w14:paraId="07A5E36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1400" w:type="dxa"/>
                  <w:vAlign w:val="center"/>
                </w:tcPr>
                <w:p w14:paraId="2A8C1EA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0.0456</w:t>
                  </w:r>
                </w:p>
              </w:tc>
              <w:tc>
                <w:tcPr>
                  <w:tcW w:w="1400" w:type="dxa"/>
                  <w:vAlign w:val="center"/>
                </w:tcPr>
                <w:p w14:paraId="64A7378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1.2452</w:t>
                  </w:r>
                </w:p>
              </w:tc>
              <w:tc>
                <w:tcPr>
                  <w:tcW w:w="1400" w:type="dxa"/>
                  <w:vAlign w:val="center"/>
                </w:tcPr>
                <w:p w14:paraId="605488D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1.3836</w:t>
                  </w:r>
                </w:p>
              </w:tc>
              <w:tc>
                <w:tcPr>
                  <w:tcW w:w="1132" w:type="dxa"/>
                  <w:vAlign w:val="center"/>
                </w:tcPr>
                <w:p w14:paraId="102741A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0.0431</w:t>
                  </w:r>
                </w:p>
              </w:tc>
            </w:tr>
            <w:tr w14:paraId="3699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dxa"/>
                  <w:gridSpan w:val="3"/>
                  <w:vAlign w:val="center"/>
                </w:tcPr>
                <w:p w14:paraId="6610743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1400" w:type="dxa"/>
                  <w:vAlign w:val="center"/>
                </w:tcPr>
                <w:p w14:paraId="7481B89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0.3067</w:t>
                  </w:r>
                </w:p>
              </w:tc>
              <w:tc>
                <w:tcPr>
                  <w:tcW w:w="1400" w:type="dxa"/>
                  <w:vAlign w:val="center"/>
                </w:tcPr>
                <w:p w14:paraId="0939471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8.3679</w:t>
                  </w:r>
                </w:p>
              </w:tc>
              <w:tc>
                <w:tcPr>
                  <w:tcW w:w="1400" w:type="dxa"/>
                  <w:vAlign w:val="center"/>
                </w:tcPr>
                <w:p w14:paraId="0C87BC7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9.2977</w:t>
                  </w:r>
                </w:p>
              </w:tc>
              <w:tc>
                <w:tcPr>
                  <w:tcW w:w="1132" w:type="dxa"/>
                  <w:vAlign w:val="center"/>
                </w:tcPr>
                <w:p w14:paraId="19E6F04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0.2895</w:t>
                  </w:r>
                </w:p>
              </w:tc>
            </w:tr>
            <w:tr w14:paraId="7D11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restart"/>
                  <w:vAlign w:val="center"/>
                </w:tcPr>
                <w:p w14:paraId="13A8BF3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2370" w:type="dxa"/>
                  <w:gridSpan w:val="2"/>
                  <w:vAlign w:val="center"/>
                </w:tcPr>
                <w:p w14:paraId="3C63374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5332" w:type="dxa"/>
                  <w:gridSpan w:val="4"/>
                  <w:vAlign w:val="center"/>
                </w:tcPr>
                <w:p w14:paraId="6EAC513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r>
            <w:tr w14:paraId="30D6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vAlign w:val="center"/>
                </w:tcPr>
                <w:p w14:paraId="6473963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370" w:type="dxa"/>
                  <w:gridSpan w:val="2"/>
                  <w:vAlign w:val="center"/>
                </w:tcPr>
                <w:p w14:paraId="1D1B106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5332" w:type="dxa"/>
                  <w:gridSpan w:val="4"/>
                  <w:vAlign w:val="center"/>
                </w:tcPr>
                <w:p w14:paraId="2DD5CFE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1.0</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r>
            <w:tr w14:paraId="4F234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vAlign w:val="center"/>
                </w:tcPr>
                <w:p w14:paraId="630BE59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370" w:type="dxa"/>
                  <w:gridSpan w:val="2"/>
                  <w:vAlign w:val="center"/>
                </w:tcPr>
                <w:p w14:paraId="3887143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5332" w:type="dxa"/>
                  <w:gridSpan w:val="4"/>
                  <w:vAlign w:val="center"/>
                </w:tcPr>
                <w:p w14:paraId="7421240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1380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vAlign w:val="center"/>
                </w:tcPr>
                <w:p w14:paraId="2B511F3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370" w:type="dxa"/>
                  <w:gridSpan w:val="2"/>
                  <w:vAlign w:val="center"/>
                </w:tcPr>
                <w:p w14:paraId="351CD14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5332" w:type="dxa"/>
                  <w:gridSpan w:val="4"/>
                  <w:vAlign w:val="center"/>
                </w:tcPr>
                <w:p w14:paraId="63DD998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w:t>
                  </w:r>
                  <w:r>
                    <w:rPr>
                      <w:rFonts w:hint="eastAsia" w:cs="Times New Roman"/>
                      <w:b w:val="0"/>
                      <w:bCs/>
                      <w:color w:val="auto"/>
                      <w:spacing w:val="-10"/>
                      <w:sz w:val="21"/>
                      <w:szCs w:val="21"/>
                      <w:highlight w:val="none"/>
                      <w:vertAlign w:val="baseline"/>
                      <w:lang w:val="en-US" w:eastAsia="zh-CN"/>
                    </w:rPr>
                    <w:t>5</w:t>
                  </w:r>
                </w:p>
              </w:tc>
            </w:tr>
            <w:tr w14:paraId="7541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vAlign w:val="center"/>
                </w:tcPr>
                <w:p w14:paraId="7C62130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370" w:type="dxa"/>
                  <w:gridSpan w:val="2"/>
                  <w:vAlign w:val="center"/>
                </w:tcPr>
                <w:p w14:paraId="261CDB4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5332" w:type="dxa"/>
                  <w:gridSpan w:val="4"/>
                  <w:vAlign w:val="center"/>
                </w:tcPr>
                <w:p w14:paraId="4FC2825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r>
            <w:tr w14:paraId="696B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vAlign w:val="center"/>
                </w:tcPr>
                <w:p w14:paraId="1B7AC0B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370" w:type="dxa"/>
                  <w:gridSpan w:val="2"/>
                  <w:vAlign w:val="center"/>
                </w:tcPr>
                <w:p w14:paraId="2063357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5332" w:type="dxa"/>
                  <w:gridSpan w:val="4"/>
                  <w:vAlign w:val="center"/>
                </w:tcPr>
                <w:p w14:paraId="704FE04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DA005：</w:t>
                  </w:r>
                  <w:r>
                    <w:rPr>
                      <w:rFonts w:hint="default" w:ascii="Times New Roman" w:hAnsi="Times New Roman" w:eastAsia="宋体" w:cs="Times New Roman"/>
                      <w:b w:val="0"/>
                      <w:bCs/>
                      <w:color w:val="auto"/>
                      <w:spacing w:val="-10"/>
                      <w:sz w:val="21"/>
                      <w:szCs w:val="21"/>
                      <w:highlight w:val="none"/>
                      <w:vertAlign w:val="baseline"/>
                      <w:lang w:val="en-US" w:eastAsia="zh-CN"/>
                    </w:rPr>
                    <w:t>E：103°11′4</w:t>
                  </w:r>
                  <w:r>
                    <w:rPr>
                      <w:rFonts w:hint="eastAsia" w:cs="Times New Roman"/>
                      <w:b w:val="0"/>
                      <w:bCs/>
                      <w:color w:val="auto"/>
                      <w:spacing w:val="-10"/>
                      <w:sz w:val="21"/>
                      <w:szCs w:val="21"/>
                      <w:highlight w:val="none"/>
                      <w:vertAlign w:val="baseline"/>
                      <w:lang w:val="en-US" w:eastAsia="zh-CN"/>
                    </w:rPr>
                    <w:t>2.936</w:t>
                  </w:r>
                  <w:r>
                    <w:rPr>
                      <w:rFonts w:hint="default" w:ascii="Times New Roman" w:hAnsi="Times New Roman" w:eastAsia="宋体" w:cs="Times New Roman"/>
                      <w:b w:val="0"/>
                      <w:bCs/>
                      <w:color w:val="auto"/>
                      <w:spacing w:val="-10"/>
                      <w:sz w:val="21"/>
                      <w:szCs w:val="21"/>
                      <w:highlight w:val="none"/>
                      <w:vertAlign w:val="baseline"/>
                      <w:lang w:val="en-US" w:eastAsia="zh-CN"/>
                    </w:rPr>
                    <w:t>″，N：25°33′40.27</w:t>
                  </w:r>
                  <w:r>
                    <w:rPr>
                      <w:rFonts w:hint="eastAsia" w:cs="Times New Roman"/>
                      <w:b w:val="0"/>
                      <w:bCs/>
                      <w:color w:val="auto"/>
                      <w:spacing w:val="-10"/>
                      <w:sz w:val="21"/>
                      <w:szCs w:val="21"/>
                      <w:highlight w:val="none"/>
                      <w:vertAlign w:val="baseline"/>
                      <w:lang w:val="en-US" w:eastAsia="zh-CN"/>
                    </w:rPr>
                    <w:t>4</w:t>
                  </w: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3748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dxa"/>
                  <w:gridSpan w:val="3"/>
                  <w:vAlign w:val="center"/>
                </w:tcPr>
                <w:p w14:paraId="1529A51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5332" w:type="dxa"/>
                  <w:gridSpan w:val="4"/>
                  <w:vAlign w:val="center"/>
                </w:tcPr>
                <w:p w14:paraId="519D828A">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颗粒物、</w:t>
                  </w:r>
                  <w:r>
                    <w:rPr>
                      <w:rFonts w:hint="eastAsia" w:ascii="Times New Roman" w:hAnsi="Times New Roman" w:eastAsia="宋体" w:cs="Times New Roman"/>
                      <w:color w:val="auto"/>
                      <w:sz w:val="21"/>
                      <w:szCs w:val="21"/>
                      <w:highlight w:val="none"/>
                      <w:lang w:val="en-US" w:eastAsia="zh-CN"/>
                    </w:rPr>
                    <w:t>SO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eastAsia="zh-CN"/>
                    </w:rPr>
                    <w:t>执行</w:t>
                  </w:r>
                  <w:r>
                    <w:rPr>
                      <w:rFonts w:hint="default" w:ascii="Times New Roman" w:hAnsi="Times New Roman" w:eastAsia="宋体" w:cs="Times New Roman"/>
                      <w:color w:val="auto"/>
                      <w:sz w:val="21"/>
                      <w:szCs w:val="21"/>
                      <w:highlight w:val="none"/>
                    </w:rPr>
                    <w:t>《工业炉窑大气污染物排放标准》（GB9078-1996）中标准限值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w:t>
                  </w:r>
                  <w:r>
                    <w:rPr>
                      <w:rFonts w:hint="eastAsia" w:ascii="Times New Roman" w:hAnsi="Times New Roman" w:eastAsia="宋体"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mg/m³</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highlight w:val="none"/>
                      <w:lang w:val="en-US" w:eastAsia="zh-CN"/>
                    </w:rPr>
                    <w:t>SO</w:t>
                  </w:r>
                  <w:r>
                    <w:rPr>
                      <w:rFonts w:hint="eastAsia"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850</w:t>
                  </w:r>
                  <w:r>
                    <w:rPr>
                      <w:rFonts w:hint="default" w:ascii="Times New Roman" w:hAnsi="Times New Roman" w:eastAsia="宋体" w:cs="Times New Roman"/>
                      <w:color w:val="auto"/>
                      <w:sz w:val="21"/>
                      <w:szCs w:val="21"/>
                      <w:highlight w:val="none"/>
                    </w:rPr>
                    <w:t>mg/m³</w:t>
                  </w:r>
                  <w:r>
                    <w:rPr>
                      <w:rFonts w:hint="eastAsia" w:ascii="Times New Roman" w:hAnsi="Times New Roman" w:eastAsia="宋体" w:cs="Times New Roman"/>
                      <w:color w:val="auto"/>
                      <w:sz w:val="21"/>
                      <w:szCs w:val="21"/>
                      <w:highlight w:val="none"/>
                      <w:lang w:eastAsia="zh-CN"/>
                    </w:rPr>
                    <w:t>；</w:t>
                  </w:r>
                  <w:r>
                    <w:rPr>
                      <w:rFonts w:hint="eastAsia"/>
                      <w:color w:val="auto"/>
                      <w:sz w:val="21"/>
                      <w:szCs w:val="21"/>
                    </w:rPr>
                    <w:t>氮氧化物执行《大气污染物综合排放标准》（GB16297-1996）中表2标准</w:t>
                  </w:r>
                  <w:r>
                    <w:rPr>
                      <w:rFonts w:hint="eastAsia"/>
                      <w:color w:val="auto"/>
                      <w:sz w:val="21"/>
                      <w:szCs w:val="21"/>
                      <w:lang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eastAsia" w:ascii="Times New Roman" w:hAnsi="Times New Roman" w:eastAsia="宋体" w:cs="Times New Roman"/>
                      <w:color w:val="auto"/>
                      <w:sz w:val="21"/>
                      <w:szCs w:val="21"/>
                      <w:highlight w:val="none"/>
                      <w:lang w:val="en-US" w:eastAsia="zh-CN"/>
                    </w:rPr>
                    <w:t>NOx</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240</w:t>
                  </w:r>
                  <w:r>
                    <w:rPr>
                      <w:rFonts w:hint="default" w:ascii="Times New Roman" w:hAnsi="Times New Roman" w:eastAsia="宋体" w:cs="Times New Roman"/>
                      <w:color w:val="auto"/>
                      <w:sz w:val="21"/>
                      <w:szCs w:val="21"/>
                      <w:highlight w:val="none"/>
                    </w:rPr>
                    <w:t>mg/m³</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执行《恶臭污染物排放标准》（GB14554-93）表2标准限值及《火电厂烟气脱硝工程技术规范选择性非催化还原法》（HJ563-2010）氨逃逸浓度控制要求，</w:t>
                  </w:r>
                  <w:r>
                    <w:rPr>
                      <w:rFonts w:hint="default" w:ascii="Times New Roman" w:hAnsi="Times New Roman" w:eastAsia="宋体" w:cs="Times New Roman"/>
                      <w:b w:val="0"/>
                      <w:bCs w:val="0"/>
                      <w:color w:val="auto"/>
                      <w:sz w:val="21"/>
                      <w:szCs w:val="21"/>
                      <w:highlight w:val="none"/>
                      <w:lang w:val="en-US" w:eastAsia="zh-CN"/>
                    </w:rPr>
                    <w:t>即</w:t>
                  </w:r>
                  <w:r>
                    <w:rPr>
                      <w:rFonts w:hint="eastAsia" w:ascii="Times New Roman" w:hAnsi="Times New Roman" w:eastAsia="宋体" w:cs="Times New Roman"/>
                      <w:color w:val="auto"/>
                      <w:sz w:val="21"/>
                      <w:szCs w:val="21"/>
                      <w:highlight w:val="none"/>
                      <w:lang w:val="en-US" w:eastAsia="zh-CN"/>
                    </w:rPr>
                    <w:t>氨</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rPr>
                    <w:t>mg/m³</w:t>
                  </w:r>
                  <w:r>
                    <w:rPr>
                      <w:rFonts w:hint="default" w:ascii="Times New Roman" w:hAnsi="Times New Roman" w:eastAsia="宋体" w:cs="Times New Roman"/>
                      <w:color w:val="auto"/>
                      <w:sz w:val="21"/>
                      <w:szCs w:val="21"/>
                      <w:highlight w:val="none"/>
                      <w:lang w:val="en-US" w:eastAsia="zh-CN"/>
                    </w:rPr>
                    <w:t>。</w:t>
                  </w:r>
                </w:p>
              </w:tc>
            </w:tr>
            <w:tr w14:paraId="13A7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gridSpan w:val="2"/>
                  <w:vMerge w:val="restart"/>
                  <w:vAlign w:val="center"/>
                </w:tcPr>
                <w:p w14:paraId="0093BAB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2065" w:type="dxa"/>
                  <w:vAlign w:val="center"/>
                </w:tcPr>
                <w:p w14:paraId="43B47F4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5332" w:type="dxa"/>
                  <w:gridSpan w:val="4"/>
                  <w:vAlign w:val="center"/>
                </w:tcPr>
                <w:p w14:paraId="5C744BC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w:t>
                  </w:r>
                  <w:r>
                    <w:rPr>
                      <w:rFonts w:hint="eastAsia" w:cs="Times New Roman"/>
                      <w:b w:val="0"/>
                      <w:bCs w:val="0"/>
                      <w:color w:val="auto"/>
                      <w:spacing w:val="-10"/>
                      <w:sz w:val="21"/>
                      <w:szCs w:val="21"/>
                      <w:highlight w:val="none"/>
                      <w:vertAlign w:val="baseline"/>
                      <w:lang w:val="en-US" w:eastAsia="zh-CN"/>
                    </w:rPr>
                    <w:t>5</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r>
            <w:tr w14:paraId="178F8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gridSpan w:val="2"/>
                  <w:vMerge w:val="continue"/>
                  <w:vAlign w:val="center"/>
                </w:tcPr>
                <w:p w14:paraId="3A9E076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65" w:type="dxa"/>
                  <w:vAlign w:val="center"/>
                </w:tcPr>
                <w:p w14:paraId="342203C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1400" w:type="dxa"/>
                  <w:vAlign w:val="center"/>
                </w:tcPr>
                <w:p w14:paraId="14D64B8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1400" w:type="dxa"/>
                  <w:vAlign w:val="center"/>
                </w:tcPr>
                <w:p w14:paraId="404DEE2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SO</w:t>
                  </w:r>
                  <w:r>
                    <w:rPr>
                      <w:rFonts w:hint="eastAsia" w:cs="Times New Roman"/>
                      <w:b w:val="0"/>
                      <w:bCs/>
                      <w:color w:val="auto"/>
                      <w:spacing w:val="-10"/>
                      <w:sz w:val="21"/>
                      <w:szCs w:val="21"/>
                      <w:highlight w:val="none"/>
                      <w:vertAlign w:val="subscript"/>
                      <w:lang w:val="en-US" w:eastAsia="zh-CN"/>
                    </w:rPr>
                    <w:t>2</w:t>
                  </w:r>
                </w:p>
              </w:tc>
              <w:tc>
                <w:tcPr>
                  <w:tcW w:w="1400" w:type="dxa"/>
                  <w:vAlign w:val="center"/>
                </w:tcPr>
                <w:p w14:paraId="52DC0E4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NOx</w:t>
                  </w:r>
                </w:p>
              </w:tc>
              <w:tc>
                <w:tcPr>
                  <w:tcW w:w="1132" w:type="dxa"/>
                  <w:vAlign w:val="center"/>
                </w:tcPr>
                <w:p w14:paraId="2EC5F4F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氨</w:t>
                  </w:r>
                </w:p>
              </w:tc>
            </w:tr>
            <w:tr w14:paraId="1ADE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gridSpan w:val="2"/>
                  <w:vMerge w:val="continue"/>
                  <w:vAlign w:val="center"/>
                </w:tcPr>
                <w:p w14:paraId="28B5383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65" w:type="dxa"/>
                  <w:vAlign w:val="center"/>
                </w:tcPr>
                <w:p w14:paraId="487002D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5332" w:type="dxa"/>
                  <w:gridSpan w:val="4"/>
                  <w:vAlign w:val="center"/>
                </w:tcPr>
                <w:p w14:paraId="12DFAF8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1次月</w:t>
                  </w:r>
                </w:p>
              </w:tc>
            </w:tr>
          </w:tbl>
          <w:p w14:paraId="5E9FDDC1">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⑦</w:t>
            </w:r>
            <w:r>
              <w:rPr>
                <w:rFonts w:hint="eastAsia" w:cs="Times New Roman"/>
                <w:b/>
                <w:bCs/>
                <w:color w:val="auto"/>
                <w:sz w:val="24"/>
                <w:szCs w:val="24"/>
                <w:highlight w:val="none"/>
                <w:lang w:val="en-US" w:eastAsia="zh-CN"/>
              </w:rPr>
              <w:t>燃料仓粉尘</w:t>
            </w:r>
          </w:p>
          <w:p w14:paraId="7ECC1C23">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rFonts w:hint="eastAsia"/>
                <w:color w:val="auto"/>
                <w:sz w:val="24"/>
                <w:highlight w:val="none"/>
              </w:rPr>
            </w:pPr>
            <w:r>
              <w:rPr>
                <w:rFonts w:hint="eastAsia" w:ascii="Times New Roman" w:hAnsi="Times New Roman" w:eastAsia="宋体" w:cs="Times New Roman"/>
                <w:color w:val="auto"/>
                <w:sz w:val="24"/>
                <w:highlight w:val="none"/>
                <w:lang w:val="en-US" w:eastAsia="zh-CN"/>
              </w:rPr>
              <w:t>本项目烘干机上方设置两个燃料仓</w:t>
            </w:r>
            <w:r>
              <w:rPr>
                <w:rFonts w:hint="eastAsia" w:cs="Times New Roman"/>
                <w:color w:val="auto"/>
                <w:sz w:val="24"/>
                <w:highlight w:val="none"/>
                <w:lang w:val="en-US" w:eastAsia="zh-CN"/>
              </w:rPr>
              <w:t>，单个容积为33m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w:t>
            </w:r>
            <w:r>
              <w:rPr>
                <w:rFonts w:hint="eastAsia"/>
                <w:color w:val="auto"/>
                <w:sz w:val="24"/>
                <w:highlight w:val="none"/>
              </w:rPr>
              <w:t>在</w:t>
            </w:r>
            <w:r>
              <w:rPr>
                <w:rFonts w:hint="eastAsia"/>
                <w:color w:val="auto"/>
                <w:sz w:val="24"/>
                <w:highlight w:val="none"/>
                <w:lang w:eastAsia="zh-CN"/>
              </w:rPr>
              <w:t>燃料</w:t>
            </w:r>
            <w:r>
              <w:rPr>
                <w:rFonts w:hint="eastAsia"/>
                <w:color w:val="auto"/>
                <w:sz w:val="24"/>
                <w:highlight w:val="none"/>
              </w:rPr>
              <w:t>仓内，</w:t>
            </w:r>
            <w:r>
              <w:rPr>
                <w:rFonts w:hint="eastAsia"/>
                <w:color w:val="auto"/>
                <w:sz w:val="24"/>
                <w:highlight w:val="none"/>
                <w:lang w:eastAsia="zh-CN"/>
              </w:rPr>
              <w:t>给料机</w:t>
            </w:r>
            <w:r>
              <w:rPr>
                <w:rFonts w:hint="eastAsia"/>
                <w:color w:val="auto"/>
                <w:sz w:val="24"/>
                <w:highlight w:val="none"/>
              </w:rPr>
              <w:t>送入的</w:t>
            </w:r>
            <w:r>
              <w:rPr>
                <w:rFonts w:hint="eastAsia"/>
                <w:color w:val="auto"/>
                <w:sz w:val="24"/>
                <w:highlight w:val="none"/>
                <w:lang w:eastAsia="zh-CN"/>
              </w:rPr>
              <w:t>燃料生物质颗粒</w:t>
            </w:r>
            <w:r>
              <w:rPr>
                <w:rFonts w:hint="eastAsia"/>
                <w:color w:val="auto"/>
                <w:sz w:val="24"/>
                <w:highlight w:val="none"/>
              </w:rPr>
              <w:t>在落料时</w:t>
            </w:r>
            <w:r>
              <w:rPr>
                <w:rFonts w:hint="eastAsia"/>
                <w:color w:val="auto"/>
                <w:sz w:val="24"/>
                <w:highlight w:val="none"/>
                <w:lang w:eastAsia="zh-CN"/>
              </w:rPr>
              <w:t>因高度差有少部分粉</w:t>
            </w:r>
            <w:r>
              <w:rPr>
                <w:rFonts w:hint="eastAsia"/>
                <w:color w:val="auto"/>
                <w:sz w:val="24"/>
                <w:highlight w:val="none"/>
              </w:rPr>
              <w:t>尘产生，同时</w:t>
            </w:r>
            <w:r>
              <w:rPr>
                <w:rFonts w:hint="eastAsia"/>
                <w:color w:val="auto"/>
                <w:sz w:val="24"/>
                <w:highlight w:val="none"/>
                <w:lang w:eastAsia="zh-CN"/>
              </w:rPr>
              <w:t>燃料</w:t>
            </w:r>
            <w:r>
              <w:rPr>
                <w:rFonts w:hint="eastAsia"/>
                <w:color w:val="auto"/>
                <w:sz w:val="24"/>
                <w:highlight w:val="none"/>
              </w:rPr>
              <w:t>仓向烘干系统喂料时，受到扰动也将产生一定扬尘。</w:t>
            </w:r>
            <w:r>
              <w:rPr>
                <w:rFonts w:hint="eastAsia"/>
                <w:color w:val="auto"/>
                <w:sz w:val="24"/>
                <w:highlight w:val="none"/>
                <w:lang w:eastAsia="zh-CN"/>
              </w:rPr>
              <w:t>生物质颗粒燃料为颗粒料因此参考</w:t>
            </w:r>
            <w:r>
              <w:rPr>
                <w:rFonts w:hint="eastAsia"/>
                <w:color w:val="auto"/>
                <w:sz w:val="24"/>
                <w:highlight w:val="none"/>
              </w:rPr>
              <w:t>扬尘产生系数约为0.0</w:t>
            </w:r>
            <w:r>
              <w:rPr>
                <w:rFonts w:hint="eastAsia"/>
                <w:color w:val="auto"/>
                <w:sz w:val="24"/>
                <w:highlight w:val="none"/>
                <w:lang w:val="en-US" w:eastAsia="zh-CN"/>
              </w:rPr>
              <w:t>1</w:t>
            </w:r>
            <w:r>
              <w:rPr>
                <w:color w:val="auto"/>
                <w:sz w:val="24"/>
                <w:highlight w:val="none"/>
              </w:rPr>
              <w:t>kg/t-</w:t>
            </w:r>
            <w:r>
              <w:rPr>
                <w:rFonts w:hint="eastAsia"/>
                <w:color w:val="auto"/>
                <w:sz w:val="24"/>
                <w:highlight w:val="none"/>
                <w:lang w:eastAsia="zh-CN"/>
              </w:rPr>
              <w:t>燃料</w:t>
            </w:r>
            <w:r>
              <w:rPr>
                <w:rFonts w:hint="eastAsia"/>
                <w:color w:val="auto"/>
                <w:sz w:val="24"/>
                <w:highlight w:val="none"/>
              </w:rPr>
              <w:t>。</w:t>
            </w:r>
          </w:p>
          <w:p w14:paraId="18BCB508">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rFonts w:hint="eastAsia" w:eastAsia="宋体"/>
                <w:bCs/>
                <w:color w:val="auto"/>
                <w:spacing w:val="-10"/>
                <w:szCs w:val="21"/>
                <w:highlight w:val="none"/>
                <w:vertAlign w:val="baseline"/>
                <w:lang w:eastAsia="zh-CN"/>
              </w:rPr>
            </w:pPr>
            <w:r>
              <w:rPr>
                <w:rFonts w:hint="default" w:ascii="Times New Roman" w:hAnsi="Times New Roman" w:eastAsia="宋体" w:cs="Times New Roman"/>
                <w:color w:val="auto"/>
                <w:kern w:val="2"/>
                <w:sz w:val="24"/>
                <w:szCs w:val="24"/>
                <w:highlight w:val="none"/>
                <w:lang w:val="en-US" w:eastAsia="zh-CN" w:bidi="ar-SA"/>
              </w:rPr>
              <w:t>项目</w:t>
            </w:r>
            <w:r>
              <w:rPr>
                <w:rFonts w:hint="eastAsia" w:cs="Times New Roman"/>
                <w:color w:val="auto"/>
                <w:kern w:val="2"/>
                <w:sz w:val="24"/>
                <w:szCs w:val="24"/>
                <w:highlight w:val="none"/>
                <w:lang w:val="en-US" w:eastAsia="zh-CN" w:bidi="ar-SA"/>
              </w:rPr>
              <w:t>燃料年用量为36461.6448t</w:t>
            </w:r>
            <w:r>
              <w:rPr>
                <w:rFonts w:hint="eastAsia" w:cs="Times New Roman"/>
                <w:color w:val="auto"/>
                <w:sz w:val="24"/>
                <w:szCs w:val="24"/>
                <w:highlight w:val="none"/>
                <w:lang w:val="en-US" w:eastAsia="zh-CN"/>
              </w:rPr>
              <w:t>，2个燃料粉仓平均装料，</w:t>
            </w:r>
            <w:r>
              <w:rPr>
                <w:rFonts w:hint="eastAsia" w:ascii="Times New Roman" w:hAnsi="Times New Roman" w:eastAsia="宋体" w:cs="Times New Roman"/>
                <w:color w:val="auto"/>
                <w:sz w:val="24"/>
                <w:szCs w:val="24"/>
                <w:highlight w:val="none"/>
                <w:lang w:eastAsia="zh-CN"/>
              </w:rPr>
              <w:t>则本项目</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燃料粉仓粉尘产生量为</w:t>
            </w:r>
            <w:r>
              <w:rPr>
                <w:rFonts w:hint="eastAsia" w:cs="Times New Roman"/>
                <w:color w:val="auto"/>
                <w:sz w:val="24"/>
                <w:szCs w:val="24"/>
                <w:highlight w:val="none"/>
                <w:lang w:val="en-US" w:eastAsia="zh-CN"/>
              </w:rPr>
              <w:t>0.3646t/a，</w:t>
            </w:r>
            <w:r>
              <w:rPr>
                <w:rFonts w:hint="eastAsia" w:ascii="Times New Roman" w:hAnsi="Times New Roman" w:eastAsia="宋体" w:cs="Times New Roman"/>
                <w:color w:val="auto"/>
                <w:sz w:val="24"/>
                <w:highlight w:val="none"/>
                <w:lang w:val="en-US" w:eastAsia="zh-CN"/>
              </w:rPr>
              <w:t>产生速率为</w:t>
            </w:r>
            <w:r>
              <w:rPr>
                <w:rFonts w:hint="eastAsia" w:cs="Times New Roman"/>
                <w:color w:val="auto"/>
                <w:sz w:val="24"/>
                <w:highlight w:val="none"/>
                <w:lang w:val="en-US" w:eastAsia="zh-CN"/>
              </w:rPr>
              <w:t>0.0543</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27.15</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燃料粉仓粉尘产生量为</w:t>
            </w:r>
            <w:r>
              <w:rPr>
                <w:rFonts w:hint="eastAsia" w:cs="Times New Roman"/>
                <w:color w:val="auto"/>
                <w:sz w:val="24"/>
                <w:szCs w:val="24"/>
                <w:highlight w:val="none"/>
                <w:lang w:val="en-US" w:eastAsia="zh-CN"/>
              </w:rPr>
              <w:t>0.3646t/a，</w:t>
            </w:r>
            <w:r>
              <w:rPr>
                <w:rFonts w:hint="eastAsia" w:ascii="Times New Roman" w:hAnsi="Times New Roman" w:eastAsia="宋体" w:cs="Times New Roman"/>
                <w:color w:val="auto"/>
                <w:sz w:val="24"/>
                <w:highlight w:val="none"/>
                <w:lang w:val="en-US" w:eastAsia="zh-CN"/>
              </w:rPr>
              <w:t>产生速率为</w:t>
            </w:r>
            <w:r>
              <w:rPr>
                <w:rFonts w:hint="eastAsia" w:cs="Times New Roman"/>
                <w:color w:val="auto"/>
                <w:sz w:val="24"/>
                <w:highlight w:val="none"/>
                <w:lang w:val="en-US" w:eastAsia="zh-CN"/>
              </w:rPr>
              <w:t>0.0543</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27.15</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p>
          <w:p w14:paraId="6031080A">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rFonts w:hint="eastAsia" w:eastAsia="Times New Roman"/>
                <w:color w:val="auto"/>
                <w:sz w:val="24"/>
                <w:highlight w:val="none"/>
                <w:lang w:val="zh-CN"/>
              </w:rPr>
            </w:pPr>
            <w:r>
              <w:rPr>
                <w:rFonts w:hint="default" w:ascii="Times New Roman" w:hAnsi="Times New Roman" w:eastAsia="宋体" w:cs="Times New Roman"/>
                <w:color w:val="auto"/>
                <w:kern w:val="2"/>
                <w:sz w:val="24"/>
                <w:szCs w:val="24"/>
                <w:highlight w:val="none"/>
                <w:lang w:val="en-US" w:eastAsia="zh-CN" w:bidi="ar-SA"/>
              </w:rPr>
              <w:t>根据建设单位提供资料，</w:t>
            </w:r>
            <w:r>
              <w:rPr>
                <w:rFonts w:hint="eastAsia" w:ascii="Times New Roman" w:hAnsi="Times New Roman" w:eastAsia="宋体" w:cs="Times New Roman"/>
                <w:color w:val="auto"/>
                <w:kern w:val="2"/>
                <w:sz w:val="24"/>
                <w:szCs w:val="24"/>
                <w:highlight w:val="none"/>
                <w:lang w:val="en-US" w:eastAsia="zh-CN" w:bidi="ar-SA"/>
              </w:rPr>
              <w:t>燃料</w:t>
            </w:r>
            <w:r>
              <w:rPr>
                <w:rFonts w:hint="eastAsia" w:eastAsia="宋体" w:cs="Times New Roman"/>
                <w:color w:val="auto"/>
                <w:kern w:val="2"/>
                <w:sz w:val="24"/>
                <w:szCs w:val="24"/>
                <w:highlight w:val="none"/>
                <w:lang w:val="en-US" w:eastAsia="zh-CN" w:bidi="ar-SA"/>
              </w:rPr>
              <w:t>粉仓</w:t>
            </w:r>
            <w:r>
              <w:rPr>
                <w:rFonts w:hint="default" w:ascii="Times New Roman" w:hAnsi="Times New Roman" w:eastAsia="宋体" w:cs="Times New Roman"/>
                <w:color w:val="auto"/>
                <w:kern w:val="2"/>
                <w:sz w:val="24"/>
                <w:szCs w:val="24"/>
                <w:highlight w:val="none"/>
                <w:lang w:val="en-US" w:eastAsia="zh-CN" w:bidi="ar-SA"/>
              </w:rPr>
              <w:t>设计为全封闭式，且</w:t>
            </w:r>
            <w:r>
              <w:rPr>
                <w:rFonts w:hint="eastAsia" w:ascii="Times New Roman" w:hAnsi="Times New Roman" w:eastAsia="宋体" w:cs="Times New Roman"/>
                <w:color w:val="auto"/>
                <w:kern w:val="2"/>
                <w:sz w:val="24"/>
                <w:szCs w:val="24"/>
                <w:highlight w:val="none"/>
                <w:lang w:val="en-US" w:eastAsia="zh-CN" w:bidi="ar-SA"/>
              </w:rPr>
              <w:t>2个</w:t>
            </w:r>
            <w:r>
              <w:rPr>
                <w:rFonts w:hint="default" w:ascii="Times New Roman" w:hAnsi="Times New Roman" w:eastAsia="宋体" w:cs="Times New Roman"/>
                <w:color w:val="auto"/>
                <w:kern w:val="2"/>
                <w:sz w:val="24"/>
                <w:szCs w:val="24"/>
                <w:highlight w:val="none"/>
                <w:lang w:val="en-US" w:eastAsia="zh-CN" w:bidi="ar-SA"/>
              </w:rPr>
              <w:t>筒仓仓顶</w:t>
            </w:r>
            <w:r>
              <w:rPr>
                <w:rFonts w:hint="eastAsia" w:ascii="Times New Roman" w:hAnsi="Times New Roman" w:eastAsia="宋体" w:cs="Times New Roman"/>
                <w:color w:val="auto"/>
                <w:kern w:val="2"/>
                <w:sz w:val="24"/>
                <w:szCs w:val="24"/>
                <w:highlight w:val="none"/>
                <w:lang w:val="en-US" w:eastAsia="zh-CN" w:bidi="ar-SA"/>
              </w:rPr>
              <w:t>各</w:t>
            </w:r>
            <w:r>
              <w:rPr>
                <w:rFonts w:hint="default" w:ascii="Times New Roman" w:hAnsi="Times New Roman" w:eastAsia="宋体" w:cs="Times New Roman"/>
                <w:color w:val="auto"/>
                <w:kern w:val="2"/>
                <w:sz w:val="24"/>
                <w:szCs w:val="24"/>
                <w:highlight w:val="none"/>
                <w:lang w:val="en-US" w:eastAsia="zh-CN" w:bidi="ar-SA"/>
              </w:rPr>
              <w:t>设有1台风机风量为</w:t>
            </w:r>
            <w:r>
              <w:rPr>
                <w:rFonts w:hint="eastAsia" w:cs="Times New Roman"/>
                <w:color w:val="auto"/>
                <w:kern w:val="2"/>
                <w:sz w:val="24"/>
                <w:szCs w:val="24"/>
                <w:highlight w:val="none"/>
                <w:lang w:val="en-US" w:eastAsia="zh-CN" w:bidi="ar-SA"/>
              </w:rPr>
              <w:t>2000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/h的仓顶布袋除尘器</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除尘效率约为99</w:t>
            </w:r>
            <w:r>
              <w:rPr>
                <w:rFonts w:hint="eastAsia" w:ascii="Times New Roman" w:hAnsi="Times New Roman"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6</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燃料粉仓</w:t>
            </w:r>
            <w:r>
              <w:rPr>
                <w:rFonts w:hint="default" w:ascii="Times New Roman" w:hAnsi="Times New Roman" w:eastAsia="宋体" w:cs="Times New Roman"/>
                <w:color w:val="auto"/>
                <w:kern w:val="2"/>
                <w:sz w:val="24"/>
                <w:szCs w:val="24"/>
                <w:highlight w:val="none"/>
                <w:lang w:val="en-US" w:eastAsia="zh-CN" w:bidi="ar-SA"/>
              </w:rPr>
              <w:t>产生的粉尘经除尘后由仓顶的排气口</w:t>
            </w:r>
            <w:r>
              <w:rPr>
                <w:rFonts w:hint="eastAsia" w:eastAsia="宋体" w:cs="Times New Roman"/>
                <w:color w:val="auto"/>
                <w:kern w:val="2"/>
                <w:sz w:val="24"/>
                <w:szCs w:val="24"/>
                <w:highlight w:val="none"/>
                <w:lang w:val="en-US" w:eastAsia="zh-CN" w:bidi="ar-SA"/>
              </w:rPr>
              <w:t>（DA006）</w:t>
            </w:r>
            <w:r>
              <w:rPr>
                <w:rFonts w:hint="default" w:ascii="Times New Roman" w:hAnsi="Times New Roman" w:eastAsia="宋体" w:cs="Times New Roman"/>
                <w:color w:val="auto"/>
                <w:kern w:val="2"/>
                <w:sz w:val="24"/>
                <w:szCs w:val="24"/>
                <w:highlight w:val="none"/>
                <w:lang w:val="en-US" w:eastAsia="zh-CN" w:bidi="ar-SA"/>
              </w:rPr>
              <w:t>排出，排气口距离地面高度为</w:t>
            </w:r>
            <w:r>
              <w:rPr>
                <w:rFonts w:hint="eastAsia" w:ascii="Times New Roman" w:hAnsi="Times New Roman" w:eastAsia="宋体" w:cs="Times New Roman"/>
                <w:color w:val="auto"/>
                <w:kern w:val="2"/>
                <w:sz w:val="24"/>
                <w:szCs w:val="24"/>
                <w:highlight w:val="none"/>
                <w:lang w:val="en-US" w:eastAsia="zh-CN" w:bidi="ar-SA"/>
              </w:rPr>
              <w:t>2</w:t>
            </w:r>
            <w:r>
              <w:rPr>
                <w:rFonts w:hint="eastAsia" w:cs="Times New Roman"/>
                <w:color w:val="auto"/>
                <w:kern w:val="2"/>
                <w:sz w:val="24"/>
                <w:szCs w:val="24"/>
                <w:highlight w:val="none"/>
                <w:lang w:val="en-US" w:eastAsia="zh-CN" w:bidi="ar-SA"/>
              </w:rPr>
              <w:t>0</w:t>
            </w:r>
            <w:r>
              <w:rPr>
                <w:rFonts w:hint="eastAsia" w:ascii="Times New Roman" w:hAnsi="Times New Roman" w:eastAsia="宋体"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m</w:t>
            </w:r>
            <w:r>
              <w:rPr>
                <w:rFonts w:hint="eastAsia" w:eastAsia="宋体" w:cs="Times New Roman"/>
                <w:color w:val="auto"/>
                <w:kern w:val="2"/>
                <w:sz w:val="24"/>
                <w:szCs w:val="24"/>
                <w:highlight w:val="none"/>
                <w:lang w:val="en-US" w:eastAsia="zh-CN" w:bidi="ar-SA"/>
              </w:rPr>
              <w:t>（内径为0.</w:t>
            </w:r>
            <w:r>
              <w:rPr>
                <w:rFonts w:hint="eastAsia" w:cs="Times New Roman"/>
                <w:color w:val="auto"/>
                <w:kern w:val="2"/>
                <w:sz w:val="24"/>
                <w:szCs w:val="24"/>
                <w:highlight w:val="none"/>
                <w:lang w:val="en-US" w:eastAsia="zh-CN" w:bidi="ar-SA"/>
              </w:rPr>
              <w:t>2</w:t>
            </w:r>
            <w:r>
              <w:rPr>
                <w:rFonts w:hint="eastAsia" w:eastAsia="宋体" w:cs="Times New Roman"/>
                <w:color w:val="auto"/>
                <w:kern w:val="2"/>
                <w:sz w:val="24"/>
                <w:szCs w:val="24"/>
                <w:highlight w:val="none"/>
                <w:lang w:val="en-US" w:eastAsia="zh-CN" w:bidi="ar-SA"/>
              </w:rPr>
              <w:t>5m）</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燃料粉仓</w:t>
            </w:r>
            <w:r>
              <w:rPr>
                <w:rFonts w:hint="default" w:ascii="Times New Roman" w:hAnsi="Times New Roman" w:eastAsia="宋体" w:cs="Times New Roman"/>
                <w:color w:val="auto"/>
                <w:kern w:val="2"/>
                <w:sz w:val="24"/>
                <w:szCs w:val="24"/>
                <w:highlight w:val="none"/>
                <w:lang w:val="en-US" w:eastAsia="zh-CN" w:bidi="ar-SA"/>
              </w:rPr>
              <w:t>产生的粉尘经除尘后由仓顶的排气口</w:t>
            </w:r>
            <w:r>
              <w:rPr>
                <w:rFonts w:hint="eastAsia" w:eastAsia="宋体" w:cs="Times New Roman"/>
                <w:color w:val="auto"/>
                <w:kern w:val="2"/>
                <w:sz w:val="24"/>
                <w:szCs w:val="24"/>
                <w:highlight w:val="none"/>
                <w:lang w:val="en-US" w:eastAsia="zh-CN" w:bidi="ar-SA"/>
              </w:rPr>
              <w:t>（DA007）</w:t>
            </w:r>
            <w:r>
              <w:rPr>
                <w:rFonts w:hint="default" w:ascii="Times New Roman" w:hAnsi="Times New Roman" w:eastAsia="宋体" w:cs="Times New Roman"/>
                <w:color w:val="auto"/>
                <w:kern w:val="2"/>
                <w:sz w:val="24"/>
                <w:szCs w:val="24"/>
                <w:highlight w:val="none"/>
                <w:lang w:val="en-US" w:eastAsia="zh-CN" w:bidi="ar-SA"/>
              </w:rPr>
              <w:t>排出，排气口距离地面高度为</w:t>
            </w:r>
            <w:r>
              <w:rPr>
                <w:rFonts w:hint="eastAsia" w:ascii="Times New Roman" w:hAnsi="Times New Roman" w:eastAsia="宋体" w:cs="Times New Roman"/>
                <w:color w:val="auto"/>
                <w:kern w:val="2"/>
                <w:sz w:val="24"/>
                <w:szCs w:val="24"/>
                <w:highlight w:val="none"/>
                <w:lang w:val="en-US" w:eastAsia="zh-CN" w:bidi="ar-SA"/>
              </w:rPr>
              <w:t>2</w:t>
            </w:r>
            <w:r>
              <w:rPr>
                <w:rFonts w:hint="eastAsia" w:cs="Times New Roman"/>
                <w:color w:val="auto"/>
                <w:kern w:val="2"/>
                <w:sz w:val="24"/>
                <w:szCs w:val="24"/>
                <w:highlight w:val="none"/>
                <w:lang w:val="en-US" w:eastAsia="zh-CN" w:bidi="ar-SA"/>
              </w:rPr>
              <w:t>0</w:t>
            </w:r>
            <w:r>
              <w:rPr>
                <w:rFonts w:hint="eastAsia" w:ascii="Times New Roman" w:hAnsi="Times New Roman" w:eastAsia="宋体"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m</w:t>
            </w:r>
            <w:r>
              <w:rPr>
                <w:rFonts w:hint="eastAsia" w:eastAsia="宋体" w:cs="Times New Roman"/>
                <w:color w:val="auto"/>
                <w:kern w:val="2"/>
                <w:sz w:val="24"/>
                <w:szCs w:val="24"/>
                <w:highlight w:val="none"/>
                <w:lang w:val="en-US" w:eastAsia="zh-CN" w:bidi="ar-SA"/>
              </w:rPr>
              <w:t>（内径为0.</w:t>
            </w:r>
            <w:r>
              <w:rPr>
                <w:rFonts w:hint="eastAsia" w:cs="Times New Roman"/>
                <w:color w:val="auto"/>
                <w:kern w:val="2"/>
                <w:sz w:val="24"/>
                <w:szCs w:val="24"/>
                <w:highlight w:val="none"/>
                <w:lang w:val="en-US" w:eastAsia="zh-CN" w:bidi="ar-SA"/>
              </w:rPr>
              <w:t>2</w:t>
            </w:r>
            <w:r>
              <w:rPr>
                <w:rFonts w:hint="eastAsia" w:eastAsia="宋体" w:cs="Times New Roman"/>
                <w:color w:val="auto"/>
                <w:kern w:val="2"/>
                <w:sz w:val="24"/>
                <w:szCs w:val="24"/>
                <w:highlight w:val="none"/>
                <w:lang w:val="en-US" w:eastAsia="zh-CN" w:bidi="ar-SA"/>
              </w:rPr>
              <w:t>5m）</w:t>
            </w:r>
            <w:r>
              <w:rPr>
                <w:rFonts w:hint="default" w:ascii="Times New Roman" w:hAnsi="Times New Roman" w:eastAsia="宋体" w:cs="Times New Roman"/>
                <w:color w:val="auto"/>
                <w:kern w:val="2"/>
                <w:sz w:val="24"/>
                <w:szCs w:val="24"/>
                <w:highlight w:val="none"/>
                <w:lang w:val="en-US" w:eastAsia="zh-CN" w:bidi="ar-SA"/>
              </w:rPr>
              <w:t>。</w:t>
            </w:r>
          </w:p>
          <w:p w14:paraId="4E1905B0">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rFonts w:hint="default" w:eastAsia="宋体" w:cs="Times New Roman"/>
                <w:b/>
                <w:bCs/>
                <w:color w:val="auto"/>
                <w:sz w:val="24"/>
                <w:highlight w:val="none"/>
                <w:vertAlign w:val="baseline"/>
                <w:lang w:val="en-US" w:eastAsia="zh-CN"/>
              </w:rPr>
            </w:pPr>
            <w:r>
              <w:rPr>
                <w:rFonts w:hint="eastAsia" w:eastAsia="Times New Roman"/>
                <w:color w:val="auto"/>
                <w:sz w:val="24"/>
                <w:highlight w:val="none"/>
                <w:lang w:val="zh-CN"/>
              </w:rPr>
              <w:t>则</w:t>
            </w:r>
            <w:r>
              <w:rPr>
                <w:rFonts w:hint="eastAsia" w:eastAsia="宋体"/>
                <w:color w:val="auto"/>
                <w:sz w:val="24"/>
                <w:highlight w:val="none"/>
                <w:lang w:val="en-US" w:eastAsia="zh-CN"/>
              </w:rPr>
              <w:t>DA006排气筒</w:t>
            </w:r>
            <w:r>
              <w:rPr>
                <w:rFonts w:hint="eastAsia" w:eastAsia="Times New Roman"/>
                <w:color w:val="auto"/>
                <w:sz w:val="24"/>
                <w:highlight w:val="none"/>
                <w:lang w:val="zh-CN"/>
              </w:rPr>
              <w:t>有组织</w:t>
            </w:r>
            <w:r>
              <w:rPr>
                <w:rFonts w:hint="eastAsia" w:ascii="Times New Roman" w:hAnsi="Times New Roman" w:eastAsia="宋体" w:cs="Times New Roman"/>
                <w:color w:val="auto"/>
                <w:sz w:val="24"/>
                <w:highlight w:val="none"/>
                <w:lang w:eastAsia="zh-CN"/>
              </w:rPr>
              <w:t>粉尘排放量为</w:t>
            </w:r>
            <w:r>
              <w:rPr>
                <w:rFonts w:hint="eastAsia" w:cs="Times New Roman"/>
                <w:color w:val="auto"/>
                <w:sz w:val="24"/>
                <w:highlight w:val="none"/>
                <w:lang w:val="en-US" w:eastAsia="zh-CN"/>
              </w:rPr>
              <w:t>0.0015</w:t>
            </w:r>
            <w:r>
              <w:rPr>
                <w:rFonts w:hint="eastAsia" w:ascii="Times New Roman" w:hAnsi="Times New Roman" w:eastAsia="宋体" w:cs="Times New Roman"/>
                <w:color w:val="auto"/>
                <w:sz w:val="24"/>
                <w:highlight w:val="none"/>
                <w:lang w:val="en-US" w:eastAsia="zh-CN"/>
              </w:rPr>
              <w:t>t/a，排放速率为</w:t>
            </w:r>
            <w:r>
              <w:rPr>
                <w:rFonts w:hint="eastAsia" w:cs="Times New Roman"/>
                <w:color w:val="auto"/>
                <w:sz w:val="24"/>
                <w:highlight w:val="none"/>
                <w:lang w:val="en-US" w:eastAsia="zh-CN"/>
              </w:rPr>
              <w:t>0.0002</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0.10</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bCs/>
                <w:color w:val="auto"/>
                <w:spacing w:val="-10"/>
                <w:sz w:val="24"/>
                <w:szCs w:val="24"/>
                <w:highlight w:val="none"/>
                <w:vertAlign w:val="baseline"/>
                <w:lang w:val="en-US" w:eastAsia="zh-CN"/>
              </w:rPr>
              <w:t>DA007</w:t>
            </w:r>
            <w:r>
              <w:rPr>
                <w:rFonts w:hint="eastAsia" w:eastAsia="宋体"/>
                <w:color w:val="auto"/>
                <w:sz w:val="24"/>
                <w:highlight w:val="none"/>
                <w:lang w:val="en-US" w:eastAsia="zh-CN"/>
              </w:rPr>
              <w:t>排气筒</w:t>
            </w:r>
            <w:r>
              <w:rPr>
                <w:rFonts w:hint="eastAsia" w:eastAsia="Times New Roman"/>
                <w:color w:val="auto"/>
                <w:sz w:val="24"/>
                <w:highlight w:val="none"/>
                <w:lang w:val="zh-CN"/>
              </w:rPr>
              <w:t>有组织</w:t>
            </w:r>
            <w:r>
              <w:rPr>
                <w:rFonts w:hint="eastAsia" w:ascii="Times New Roman" w:hAnsi="Times New Roman" w:eastAsia="宋体" w:cs="Times New Roman"/>
                <w:color w:val="auto"/>
                <w:sz w:val="24"/>
                <w:highlight w:val="none"/>
                <w:lang w:eastAsia="zh-CN"/>
              </w:rPr>
              <w:t>粉尘排放量为</w:t>
            </w:r>
            <w:r>
              <w:rPr>
                <w:rFonts w:hint="eastAsia" w:cs="Times New Roman"/>
                <w:color w:val="auto"/>
                <w:sz w:val="24"/>
                <w:highlight w:val="none"/>
                <w:lang w:val="en-US" w:eastAsia="zh-CN"/>
              </w:rPr>
              <w:t>0.0015</w:t>
            </w:r>
            <w:r>
              <w:rPr>
                <w:rFonts w:hint="eastAsia" w:ascii="Times New Roman" w:hAnsi="Times New Roman" w:eastAsia="宋体" w:cs="Times New Roman"/>
                <w:color w:val="auto"/>
                <w:sz w:val="24"/>
                <w:highlight w:val="none"/>
                <w:lang w:val="en-US" w:eastAsia="zh-CN"/>
              </w:rPr>
              <w:t>t/a，排放速率为</w:t>
            </w:r>
            <w:r>
              <w:rPr>
                <w:rFonts w:hint="eastAsia" w:cs="Times New Roman"/>
                <w:color w:val="auto"/>
                <w:sz w:val="24"/>
                <w:highlight w:val="none"/>
                <w:lang w:val="en-US" w:eastAsia="zh-CN"/>
              </w:rPr>
              <w:t>0.0002</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0.10</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p>
          <w:p w14:paraId="76C2A18F">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lang w:val="en-US" w:eastAsia="zh-CN"/>
              </w:rPr>
              <w:t xml:space="preserve">  项目运营</w:t>
            </w:r>
            <w:r>
              <w:rPr>
                <w:rFonts w:hint="default" w:ascii="Times New Roman" w:hAnsi="Times New Roman" w:cs="Times New Roman"/>
                <w:b/>
                <w:bCs/>
                <w:color w:val="auto"/>
                <w:sz w:val="21"/>
                <w:szCs w:val="21"/>
                <w:highlight w:val="none"/>
                <w:lang w:val="en-US" w:eastAsia="zh-CN"/>
              </w:rPr>
              <w:t>期</w:t>
            </w:r>
            <w:r>
              <w:rPr>
                <w:rFonts w:hint="eastAsia" w:cs="Times New Roman"/>
                <w:b/>
                <w:bCs/>
                <w:color w:val="auto"/>
                <w:sz w:val="21"/>
                <w:szCs w:val="21"/>
                <w:highlight w:val="none"/>
                <w:lang w:val="en-US" w:eastAsia="zh-CN"/>
              </w:rPr>
              <w:t>燃料仓粉尘</w:t>
            </w:r>
            <w:r>
              <w:rPr>
                <w:rFonts w:hint="eastAsia" w:ascii="Times New Roman" w:hAnsi="Times New Roman" w:cs="Times New Roman"/>
                <w:b/>
                <w:bCs/>
                <w:color w:val="auto"/>
                <w:sz w:val="21"/>
                <w:szCs w:val="21"/>
                <w:highlight w:val="none"/>
                <w:lang w:val="en-US" w:eastAsia="zh-CN"/>
              </w:rPr>
              <w:t>废气</w:t>
            </w:r>
            <w:r>
              <w:rPr>
                <w:rFonts w:hint="default" w:ascii="Times New Roman" w:hAnsi="Times New Roman" w:eastAsia="宋体" w:cs="Times New Roman"/>
                <w:b/>
                <w:bCs/>
                <w:color w:val="auto"/>
                <w:sz w:val="21"/>
                <w:szCs w:val="21"/>
                <w:highlight w:val="none"/>
                <w:lang w:val="en-US" w:eastAsia="zh-CN"/>
              </w:rPr>
              <w:t>排放源一览表</w:t>
            </w:r>
          </w:p>
          <w:tbl>
            <w:tblPr>
              <w:tblStyle w:val="28"/>
              <w:tblW w:w="8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249"/>
              <w:gridCol w:w="1989"/>
              <w:gridCol w:w="2863"/>
              <w:gridCol w:w="2744"/>
            </w:tblGrid>
            <w:tr w14:paraId="77DB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5" w:type="dxa"/>
                  <w:gridSpan w:val="3"/>
                  <w:vAlign w:val="center"/>
                </w:tcPr>
                <w:p w14:paraId="5C8AC31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2863" w:type="dxa"/>
                  <w:vAlign w:val="center"/>
                </w:tcPr>
                <w:p w14:paraId="5E36391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val="0"/>
                      <w:color w:val="auto"/>
                      <w:sz w:val="21"/>
                      <w:szCs w:val="21"/>
                      <w:highlight w:val="none"/>
                      <w:lang w:val="en-US" w:eastAsia="zh-CN"/>
                    </w:rPr>
                    <w:t>1#燃料仓粉尘</w:t>
                  </w:r>
                </w:p>
              </w:tc>
              <w:tc>
                <w:tcPr>
                  <w:tcW w:w="2744" w:type="dxa"/>
                  <w:vAlign w:val="center"/>
                </w:tcPr>
                <w:p w14:paraId="7CCC9E2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2#燃料仓粉尘</w:t>
                  </w:r>
                </w:p>
              </w:tc>
            </w:tr>
            <w:tr w14:paraId="1079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5" w:type="dxa"/>
                  <w:gridSpan w:val="3"/>
                  <w:vAlign w:val="center"/>
                </w:tcPr>
                <w:p w14:paraId="01B528C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2863" w:type="dxa"/>
                  <w:vAlign w:val="center"/>
                </w:tcPr>
                <w:p w14:paraId="30483EC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2744" w:type="dxa"/>
                  <w:vAlign w:val="center"/>
                </w:tcPr>
                <w:p w14:paraId="736C5DE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r>
            <w:tr w14:paraId="7771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5" w:type="dxa"/>
                  <w:gridSpan w:val="3"/>
                  <w:vAlign w:val="center"/>
                </w:tcPr>
                <w:p w14:paraId="44BB2EF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2863" w:type="dxa"/>
                  <w:vAlign w:val="center"/>
                </w:tcPr>
                <w:p w14:paraId="4A8BF2E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0.3646</w:t>
                  </w:r>
                </w:p>
              </w:tc>
              <w:tc>
                <w:tcPr>
                  <w:tcW w:w="2744" w:type="dxa"/>
                  <w:vAlign w:val="center"/>
                </w:tcPr>
                <w:p w14:paraId="5AD1032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0.3646</w:t>
                  </w:r>
                </w:p>
              </w:tc>
            </w:tr>
            <w:tr w14:paraId="41E6F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5" w:type="dxa"/>
                  <w:gridSpan w:val="3"/>
                  <w:vAlign w:val="center"/>
                </w:tcPr>
                <w:p w14:paraId="1E2EE97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2863" w:type="dxa"/>
                  <w:vAlign w:val="center"/>
                </w:tcPr>
                <w:p w14:paraId="5D34992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27.15</w:t>
                  </w:r>
                </w:p>
              </w:tc>
              <w:tc>
                <w:tcPr>
                  <w:tcW w:w="2744" w:type="dxa"/>
                  <w:vAlign w:val="center"/>
                </w:tcPr>
                <w:p w14:paraId="30ECFD7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27.15</w:t>
                  </w:r>
                </w:p>
              </w:tc>
            </w:tr>
            <w:tr w14:paraId="4B58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5" w:type="dxa"/>
                  <w:gridSpan w:val="3"/>
                  <w:vAlign w:val="center"/>
                </w:tcPr>
                <w:p w14:paraId="2989250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2863" w:type="dxa"/>
                  <w:vAlign w:val="center"/>
                </w:tcPr>
                <w:p w14:paraId="4E1590F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2744" w:type="dxa"/>
                  <w:vAlign w:val="center"/>
                </w:tcPr>
                <w:p w14:paraId="7958241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r>
            <w:tr w14:paraId="647A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617" w:type="dxa"/>
                  <w:vMerge w:val="restart"/>
                  <w:vAlign w:val="center"/>
                </w:tcPr>
                <w:p w14:paraId="6073495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2238" w:type="dxa"/>
                  <w:gridSpan w:val="2"/>
                  <w:vAlign w:val="center"/>
                </w:tcPr>
                <w:p w14:paraId="4E09DB7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2863" w:type="dxa"/>
                  <w:vAlign w:val="center"/>
                </w:tcPr>
                <w:p w14:paraId="61FE50B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2744" w:type="dxa"/>
                  <w:vAlign w:val="center"/>
                </w:tcPr>
                <w:p w14:paraId="62623FC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r>
            <w:tr w14:paraId="5EF8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vMerge w:val="continue"/>
                  <w:vAlign w:val="center"/>
                </w:tcPr>
                <w:p w14:paraId="7ADFEAC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238" w:type="dxa"/>
                  <w:gridSpan w:val="2"/>
                  <w:vAlign w:val="center"/>
                </w:tcPr>
                <w:p w14:paraId="5B14A41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2863" w:type="dxa"/>
                  <w:vAlign w:val="center"/>
                </w:tcPr>
                <w:p w14:paraId="73DAD4C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100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744" w:type="dxa"/>
                  <w:vAlign w:val="center"/>
                </w:tcPr>
                <w:p w14:paraId="66034B1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100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59AC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vMerge w:val="continue"/>
                  <w:vAlign w:val="center"/>
                </w:tcPr>
                <w:p w14:paraId="5C1A8ED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238" w:type="dxa"/>
                  <w:gridSpan w:val="2"/>
                  <w:vAlign w:val="center"/>
                </w:tcPr>
                <w:p w14:paraId="6BEE9CF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2863" w:type="dxa"/>
                  <w:vAlign w:val="center"/>
                </w:tcPr>
                <w:p w14:paraId="65F531F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p>
              </w:tc>
              <w:tc>
                <w:tcPr>
                  <w:tcW w:w="2744" w:type="dxa"/>
                  <w:vAlign w:val="center"/>
                </w:tcPr>
                <w:p w14:paraId="6AB4C1E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p>
              </w:tc>
            </w:tr>
            <w:tr w14:paraId="601A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17" w:type="dxa"/>
                  <w:vMerge w:val="continue"/>
                  <w:vAlign w:val="center"/>
                </w:tcPr>
                <w:p w14:paraId="57033F9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238" w:type="dxa"/>
                  <w:gridSpan w:val="2"/>
                  <w:vAlign w:val="center"/>
                </w:tcPr>
                <w:p w14:paraId="29DF143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2863" w:type="dxa"/>
                  <w:vAlign w:val="center"/>
                </w:tcPr>
                <w:p w14:paraId="04C59D5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744" w:type="dxa"/>
                  <w:vAlign w:val="center"/>
                </w:tcPr>
                <w:p w14:paraId="0C2CF2C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28F0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vMerge w:val="continue"/>
                  <w:vAlign w:val="center"/>
                </w:tcPr>
                <w:p w14:paraId="64B08BD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238" w:type="dxa"/>
                  <w:gridSpan w:val="2"/>
                  <w:vAlign w:val="center"/>
                </w:tcPr>
                <w:p w14:paraId="22928A0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2863" w:type="dxa"/>
                  <w:vAlign w:val="center"/>
                </w:tcPr>
                <w:p w14:paraId="3169389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2744" w:type="dxa"/>
                  <w:vAlign w:val="center"/>
                </w:tcPr>
                <w:p w14:paraId="6C4811D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14:paraId="5AC6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5" w:type="dxa"/>
                  <w:gridSpan w:val="3"/>
                  <w:vAlign w:val="center"/>
                </w:tcPr>
                <w:p w14:paraId="537DDFE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2863" w:type="dxa"/>
                  <w:vAlign w:val="center"/>
                </w:tcPr>
                <w:p w14:paraId="382AB8A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0.10</w:t>
                  </w:r>
                </w:p>
              </w:tc>
              <w:tc>
                <w:tcPr>
                  <w:tcW w:w="2744" w:type="dxa"/>
                  <w:vAlign w:val="center"/>
                </w:tcPr>
                <w:p w14:paraId="09C79BC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0.10</w:t>
                  </w:r>
                </w:p>
              </w:tc>
            </w:tr>
            <w:tr w14:paraId="552E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855" w:type="dxa"/>
                  <w:gridSpan w:val="3"/>
                  <w:vAlign w:val="center"/>
                </w:tcPr>
                <w:p w14:paraId="2836E03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2863" w:type="dxa"/>
                  <w:vAlign w:val="center"/>
                </w:tcPr>
                <w:p w14:paraId="39F8AC2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w:t>
                  </w:r>
                  <w:r>
                    <w:rPr>
                      <w:rFonts w:hint="eastAsia" w:cs="Times New Roman"/>
                      <w:b w:val="0"/>
                      <w:bCs/>
                      <w:color w:val="auto"/>
                      <w:spacing w:val="-10"/>
                      <w:sz w:val="21"/>
                      <w:szCs w:val="21"/>
                      <w:highlight w:val="none"/>
                      <w:vertAlign w:val="baseline"/>
                      <w:lang w:val="en-US" w:eastAsia="zh-CN"/>
                    </w:rPr>
                    <w:t>002</w:t>
                  </w:r>
                </w:p>
              </w:tc>
              <w:tc>
                <w:tcPr>
                  <w:tcW w:w="2744" w:type="dxa"/>
                  <w:vAlign w:val="center"/>
                </w:tcPr>
                <w:p w14:paraId="7256BCE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w:t>
                  </w:r>
                  <w:r>
                    <w:rPr>
                      <w:rFonts w:hint="eastAsia" w:cs="Times New Roman"/>
                      <w:b w:val="0"/>
                      <w:bCs/>
                      <w:color w:val="auto"/>
                      <w:spacing w:val="-10"/>
                      <w:sz w:val="21"/>
                      <w:szCs w:val="21"/>
                      <w:highlight w:val="none"/>
                      <w:vertAlign w:val="baseline"/>
                      <w:lang w:val="en-US" w:eastAsia="zh-CN"/>
                    </w:rPr>
                    <w:t>002</w:t>
                  </w:r>
                </w:p>
              </w:tc>
            </w:tr>
            <w:tr w14:paraId="170C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5" w:type="dxa"/>
                  <w:gridSpan w:val="3"/>
                  <w:vAlign w:val="center"/>
                </w:tcPr>
                <w:p w14:paraId="639E64E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2863" w:type="dxa"/>
                  <w:vAlign w:val="center"/>
                </w:tcPr>
                <w:p w14:paraId="5881275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0015</w:t>
                  </w:r>
                </w:p>
              </w:tc>
              <w:tc>
                <w:tcPr>
                  <w:tcW w:w="2744" w:type="dxa"/>
                  <w:vAlign w:val="center"/>
                </w:tcPr>
                <w:p w14:paraId="5D88699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0015</w:t>
                  </w:r>
                </w:p>
              </w:tc>
            </w:tr>
            <w:tr w14:paraId="4A39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vMerge w:val="restart"/>
                  <w:vAlign w:val="center"/>
                </w:tcPr>
                <w:p w14:paraId="4F25A67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2238" w:type="dxa"/>
                  <w:gridSpan w:val="2"/>
                  <w:vAlign w:val="center"/>
                </w:tcPr>
                <w:p w14:paraId="6597334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2863" w:type="dxa"/>
                  <w:vAlign w:val="center"/>
                </w:tcPr>
                <w:p w14:paraId="7762715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20.5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2744" w:type="dxa"/>
                  <w:vAlign w:val="center"/>
                </w:tcPr>
                <w:p w14:paraId="53CA71B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20.5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r>
            <w:tr w14:paraId="72B1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vMerge w:val="continue"/>
                  <w:vAlign w:val="center"/>
                </w:tcPr>
                <w:p w14:paraId="31C6F3D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238" w:type="dxa"/>
                  <w:gridSpan w:val="2"/>
                  <w:vAlign w:val="center"/>
                </w:tcPr>
                <w:p w14:paraId="0497258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2863" w:type="dxa"/>
                  <w:vAlign w:val="center"/>
                </w:tcPr>
                <w:p w14:paraId="2903389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25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2744" w:type="dxa"/>
                  <w:vAlign w:val="center"/>
                </w:tcPr>
                <w:p w14:paraId="4EA0561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25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r>
            <w:tr w14:paraId="5534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vMerge w:val="continue"/>
                  <w:vAlign w:val="center"/>
                </w:tcPr>
                <w:p w14:paraId="385109B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238" w:type="dxa"/>
                  <w:gridSpan w:val="2"/>
                  <w:vAlign w:val="center"/>
                </w:tcPr>
                <w:p w14:paraId="625B784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2863" w:type="dxa"/>
                  <w:vAlign w:val="center"/>
                </w:tcPr>
                <w:p w14:paraId="35E37F9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2744" w:type="dxa"/>
                  <w:vAlign w:val="center"/>
                </w:tcPr>
                <w:p w14:paraId="3308569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r>
            <w:tr w14:paraId="2816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vMerge w:val="continue"/>
                  <w:vAlign w:val="center"/>
                </w:tcPr>
                <w:p w14:paraId="5CD7234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238" w:type="dxa"/>
                  <w:gridSpan w:val="2"/>
                  <w:vAlign w:val="center"/>
                </w:tcPr>
                <w:p w14:paraId="104DDA3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2863" w:type="dxa"/>
                  <w:vAlign w:val="center"/>
                </w:tcPr>
                <w:p w14:paraId="272E870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w:t>
                  </w:r>
                  <w:r>
                    <w:rPr>
                      <w:rFonts w:hint="eastAsia" w:cs="Times New Roman"/>
                      <w:b w:val="0"/>
                      <w:bCs/>
                      <w:color w:val="auto"/>
                      <w:spacing w:val="-10"/>
                      <w:sz w:val="21"/>
                      <w:szCs w:val="21"/>
                      <w:highlight w:val="none"/>
                      <w:vertAlign w:val="baseline"/>
                      <w:lang w:val="en-US" w:eastAsia="zh-CN"/>
                    </w:rPr>
                    <w:t>006</w:t>
                  </w:r>
                </w:p>
              </w:tc>
              <w:tc>
                <w:tcPr>
                  <w:tcW w:w="2744" w:type="dxa"/>
                  <w:vAlign w:val="center"/>
                </w:tcPr>
                <w:p w14:paraId="1EF160E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w:t>
                  </w:r>
                  <w:r>
                    <w:rPr>
                      <w:rFonts w:hint="eastAsia" w:cs="Times New Roman"/>
                      <w:b w:val="0"/>
                      <w:bCs/>
                      <w:color w:val="auto"/>
                      <w:spacing w:val="-10"/>
                      <w:sz w:val="21"/>
                      <w:szCs w:val="21"/>
                      <w:highlight w:val="none"/>
                      <w:vertAlign w:val="baseline"/>
                      <w:lang w:val="en-US" w:eastAsia="zh-CN"/>
                    </w:rPr>
                    <w:t>007</w:t>
                  </w:r>
                </w:p>
              </w:tc>
            </w:tr>
            <w:tr w14:paraId="270E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vMerge w:val="continue"/>
                  <w:vAlign w:val="center"/>
                </w:tcPr>
                <w:p w14:paraId="742AE0E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238" w:type="dxa"/>
                  <w:gridSpan w:val="2"/>
                  <w:vAlign w:val="center"/>
                </w:tcPr>
                <w:p w14:paraId="087976C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2863" w:type="dxa"/>
                  <w:vAlign w:val="center"/>
                </w:tcPr>
                <w:p w14:paraId="5831D3B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2744" w:type="dxa"/>
                  <w:vAlign w:val="center"/>
                </w:tcPr>
                <w:p w14:paraId="182B2A2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r>
            <w:tr w14:paraId="2D74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7" w:type="dxa"/>
                  <w:vMerge w:val="continue"/>
                  <w:vAlign w:val="center"/>
                </w:tcPr>
                <w:p w14:paraId="0F774B2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238" w:type="dxa"/>
                  <w:gridSpan w:val="2"/>
                  <w:vAlign w:val="center"/>
                </w:tcPr>
                <w:p w14:paraId="57D6F79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2863" w:type="dxa"/>
                  <w:vAlign w:val="center"/>
                </w:tcPr>
                <w:p w14:paraId="249F4A9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DA006：</w:t>
                  </w:r>
                  <w:r>
                    <w:rPr>
                      <w:rFonts w:hint="default" w:ascii="Times New Roman" w:hAnsi="Times New Roman" w:eastAsia="宋体" w:cs="Times New Roman"/>
                      <w:b w:val="0"/>
                      <w:bCs/>
                      <w:color w:val="auto"/>
                      <w:spacing w:val="-10"/>
                      <w:sz w:val="21"/>
                      <w:szCs w:val="21"/>
                      <w:highlight w:val="none"/>
                      <w:vertAlign w:val="baseline"/>
                      <w:lang w:val="en-US" w:eastAsia="zh-CN"/>
                    </w:rPr>
                    <w:t>E：103°11′42.</w:t>
                  </w:r>
                  <w:r>
                    <w:rPr>
                      <w:rFonts w:hint="eastAsia" w:cs="Times New Roman"/>
                      <w:b w:val="0"/>
                      <w:bCs/>
                      <w:color w:val="auto"/>
                      <w:spacing w:val="-10"/>
                      <w:sz w:val="21"/>
                      <w:szCs w:val="21"/>
                      <w:highlight w:val="none"/>
                      <w:vertAlign w:val="baseline"/>
                      <w:lang w:val="en-US" w:eastAsia="zh-CN"/>
                    </w:rPr>
                    <w:t>785</w:t>
                  </w:r>
                  <w:r>
                    <w:rPr>
                      <w:rFonts w:hint="default" w:ascii="Times New Roman" w:hAnsi="Times New Roman" w:eastAsia="宋体" w:cs="Times New Roman"/>
                      <w:b w:val="0"/>
                      <w:bCs/>
                      <w:color w:val="auto"/>
                      <w:spacing w:val="-10"/>
                      <w:sz w:val="21"/>
                      <w:szCs w:val="21"/>
                      <w:highlight w:val="none"/>
                      <w:vertAlign w:val="baseline"/>
                      <w:lang w:val="en-US" w:eastAsia="zh-CN"/>
                    </w:rPr>
                    <w:t>″，N：25°33′4</w:t>
                  </w:r>
                  <w:r>
                    <w:rPr>
                      <w:rFonts w:hint="eastAsia" w:cs="Times New Roman"/>
                      <w:b w:val="0"/>
                      <w:bCs/>
                      <w:color w:val="auto"/>
                      <w:spacing w:val="-10"/>
                      <w:sz w:val="21"/>
                      <w:szCs w:val="21"/>
                      <w:highlight w:val="none"/>
                      <w:vertAlign w:val="baseline"/>
                      <w:lang w:val="en-US" w:eastAsia="zh-CN"/>
                    </w:rPr>
                    <w:t>0.448</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744" w:type="dxa"/>
                  <w:vAlign w:val="center"/>
                </w:tcPr>
                <w:p w14:paraId="046E35B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DA007：</w:t>
                  </w:r>
                  <w:r>
                    <w:rPr>
                      <w:rFonts w:hint="default" w:ascii="Times New Roman" w:hAnsi="Times New Roman" w:eastAsia="宋体" w:cs="Times New Roman"/>
                      <w:b w:val="0"/>
                      <w:bCs/>
                      <w:color w:val="auto"/>
                      <w:spacing w:val="-10"/>
                      <w:sz w:val="21"/>
                      <w:szCs w:val="21"/>
                      <w:highlight w:val="none"/>
                      <w:vertAlign w:val="baseline"/>
                      <w:lang w:val="en-US" w:eastAsia="zh-CN"/>
                    </w:rPr>
                    <w:t>E：103°11′42.</w:t>
                  </w:r>
                  <w:r>
                    <w:rPr>
                      <w:rFonts w:hint="eastAsia" w:cs="Times New Roman"/>
                      <w:b w:val="0"/>
                      <w:bCs/>
                      <w:color w:val="auto"/>
                      <w:spacing w:val="-10"/>
                      <w:sz w:val="21"/>
                      <w:szCs w:val="21"/>
                      <w:highlight w:val="none"/>
                      <w:vertAlign w:val="baseline"/>
                      <w:lang w:val="en-US" w:eastAsia="zh-CN"/>
                    </w:rPr>
                    <w:t>766</w:t>
                  </w:r>
                  <w:r>
                    <w:rPr>
                      <w:rFonts w:hint="default" w:ascii="Times New Roman" w:hAnsi="Times New Roman" w:eastAsia="宋体" w:cs="Times New Roman"/>
                      <w:b w:val="0"/>
                      <w:bCs/>
                      <w:color w:val="auto"/>
                      <w:spacing w:val="-10"/>
                      <w:sz w:val="21"/>
                      <w:szCs w:val="21"/>
                      <w:highlight w:val="none"/>
                      <w:vertAlign w:val="baseline"/>
                      <w:lang w:val="en-US" w:eastAsia="zh-CN"/>
                    </w:rPr>
                    <w:t>″，N：25°33′4</w:t>
                  </w:r>
                  <w:r>
                    <w:rPr>
                      <w:rFonts w:hint="eastAsia" w:cs="Times New Roman"/>
                      <w:b w:val="0"/>
                      <w:bCs/>
                      <w:color w:val="auto"/>
                      <w:spacing w:val="-10"/>
                      <w:sz w:val="21"/>
                      <w:szCs w:val="21"/>
                      <w:highlight w:val="none"/>
                      <w:vertAlign w:val="baseline"/>
                      <w:lang w:val="en-US" w:eastAsia="zh-CN"/>
                    </w:rPr>
                    <w:t>0.236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23D6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5" w:type="dxa"/>
                  <w:gridSpan w:val="3"/>
                  <w:vAlign w:val="center"/>
                </w:tcPr>
                <w:p w14:paraId="69654EE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5607" w:type="dxa"/>
                  <w:gridSpan w:val="2"/>
                  <w:vAlign w:val="center"/>
                </w:tcPr>
                <w:p w14:paraId="75B3909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both"/>
                    <w:textAlignment w:val="auto"/>
                    <w:rPr>
                      <w:rFonts w:hint="eastAsia" w:cs="Times New Roman"/>
                      <w:color w:val="auto"/>
                      <w:sz w:val="21"/>
                      <w:szCs w:val="21"/>
                      <w:highlight w:val="none"/>
                      <w:shd w:val="clear" w:color="auto" w:fill="auto"/>
                      <w:lang w:val="zh-CN" w:eastAsia="zh-CN"/>
                    </w:rPr>
                  </w:pPr>
                  <w:r>
                    <w:rPr>
                      <w:rFonts w:hint="eastAsia" w:cs="Times New Roman"/>
                      <w:color w:val="auto"/>
                      <w:sz w:val="21"/>
                      <w:szCs w:val="21"/>
                      <w:highlight w:val="none"/>
                      <w:shd w:val="clear" w:color="auto" w:fill="auto"/>
                      <w:lang w:val="zh-CN" w:eastAsia="zh-CN"/>
                    </w:rPr>
                    <w:t>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color w:val="auto"/>
                      <w:sz w:val="21"/>
                      <w:szCs w:val="21"/>
                      <w:highlight w:val="none"/>
                    </w:rPr>
                    <w:t>要求</w:t>
                  </w:r>
                  <w:r>
                    <w:rPr>
                      <w:rFonts w:hint="eastAsia"/>
                      <w:color w:val="auto"/>
                      <w:sz w:val="21"/>
                      <w:szCs w:val="21"/>
                      <w:highlight w:val="none"/>
                      <w:lang w:eastAsia="zh-CN"/>
                    </w:rPr>
                    <w:t>。</w:t>
                  </w:r>
                </w:p>
              </w:tc>
            </w:tr>
            <w:tr w14:paraId="040E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866" w:type="dxa"/>
                  <w:gridSpan w:val="2"/>
                  <w:vMerge w:val="restart"/>
                  <w:vAlign w:val="center"/>
                </w:tcPr>
                <w:p w14:paraId="6A7BCC1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989" w:type="dxa"/>
                  <w:vAlign w:val="center"/>
                </w:tcPr>
                <w:p w14:paraId="628B97A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2863" w:type="dxa"/>
                  <w:vAlign w:val="center"/>
                </w:tcPr>
                <w:p w14:paraId="5A82078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w:t>
                  </w:r>
                  <w:r>
                    <w:rPr>
                      <w:rFonts w:hint="eastAsia" w:cs="Times New Roman"/>
                      <w:b w:val="0"/>
                      <w:bCs w:val="0"/>
                      <w:color w:val="auto"/>
                      <w:spacing w:val="-10"/>
                      <w:sz w:val="21"/>
                      <w:szCs w:val="21"/>
                      <w:highlight w:val="none"/>
                      <w:vertAlign w:val="baseline"/>
                      <w:lang w:val="en-US" w:eastAsia="zh-CN"/>
                    </w:rPr>
                    <w:t>006</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c>
                <w:tcPr>
                  <w:tcW w:w="2744" w:type="dxa"/>
                  <w:vAlign w:val="center"/>
                </w:tcPr>
                <w:p w14:paraId="0DB7554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w:t>
                  </w:r>
                  <w:r>
                    <w:rPr>
                      <w:rFonts w:hint="eastAsia" w:cs="Times New Roman"/>
                      <w:b w:val="0"/>
                      <w:bCs w:val="0"/>
                      <w:color w:val="auto"/>
                      <w:spacing w:val="-10"/>
                      <w:sz w:val="21"/>
                      <w:szCs w:val="21"/>
                      <w:highlight w:val="none"/>
                      <w:vertAlign w:val="baseline"/>
                      <w:lang w:val="en-US" w:eastAsia="zh-CN"/>
                    </w:rPr>
                    <w:t>007</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r>
            <w:tr w14:paraId="261F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gridSpan w:val="2"/>
                  <w:vMerge w:val="continue"/>
                  <w:vAlign w:val="center"/>
                </w:tcPr>
                <w:p w14:paraId="73EB873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89" w:type="dxa"/>
                  <w:vAlign w:val="center"/>
                </w:tcPr>
                <w:p w14:paraId="0AAA0BC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2863" w:type="dxa"/>
                  <w:vAlign w:val="center"/>
                </w:tcPr>
                <w:p w14:paraId="2C194FF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c>
                <w:tcPr>
                  <w:tcW w:w="2744" w:type="dxa"/>
                  <w:vAlign w:val="center"/>
                </w:tcPr>
                <w:p w14:paraId="39C2079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r>
            <w:tr w14:paraId="626B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gridSpan w:val="2"/>
                  <w:vMerge w:val="continue"/>
                  <w:vAlign w:val="center"/>
                </w:tcPr>
                <w:p w14:paraId="66F364E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89" w:type="dxa"/>
                  <w:vAlign w:val="center"/>
                </w:tcPr>
                <w:p w14:paraId="56152C6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2863" w:type="dxa"/>
                  <w:vAlign w:val="center"/>
                </w:tcPr>
                <w:p w14:paraId="6F260B4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c>
                <w:tcPr>
                  <w:tcW w:w="2744" w:type="dxa"/>
                  <w:vAlign w:val="center"/>
                </w:tcPr>
                <w:p w14:paraId="48D88E9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r>
          </w:tbl>
          <w:p w14:paraId="683D3F95">
            <w:pPr>
              <w:keepNext w:val="0"/>
              <w:keepLines w:val="0"/>
              <w:pageBreakBefore w:val="0"/>
              <w:widowControl w:val="0"/>
              <w:kinsoku/>
              <w:wordWrap/>
              <w:overflowPunct/>
              <w:topLinePunct w:val="0"/>
              <w:autoSpaceDE/>
              <w:autoSpaceDN/>
              <w:bidi w:val="0"/>
              <w:adjustRightInd/>
              <w:snapToGrid/>
              <w:spacing w:line="348" w:lineRule="auto"/>
              <w:ind w:firstLine="506" w:firstLineChars="200"/>
              <w:textAlignment w:val="auto"/>
              <w:outlineLvl w:val="9"/>
              <w:rPr>
                <w:rFonts w:hint="default" w:ascii="Times New Roman" w:hAnsi="Times New Roman" w:eastAsia="宋体" w:cs="Times New Roman"/>
                <w:b/>
                <w:bCs/>
                <w:color w:val="auto"/>
                <w:spacing w:val="6"/>
                <w:kern w:val="2"/>
                <w:sz w:val="24"/>
                <w:szCs w:val="24"/>
                <w:highlight w:val="none"/>
                <w:lang w:val="en-US" w:eastAsia="zh-CN" w:bidi="ar-SA"/>
              </w:rPr>
            </w:pPr>
            <w:r>
              <w:rPr>
                <w:rFonts w:hint="eastAsia" w:ascii="Times New Roman" w:hAnsi="Times New Roman" w:eastAsia="宋体" w:cs="Times New Roman"/>
                <w:b/>
                <w:bCs/>
                <w:color w:val="auto"/>
                <w:spacing w:val="6"/>
                <w:kern w:val="2"/>
                <w:sz w:val="24"/>
                <w:szCs w:val="24"/>
                <w:highlight w:val="none"/>
                <w:lang w:val="en-US" w:eastAsia="zh-CN" w:bidi="ar-SA"/>
              </w:rPr>
              <w:t>⑧煤</w:t>
            </w:r>
            <w:r>
              <w:rPr>
                <w:rFonts w:hint="eastAsia" w:cs="Times New Roman"/>
                <w:b/>
                <w:bCs/>
                <w:color w:val="auto"/>
                <w:spacing w:val="6"/>
                <w:kern w:val="2"/>
                <w:sz w:val="24"/>
                <w:szCs w:val="24"/>
                <w:highlight w:val="none"/>
                <w:lang w:val="en-US" w:eastAsia="zh-CN" w:bidi="ar-SA"/>
              </w:rPr>
              <w:t>粉仓粉尘</w:t>
            </w:r>
          </w:p>
          <w:p w14:paraId="7B3DD62B">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rFonts w:hint="eastAsia" w:cs="Times New Roman"/>
                <w:color w:val="auto"/>
                <w:sz w:val="24"/>
                <w:szCs w:val="24"/>
                <w:lang w:eastAsia="zh-CN"/>
              </w:rPr>
            </w:pPr>
            <w:r>
              <w:rPr>
                <w:rFonts w:hint="eastAsia" w:ascii="Times New Roman" w:hAnsi="Times New Roman" w:eastAsia="宋体" w:cs="Times New Roman"/>
                <w:color w:val="auto"/>
                <w:sz w:val="24"/>
                <w:lang w:val="en-US" w:eastAsia="zh-CN"/>
              </w:rPr>
              <w:t>项目烘干工段除尘器收集的粉尘作为</w:t>
            </w:r>
            <w:r>
              <w:rPr>
                <w:rFonts w:hint="eastAsia" w:cs="Times New Roman"/>
                <w:color w:val="auto"/>
                <w:sz w:val="24"/>
                <w:lang w:val="en-US" w:eastAsia="zh-CN"/>
              </w:rPr>
              <w:t>煤粉</w:t>
            </w:r>
            <w:r>
              <w:rPr>
                <w:rFonts w:hint="eastAsia" w:ascii="Times New Roman" w:hAnsi="Times New Roman" w:eastAsia="宋体" w:cs="Times New Roman"/>
                <w:color w:val="auto"/>
                <w:sz w:val="24"/>
                <w:lang w:val="en-US" w:eastAsia="zh-CN"/>
              </w:rPr>
              <w:t>储存在</w:t>
            </w:r>
            <w:r>
              <w:rPr>
                <w:rFonts w:hint="eastAsia" w:cs="Times New Roman"/>
                <w:color w:val="auto"/>
                <w:sz w:val="24"/>
                <w:lang w:val="en-US" w:eastAsia="zh-CN"/>
              </w:rPr>
              <w:t>煤粉</w:t>
            </w:r>
            <w:r>
              <w:rPr>
                <w:rFonts w:hint="eastAsia" w:ascii="Times New Roman" w:hAnsi="Times New Roman" w:eastAsia="宋体" w:cs="Times New Roman"/>
                <w:color w:val="auto"/>
                <w:sz w:val="24"/>
                <w:lang w:val="en-US" w:eastAsia="zh-CN"/>
              </w:rPr>
              <w:t>仓内作为成品外售，本项目设置</w:t>
            </w:r>
            <w:r>
              <w:rPr>
                <w:rFonts w:hint="eastAsia" w:cs="Times New Roman"/>
                <w:color w:val="auto"/>
                <w:sz w:val="24"/>
                <w:lang w:val="en-US" w:eastAsia="zh-CN"/>
              </w:rPr>
              <w:t>3个</w:t>
            </w:r>
            <w:r>
              <w:rPr>
                <w:rFonts w:hint="eastAsia" w:cs="Times New Roman"/>
                <w:color w:val="auto"/>
                <w:sz w:val="24"/>
                <w:vertAlign w:val="baseline"/>
                <w:lang w:val="en-US" w:eastAsia="zh-CN"/>
              </w:rPr>
              <w:t>煤粉</w:t>
            </w:r>
            <w:r>
              <w:rPr>
                <w:rFonts w:hint="eastAsia" w:ascii="Times New Roman" w:hAnsi="Times New Roman" w:eastAsia="宋体" w:cs="Times New Roman"/>
                <w:color w:val="auto"/>
                <w:sz w:val="24"/>
                <w:vertAlign w:val="baseline"/>
                <w:lang w:val="en-US" w:eastAsia="zh-CN"/>
              </w:rPr>
              <w:t>仓用于储存</w:t>
            </w:r>
            <w:r>
              <w:rPr>
                <w:rFonts w:hint="eastAsia" w:cs="Times New Roman"/>
                <w:color w:val="auto"/>
                <w:sz w:val="24"/>
                <w:vertAlign w:val="baseline"/>
                <w:lang w:val="en-US" w:eastAsia="zh-CN"/>
              </w:rPr>
              <w:t>煤粉</w:t>
            </w:r>
            <w:r>
              <w:rPr>
                <w:rFonts w:hint="eastAsia" w:ascii="Times New Roman" w:hAnsi="Times New Roman" w:eastAsia="宋体" w:cs="Times New Roman"/>
                <w:color w:val="auto"/>
                <w:sz w:val="24"/>
                <w:vertAlign w:val="baseline"/>
                <w:lang w:val="en-US" w:eastAsia="zh-CN"/>
              </w:rPr>
              <w:t>。</w:t>
            </w:r>
            <w:r>
              <w:rPr>
                <w:rFonts w:hint="eastAsia" w:cs="Times New Roman"/>
                <w:color w:val="auto"/>
                <w:sz w:val="24"/>
                <w:vertAlign w:val="baseline"/>
                <w:lang w:val="en-US" w:eastAsia="zh-CN"/>
              </w:rPr>
              <w:t>其中1#煤粉仓容积为28m</w:t>
            </w:r>
            <w:r>
              <w:rPr>
                <w:rFonts w:hint="eastAsia" w:cs="Times New Roman"/>
                <w:color w:val="auto"/>
                <w:sz w:val="24"/>
                <w:vertAlign w:val="superscript"/>
                <w:lang w:val="en-US" w:eastAsia="zh-CN"/>
              </w:rPr>
              <w:t>3</w:t>
            </w:r>
            <w:r>
              <w:rPr>
                <w:rFonts w:hint="eastAsia" w:cs="Times New Roman"/>
                <w:color w:val="auto"/>
                <w:sz w:val="24"/>
                <w:vertAlign w:val="baseline"/>
                <w:lang w:val="en-US" w:eastAsia="zh-CN"/>
              </w:rPr>
              <w:t>，2#、3#煤粉仓容积均为200m</w:t>
            </w:r>
            <w:r>
              <w:rPr>
                <w:rFonts w:hint="eastAsia" w:cs="Times New Roman"/>
                <w:color w:val="auto"/>
                <w:sz w:val="24"/>
                <w:vertAlign w:val="superscript"/>
                <w:lang w:val="en-US" w:eastAsia="zh-CN"/>
              </w:rPr>
              <w:t>3</w:t>
            </w:r>
            <w:r>
              <w:rPr>
                <w:rFonts w:hint="eastAsia" w:cs="Times New Roman"/>
                <w:color w:val="auto"/>
                <w:sz w:val="24"/>
                <w:vertAlign w:val="baseline"/>
                <w:lang w:val="en-US" w:eastAsia="zh-CN"/>
              </w:rPr>
              <w:t>。</w:t>
            </w:r>
            <w:r>
              <w:rPr>
                <w:rFonts w:hint="eastAsia" w:cs="Times New Roman"/>
                <w:color w:val="auto"/>
                <w:sz w:val="24"/>
                <w:highlight w:val="none"/>
                <w:vertAlign w:val="baseline"/>
                <w:lang w:val="en-US" w:eastAsia="zh-CN"/>
              </w:rPr>
              <w:t>烘干工段除尘器收集的粉尘首先输送到1#煤粉仓，此仓作为中间暂存过渡仓，煤</w:t>
            </w:r>
            <w:r>
              <w:rPr>
                <w:rFonts w:hint="eastAsia" w:cs="Times New Roman"/>
                <w:color w:val="auto"/>
                <w:sz w:val="24"/>
                <w:vertAlign w:val="baseline"/>
                <w:lang w:val="en-US" w:eastAsia="zh-CN"/>
              </w:rPr>
              <w:t>粉输送至2#和3#煤粉仓贮存，</w:t>
            </w:r>
            <w:r>
              <w:rPr>
                <w:rFonts w:hint="default" w:ascii="Times New Roman" w:hAnsi="Times New Roman" w:eastAsia="宋体" w:cs="Times New Roman"/>
                <w:color w:val="auto"/>
                <w:kern w:val="2"/>
                <w:sz w:val="24"/>
                <w:szCs w:val="24"/>
                <w:highlight w:val="none"/>
                <w:lang w:val="en-US" w:eastAsia="zh-CN" w:bidi="ar-SA"/>
              </w:rPr>
              <w:t>项目</w:t>
            </w:r>
            <w:r>
              <w:rPr>
                <w:rFonts w:hint="eastAsia" w:ascii="Times New Roman" w:hAnsi="Times New Roman" w:eastAsia="宋体" w:cs="Times New Roman"/>
                <w:color w:val="auto"/>
                <w:kern w:val="2"/>
                <w:sz w:val="24"/>
                <w:szCs w:val="24"/>
                <w:highlight w:val="none"/>
                <w:lang w:val="en-US" w:eastAsia="zh-CN" w:bidi="ar-SA"/>
              </w:rPr>
              <w:t>粉煤灰储存过程筒仓呼吸粉尘</w:t>
            </w:r>
            <w:r>
              <w:rPr>
                <w:rFonts w:hint="default" w:ascii="Times New Roman" w:hAnsi="Times New Roman" w:eastAsia="宋体" w:cs="Times New Roman"/>
                <w:color w:val="auto"/>
                <w:kern w:val="2"/>
                <w:sz w:val="24"/>
                <w:szCs w:val="24"/>
                <w:highlight w:val="none"/>
                <w:lang w:val="en-US" w:eastAsia="zh-CN" w:bidi="ar-SA"/>
              </w:rPr>
              <w:t>参考《北京市混凝土搅拌站扬尘排放因子及排放清单》（中国环境科学 2017.37（10）：3699-3707）表3混凝土搅拌站各环节无控制措施扬尘排放因子进行核算扬尘产生源强</w:t>
            </w:r>
            <w:r>
              <w:rPr>
                <w:rFonts w:hint="eastAsia" w:ascii="Times New Roman" w:hAnsi="Times New Roman" w:eastAsia="宋体" w:cs="Times New Roman"/>
                <w:color w:val="auto"/>
                <w:kern w:val="2"/>
                <w:sz w:val="24"/>
                <w:szCs w:val="24"/>
                <w:highlight w:val="none"/>
                <w:lang w:val="en-US" w:eastAsia="zh-CN" w:bidi="ar-SA"/>
              </w:rPr>
              <w:t>，粉尘产生系数为</w:t>
            </w:r>
            <w:r>
              <w:rPr>
                <w:rFonts w:hint="default" w:ascii="Times New Roman" w:hAnsi="Times New Roman" w:eastAsia="宋体" w:cs="Times New Roman"/>
                <w:color w:val="auto"/>
                <w:sz w:val="24"/>
                <w:szCs w:val="24"/>
              </w:rPr>
              <w:t>1.57</w:t>
            </w:r>
            <w:r>
              <w:rPr>
                <w:rFonts w:hint="default" w:ascii="Times New Roman" w:hAnsi="Times New Roman" w:eastAsia="宋体" w:cs="Times New Roman"/>
                <w:color w:val="auto"/>
                <w:sz w:val="24"/>
                <w:szCs w:val="24"/>
                <w:lang w:val="en-US" w:eastAsia="zh-CN"/>
              </w:rPr>
              <w:t>k</w:t>
            </w:r>
            <w:r>
              <w:rPr>
                <w:rFonts w:hint="default" w:ascii="Times New Roman" w:hAnsi="Times New Roman" w:eastAsia="宋体" w:cs="Times New Roman"/>
                <w:color w:val="auto"/>
                <w:sz w:val="24"/>
                <w:szCs w:val="24"/>
              </w:rPr>
              <w:t>g/t（粉煤灰）</w:t>
            </w:r>
            <w:r>
              <w:rPr>
                <w:rFonts w:hint="eastAsia" w:cs="Times New Roman"/>
                <w:color w:val="auto"/>
                <w:sz w:val="24"/>
                <w:szCs w:val="24"/>
                <w:lang w:eastAsia="zh-CN"/>
              </w:rPr>
              <w:t>。</w:t>
            </w:r>
          </w:p>
          <w:p w14:paraId="2C06E46C">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rFonts w:hint="eastAsia" w:eastAsia="宋体"/>
                <w:bCs/>
                <w:color w:val="auto"/>
                <w:spacing w:val="-10"/>
                <w:szCs w:val="21"/>
                <w:vertAlign w:val="baseline"/>
                <w:lang w:eastAsia="zh-CN"/>
              </w:rPr>
            </w:pPr>
            <w:r>
              <w:rPr>
                <w:rFonts w:hint="eastAsia" w:cs="Times New Roman"/>
                <w:color w:val="auto"/>
                <w:sz w:val="24"/>
                <w:szCs w:val="24"/>
                <w:lang w:eastAsia="zh-CN"/>
              </w:rPr>
              <w:t>根据上文工程分析可知，</w:t>
            </w:r>
            <w:r>
              <w:rPr>
                <w:rFonts w:hint="eastAsia" w:ascii="Times New Roman" w:hAnsi="Times New Roman" w:eastAsia="宋体" w:cs="Times New Roman"/>
                <w:color w:val="auto"/>
                <w:sz w:val="24"/>
                <w:lang w:val="en-US" w:eastAsia="zh-CN"/>
              </w:rPr>
              <w:t>烘干工段除尘器收集的粉尘</w:t>
            </w:r>
            <w:r>
              <w:rPr>
                <w:rFonts w:hint="eastAsia" w:cs="Times New Roman"/>
                <w:color w:val="auto"/>
                <w:sz w:val="24"/>
                <w:lang w:val="en-US" w:eastAsia="zh-CN"/>
              </w:rPr>
              <w:t>为</w:t>
            </w:r>
            <w:r>
              <w:rPr>
                <w:rFonts w:hint="eastAsia" w:cs="Times New Roman"/>
                <w:color w:val="auto"/>
                <w:sz w:val="24"/>
                <w:szCs w:val="24"/>
                <w:lang w:val="en-US" w:eastAsia="zh-CN"/>
              </w:rPr>
              <w:t>76.3603t/a，2#煤粉仓和3#煤粉仓平均贮存煤粉，</w:t>
            </w:r>
            <w:r>
              <w:rPr>
                <w:rFonts w:hint="eastAsia" w:ascii="Times New Roman" w:hAnsi="Times New Roman" w:eastAsia="宋体" w:cs="Times New Roman"/>
                <w:color w:val="auto"/>
                <w:sz w:val="24"/>
                <w:szCs w:val="24"/>
                <w:lang w:eastAsia="zh-CN"/>
              </w:rPr>
              <w:t>则本项目</w:t>
            </w:r>
            <w:r>
              <w:rPr>
                <w:rFonts w:hint="eastAsia" w:cs="Times New Roman"/>
                <w:color w:val="auto"/>
                <w:sz w:val="24"/>
                <w:szCs w:val="24"/>
                <w:lang w:val="en-US" w:eastAsia="zh-CN"/>
              </w:rPr>
              <w:t>1#煤粉仓</w:t>
            </w:r>
            <w:r>
              <w:rPr>
                <w:rFonts w:hint="eastAsia" w:ascii="Times New Roman" w:hAnsi="Times New Roman" w:eastAsia="宋体" w:cs="Times New Roman"/>
                <w:color w:val="auto"/>
                <w:sz w:val="24"/>
                <w:szCs w:val="24"/>
                <w:lang w:eastAsia="zh-CN"/>
              </w:rPr>
              <w:t>粉尘产生量为</w:t>
            </w:r>
            <w:r>
              <w:rPr>
                <w:rFonts w:hint="eastAsia" w:cs="Times New Roman"/>
                <w:color w:val="auto"/>
                <w:sz w:val="24"/>
                <w:szCs w:val="24"/>
                <w:lang w:val="en-US" w:eastAsia="zh-CN"/>
              </w:rPr>
              <w:t>0.1199t/a，</w:t>
            </w:r>
            <w:r>
              <w:rPr>
                <w:rFonts w:hint="eastAsia" w:ascii="Times New Roman" w:hAnsi="Times New Roman" w:eastAsia="宋体" w:cs="Times New Roman"/>
                <w:color w:val="auto"/>
                <w:sz w:val="24"/>
                <w:highlight w:val="none"/>
                <w:lang w:val="en-US" w:eastAsia="zh-CN"/>
              </w:rPr>
              <w:t>产生速率为</w:t>
            </w:r>
            <w:r>
              <w:rPr>
                <w:rFonts w:hint="eastAsia" w:cs="Times New Roman"/>
                <w:color w:val="auto"/>
                <w:sz w:val="24"/>
                <w:highlight w:val="none"/>
                <w:lang w:val="en-US" w:eastAsia="zh-CN"/>
              </w:rPr>
              <w:t>0.0178</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8.90</w:t>
            </w:r>
            <w:r>
              <w:rPr>
                <w:bCs/>
                <w:color w:val="auto"/>
                <w:spacing w:val="-10"/>
                <w:szCs w:val="21"/>
              </w:rPr>
              <w:t>mg/m</w:t>
            </w:r>
            <w:r>
              <w:rPr>
                <w:bCs/>
                <w:color w:val="auto"/>
                <w:spacing w:val="-10"/>
                <w:szCs w:val="21"/>
                <w:vertAlign w:val="superscript"/>
              </w:rPr>
              <w:t>3</w:t>
            </w:r>
            <w:r>
              <w:rPr>
                <w:rFonts w:hint="eastAsia"/>
                <w:bCs/>
                <w:color w:val="auto"/>
                <w:spacing w:val="-10"/>
                <w:szCs w:val="21"/>
                <w:vertAlign w:val="baseline"/>
                <w:lang w:eastAsia="zh-CN"/>
              </w:rPr>
              <w:t>；</w:t>
            </w:r>
            <w:r>
              <w:rPr>
                <w:rFonts w:hint="eastAsia" w:cs="Times New Roman"/>
                <w:color w:val="auto"/>
                <w:sz w:val="24"/>
                <w:szCs w:val="24"/>
                <w:lang w:val="en-US" w:eastAsia="zh-CN"/>
              </w:rPr>
              <w:t>2#煤粉仓</w:t>
            </w:r>
            <w:r>
              <w:rPr>
                <w:rFonts w:hint="eastAsia" w:ascii="Times New Roman" w:hAnsi="Times New Roman" w:eastAsia="宋体" w:cs="Times New Roman"/>
                <w:color w:val="auto"/>
                <w:sz w:val="24"/>
                <w:szCs w:val="24"/>
                <w:lang w:eastAsia="zh-CN"/>
              </w:rPr>
              <w:t>粉尘产生量为</w:t>
            </w:r>
            <w:r>
              <w:rPr>
                <w:rFonts w:hint="eastAsia" w:cs="Times New Roman"/>
                <w:color w:val="auto"/>
                <w:sz w:val="24"/>
                <w:szCs w:val="24"/>
                <w:lang w:val="en-US" w:eastAsia="zh-CN"/>
              </w:rPr>
              <w:t>0.0599t/a，</w:t>
            </w:r>
            <w:r>
              <w:rPr>
                <w:rFonts w:hint="eastAsia" w:ascii="Times New Roman" w:hAnsi="Times New Roman" w:eastAsia="宋体" w:cs="Times New Roman"/>
                <w:color w:val="auto"/>
                <w:sz w:val="24"/>
                <w:highlight w:val="none"/>
                <w:lang w:val="en-US" w:eastAsia="zh-CN"/>
              </w:rPr>
              <w:t>产生速率为</w:t>
            </w:r>
            <w:r>
              <w:rPr>
                <w:rFonts w:hint="eastAsia" w:cs="Times New Roman"/>
                <w:color w:val="auto"/>
                <w:sz w:val="24"/>
                <w:highlight w:val="none"/>
                <w:lang w:val="en-US" w:eastAsia="zh-CN"/>
              </w:rPr>
              <w:t>0.0089</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2.22</w:t>
            </w:r>
            <w:r>
              <w:rPr>
                <w:bCs/>
                <w:color w:val="auto"/>
                <w:spacing w:val="-10"/>
                <w:szCs w:val="21"/>
              </w:rPr>
              <w:t>mg/m</w:t>
            </w:r>
            <w:r>
              <w:rPr>
                <w:bCs/>
                <w:color w:val="auto"/>
                <w:spacing w:val="-10"/>
                <w:szCs w:val="21"/>
                <w:vertAlign w:val="superscript"/>
              </w:rPr>
              <w:t>3</w:t>
            </w:r>
            <w:r>
              <w:rPr>
                <w:rFonts w:hint="eastAsia"/>
                <w:bCs/>
                <w:color w:val="auto"/>
                <w:spacing w:val="-10"/>
                <w:szCs w:val="21"/>
                <w:vertAlign w:val="baseline"/>
                <w:lang w:eastAsia="zh-CN"/>
              </w:rPr>
              <w:t>；</w:t>
            </w:r>
            <w:r>
              <w:rPr>
                <w:rFonts w:hint="eastAsia" w:cs="Times New Roman"/>
                <w:color w:val="auto"/>
                <w:sz w:val="24"/>
                <w:szCs w:val="24"/>
                <w:lang w:val="en-US" w:eastAsia="zh-CN"/>
              </w:rPr>
              <w:t>3#煤粉仓</w:t>
            </w:r>
            <w:r>
              <w:rPr>
                <w:rFonts w:hint="eastAsia" w:ascii="Times New Roman" w:hAnsi="Times New Roman" w:eastAsia="宋体" w:cs="Times New Roman"/>
                <w:color w:val="auto"/>
                <w:sz w:val="24"/>
                <w:szCs w:val="24"/>
                <w:lang w:eastAsia="zh-CN"/>
              </w:rPr>
              <w:t>粉尘产生量为</w:t>
            </w:r>
            <w:r>
              <w:rPr>
                <w:rFonts w:hint="eastAsia" w:cs="Times New Roman"/>
                <w:color w:val="auto"/>
                <w:sz w:val="24"/>
                <w:szCs w:val="24"/>
                <w:lang w:val="en-US" w:eastAsia="zh-CN"/>
              </w:rPr>
              <w:t>0.0599t/a，</w:t>
            </w:r>
            <w:r>
              <w:rPr>
                <w:rFonts w:hint="eastAsia" w:ascii="Times New Roman" w:hAnsi="Times New Roman" w:eastAsia="宋体" w:cs="Times New Roman"/>
                <w:color w:val="auto"/>
                <w:sz w:val="24"/>
                <w:highlight w:val="none"/>
                <w:lang w:val="en-US" w:eastAsia="zh-CN"/>
              </w:rPr>
              <w:t>产生速率为</w:t>
            </w:r>
            <w:r>
              <w:rPr>
                <w:rFonts w:hint="eastAsia" w:cs="Times New Roman"/>
                <w:color w:val="auto"/>
                <w:sz w:val="24"/>
                <w:highlight w:val="none"/>
                <w:lang w:val="en-US" w:eastAsia="zh-CN"/>
              </w:rPr>
              <w:t>0.0089</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2.22</w:t>
            </w:r>
            <w:r>
              <w:rPr>
                <w:bCs/>
                <w:color w:val="auto"/>
                <w:spacing w:val="-10"/>
                <w:szCs w:val="21"/>
              </w:rPr>
              <w:t>mg/m</w:t>
            </w:r>
            <w:r>
              <w:rPr>
                <w:bCs/>
                <w:color w:val="auto"/>
                <w:spacing w:val="-10"/>
                <w:szCs w:val="21"/>
                <w:vertAlign w:val="superscript"/>
              </w:rPr>
              <w:t>3</w:t>
            </w:r>
            <w:r>
              <w:rPr>
                <w:rFonts w:hint="eastAsia"/>
                <w:bCs/>
                <w:color w:val="auto"/>
                <w:spacing w:val="-10"/>
                <w:szCs w:val="21"/>
                <w:vertAlign w:val="baseline"/>
                <w:lang w:eastAsia="zh-CN"/>
              </w:rPr>
              <w:t>。</w:t>
            </w:r>
          </w:p>
          <w:p w14:paraId="42FF6321">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rFonts w:hint="eastAsia" w:eastAsia="Times New Roman"/>
                <w:color w:val="auto"/>
                <w:sz w:val="24"/>
                <w:lang w:val="zh-CN"/>
              </w:rPr>
            </w:pPr>
            <w:r>
              <w:rPr>
                <w:rFonts w:hint="default" w:ascii="Times New Roman" w:hAnsi="Times New Roman" w:eastAsia="宋体" w:cs="Times New Roman"/>
                <w:color w:val="auto"/>
                <w:kern w:val="2"/>
                <w:sz w:val="24"/>
                <w:szCs w:val="24"/>
                <w:highlight w:val="none"/>
                <w:lang w:val="en-US" w:eastAsia="zh-CN" w:bidi="ar-SA"/>
              </w:rPr>
              <w:t>根据建设单位提供资料，</w:t>
            </w:r>
            <w:r>
              <w:rPr>
                <w:rFonts w:hint="eastAsia" w:eastAsia="宋体" w:cs="Times New Roman"/>
                <w:color w:val="auto"/>
                <w:kern w:val="2"/>
                <w:sz w:val="24"/>
                <w:szCs w:val="24"/>
                <w:highlight w:val="none"/>
                <w:lang w:val="en-US" w:eastAsia="zh-CN" w:bidi="ar-SA"/>
              </w:rPr>
              <w:t>煤粉仓</w:t>
            </w:r>
            <w:r>
              <w:rPr>
                <w:rFonts w:hint="default" w:ascii="Times New Roman" w:hAnsi="Times New Roman" w:eastAsia="宋体" w:cs="Times New Roman"/>
                <w:color w:val="auto"/>
                <w:kern w:val="2"/>
                <w:sz w:val="24"/>
                <w:szCs w:val="24"/>
                <w:highlight w:val="none"/>
                <w:lang w:val="en-US" w:eastAsia="zh-CN" w:bidi="ar-SA"/>
              </w:rPr>
              <w:t>设计为全封闭式，且</w:t>
            </w:r>
            <w:r>
              <w:rPr>
                <w:rFonts w:hint="eastAsia" w:cs="Times New Roman"/>
                <w:color w:val="auto"/>
                <w:kern w:val="2"/>
                <w:sz w:val="24"/>
                <w:szCs w:val="24"/>
                <w:highlight w:val="none"/>
                <w:lang w:val="en-US" w:eastAsia="zh-CN" w:bidi="ar-SA"/>
              </w:rPr>
              <w:t>1#</w:t>
            </w:r>
            <w:r>
              <w:rPr>
                <w:rFonts w:hint="eastAsia" w:cs="Times New Roman"/>
                <w:color w:val="auto"/>
                <w:sz w:val="24"/>
                <w:szCs w:val="24"/>
                <w:lang w:val="en-US" w:eastAsia="zh-CN"/>
              </w:rPr>
              <w:t>煤粉仓</w:t>
            </w:r>
            <w:r>
              <w:rPr>
                <w:rFonts w:hint="default" w:ascii="Times New Roman" w:hAnsi="Times New Roman" w:eastAsia="宋体" w:cs="Times New Roman"/>
                <w:color w:val="auto"/>
                <w:kern w:val="2"/>
                <w:sz w:val="24"/>
                <w:szCs w:val="24"/>
                <w:highlight w:val="none"/>
                <w:lang w:val="en-US" w:eastAsia="zh-CN" w:bidi="ar-SA"/>
              </w:rPr>
              <w:t>筒仓仓顶设有1台风机风量为</w:t>
            </w:r>
            <w:r>
              <w:rPr>
                <w:rFonts w:hint="eastAsia" w:cs="Times New Roman"/>
                <w:color w:val="auto"/>
                <w:kern w:val="2"/>
                <w:sz w:val="24"/>
                <w:szCs w:val="24"/>
                <w:highlight w:val="none"/>
                <w:lang w:val="en-US" w:eastAsia="zh-CN" w:bidi="ar-SA"/>
              </w:rPr>
              <w:t>2000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/h的仓顶布袋除尘器</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sz w:val="24"/>
                <w:szCs w:val="24"/>
                <w:lang w:val="en-US" w:eastAsia="zh-CN"/>
              </w:rPr>
              <w:t>2#煤粉仓和3#煤粉仓</w:t>
            </w:r>
            <w:r>
              <w:rPr>
                <w:rFonts w:hint="default" w:ascii="Times New Roman" w:hAnsi="Times New Roman" w:eastAsia="宋体" w:cs="Times New Roman"/>
                <w:color w:val="auto"/>
                <w:kern w:val="2"/>
                <w:sz w:val="24"/>
                <w:szCs w:val="24"/>
                <w:highlight w:val="none"/>
                <w:lang w:val="en-US" w:eastAsia="zh-CN" w:bidi="ar-SA"/>
              </w:rPr>
              <w:t>筒仓仓顶</w:t>
            </w:r>
            <w:r>
              <w:rPr>
                <w:rFonts w:hint="eastAsia" w:cs="Times New Roman"/>
                <w:color w:val="auto"/>
                <w:kern w:val="2"/>
                <w:sz w:val="24"/>
                <w:szCs w:val="24"/>
                <w:highlight w:val="none"/>
                <w:lang w:val="en-US" w:eastAsia="zh-CN" w:bidi="ar-SA"/>
              </w:rPr>
              <w:t>各</w:t>
            </w:r>
            <w:r>
              <w:rPr>
                <w:rFonts w:hint="default" w:ascii="Times New Roman" w:hAnsi="Times New Roman" w:eastAsia="宋体" w:cs="Times New Roman"/>
                <w:color w:val="auto"/>
                <w:kern w:val="2"/>
                <w:sz w:val="24"/>
                <w:szCs w:val="24"/>
                <w:highlight w:val="none"/>
                <w:lang w:val="en-US" w:eastAsia="zh-CN" w:bidi="ar-SA"/>
              </w:rPr>
              <w:t>设有1台风机风量为</w:t>
            </w:r>
            <w:r>
              <w:rPr>
                <w:rFonts w:hint="eastAsia" w:cs="Times New Roman"/>
                <w:color w:val="auto"/>
                <w:kern w:val="2"/>
                <w:sz w:val="24"/>
                <w:szCs w:val="24"/>
                <w:highlight w:val="none"/>
                <w:lang w:val="en-US" w:eastAsia="zh-CN" w:bidi="ar-SA"/>
              </w:rPr>
              <w:t>4012</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/h的仓顶布袋除尘器</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各布袋除尘器</w:t>
            </w:r>
            <w:r>
              <w:rPr>
                <w:rFonts w:hint="default" w:ascii="Times New Roman" w:hAnsi="Times New Roman" w:eastAsia="宋体" w:cs="Times New Roman"/>
                <w:color w:val="auto"/>
                <w:kern w:val="2"/>
                <w:sz w:val="24"/>
                <w:szCs w:val="24"/>
                <w:highlight w:val="none"/>
                <w:lang w:val="en-US" w:eastAsia="zh-CN" w:bidi="ar-SA"/>
              </w:rPr>
              <w:t>除尘效率</w:t>
            </w:r>
            <w:r>
              <w:rPr>
                <w:rFonts w:hint="eastAsia" w:cs="Times New Roman"/>
                <w:color w:val="auto"/>
                <w:kern w:val="2"/>
                <w:sz w:val="24"/>
                <w:szCs w:val="24"/>
                <w:highlight w:val="none"/>
                <w:lang w:val="en-US" w:eastAsia="zh-CN" w:bidi="ar-SA"/>
              </w:rPr>
              <w:t>均</w:t>
            </w:r>
            <w:r>
              <w:rPr>
                <w:rFonts w:hint="default" w:ascii="Times New Roman" w:hAnsi="Times New Roman" w:eastAsia="宋体" w:cs="Times New Roman"/>
                <w:color w:val="auto"/>
                <w:kern w:val="2"/>
                <w:sz w:val="24"/>
                <w:szCs w:val="24"/>
                <w:highlight w:val="none"/>
                <w:lang w:val="en-US" w:eastAsia="zh-CN" w:bidi="ar-SA"/>
              </w:rPr>
              <w:t>约为99</w:t>
            </w:r>
            <w:r>
              <w:rPr>
                <w:rFonts w:hint="eastAsia" w:ascii="Times New Roman" w:hAnsi="Times New Roman"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6</w:t>
            </w: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sz w:val="24"/>
                <w:szCs w:val="24"/>
                <w:lang w:val="en-US" w:eastAsia="zh-CN"/>
              </w:rPr>
              <w:t>1#煤粉仓</w:t>
            </w:r>
            <w:r>
              <w:rPr>
                <w:rFonts w:hint="default" w:ascii="Times New Roman" w:hAnsi="Times New Roman" w:eastAsia="宋体" w:cs="Times New Roman"/>
                <w:color w:val="auto"/>
                <w:kern w:val="2"/>
                <w:sz w:val="24"/>
                <w:szCs w:val="24"/>
                <w:highlight w:val="none"/>
                <w:lang w:val="en-US" w:eastAsia="zh-CN" w:bidi="ar-SA"/>
              </w:rPr>
              <w:t>产生的粉尘经除尘后由仓顶的排气口</w:t>
            </w:r>
            <w:r>
              <w:rPr>
                <w:rFonts w:hint="eastAsia" w:eastAsia="宋体" w:cs="Times New Roman"/>
                <w:color w:val="auto"/>
                <w:kern w:val="2"/>
                <w:sz w:val="24"/>
                <w:szCs w:val="24"/>
                <w:highlight w:val="none"/>
                <w:lang w:val="en-US" w:eastAsia="zh-CN" w:bidi="ar-SA"/>
              </w:rPr>
              <w:t>（DA008）</w:t>
            </w:r>
            <w:r>
              <w:rPr>
                <w:rFonts w:hint="default" w:ascii="Times New Roman" w:hAnsi="Times New Roman" w:eastAsia="宋体" w:cs="Times New Roman"/>
                <w:color w:val="auto"/>
                <w:kern w:val="2"/>
                <w:sz w:val="24"/>
                <w:szCs w:val="24"/>
                <w:highlight w:val="none"/>
                <w:lang w:val="en-US" w:eastAsia="zh-CN" w:bidi="ar-SA"/>
              </w:rPr>
              <w:t>排出，排气口距离地面高度为</w:t>
            </w:r>
            <w:r>
              <w:rPr>
                <w:rFonts w:hint="eastAsia" w:cs="Times New Roman"/>
                <w:color w:val="auto"/>
                <w:kern w:val="2"/>
                <w:sz w:val="24"/>
                <w:szCs w:val="24"/>
                <w:highlight w:val="none"/>
                <w:lang w:val="en-US" w:eastAsia="zh-CN" w:bidi="ar-SA"/>
              </w:rPr>
              <w:t>15.5</w:t>
            </w:r>
            <w:r>
              <w:rPr>
                <w:rFonts w:hint="default" w:ascii="Times New Roman" w:hAnsi="Times New Roman" w:eastAsia="宋体" w:cs="Times New Roman"/>
                <w:color w:val="auto"/>
                <w:kern w:val="2"/>
                <w:sz w:val="24"/>
                <w:szCs w:val="24"/>
                <w:highlight w:val="none"/>
                <w:lang w:val="en-US" w:eastAsia="zh-CN" w:bidi="ar-SA"/>
              </w:rPr>
              <w:t>m</w:t>
            </w:r>
            <w:r>
              <w:rPr>
                <w:rFonts w:hint="eastAsia" w:eastAsia="宋体" w:cs="Times New Roman"/>
                <w:color w:val="auto"/>
                <w:kern w:val="2"/>
                <w:sz w:val="24"/>
                <w:szCs w:val="24"/>
                <w:highlight w:val="none"/>
                <w:lang w:val="en-US" w:eastAsia="zh-CN" w:bidi="ar-SA"/>
              </w:rPr>
              <w:t>（内径为0.</w:t>
            </w:r>
            <w:r>
              <w:rPr>
                <w:rFonts w:hint="eastAsia" w:cs="Times New Roman"/>
                <w:color w:val="auto"/>
                <w:kern w:val="2"/>
                <w:sz w:val="24"/>
                <w:szCs w:val="24"/>
                <w:highlight w:val="none"/>
                <w:lang w:val="en-US" w:eastAsia="zh-CN" w:bidi="ar-SA"/>
              </w:rPr>
              <w:t>25</w:t>
            </w:r>
            <w:r>
              <w:rPr>
                <w:rFonts w:hint="eastAsia" w:eastAsia="宋体" w:cs="Times New Roman"/>
                <w:color w:val="auto"/>
                <w:kern w:val="2"/>
                <w:sz w:val="24"/>
                <w:szCs w:val="24"/>
                <w:highlight w:val="none"/>
                <w:lang w:val="en-US" w:eastAsia="zh-CN" w:bidi="ar-SA"/>
              </w:rPr>
              <w:t>m）</w:t>
            </w:r>
            <w:r>
              <w:rPr>
                <w:rFonts w:hint="eastAsia" w:cs="Times New Roman"/>
                <w:color w:val="auto"/>
                <w:kern w:val="2"/>
                <w:sz w:val="24"/>
                <w:szCs w:val="24"/>
                <w:highlight w:val="none"/>
                <w:lang w:val="en-US" w:eastAsia="zh-CN" w:bidi="ar-SA"/>
              </w:rPr>
              <w:t>；</w:t>
            </w:r>
            <w:r>
              <w:rPr>
                <w:rFonts w:hint="eastAsia" w:cs="Times New Roman"/>
                <w:color w:val="auto"/>
                <w:sz w:val="24"/>
                <w:szCs w:val="24"/>
                <w:lang w:val="en-US" w:eastAsia="zh-CN"/>
              </w:rPr>
              <w:t>2#煤粉仓</w:t>
            </w:r>
            <w:r>
              <w:rPr>
                <w:rFonts w:hint="default" w:ascii="Times New Roman" w:hAnsi="Times New Roman" w:eastAsia="宋体" w:cs="Times New Roman"/>
                <w:color w:val="auto"/>
                <w:kern w:val="2"/>
                <w:sz w:val="24"/>
                <w:szCs w:val="24"/>
                <w:highlight w:val="none"/>
                <w:lang w:val="en-US" w:eastAsia="zh-CN" w:bidi="ar-SA"/>
              </w:rPr>
              <w:t>产生的粉尘经除尘后由仓顶的排气口</w:t>
            </w:r>
            <w:r>
              <w:rPr>
                <w:rFonts w:hint="eastAsia" w:eastAsia="宋体" w:cs="Times New Roman"/>
                <w:color w:val="auto"/>
                <w:kern w:val="2"/>
                <w:sz w:val="24"/>
                <w:szCs w:val="24"/>
                <w:highlight w:val="none"/>
                <w:lang w:val="en-US" w:eastAsia="zh-CN" w:bidi="ar-SA"/>
              </w:rPr>
              <w:t>（DA00</w:t>
            </w:r>
            <w:r>
              <w:rPr>
                <w:rFonts w:hint="eastAsia" w:cs="Times New Roman"/>
                <w:color w:val="auto"/>
                <w:kern w:val="2"/>
                <w:sz w:val="24"/>
                <w:szCs w:val="24"/>
                <w:highlight w:val="none"/>
                <w:lang w:val="en-US" w:eastAsia="zh-CN" w:bidi="ar-SA"/>
              </w:rPr>
              <w:t>9</w:t>
            </w:r>
            <w:r>
              <w:rPr>
                <w:rFonts w:hint="eastAsia"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排出，排气口距离地面高度为</w:t>
            </w:r>
            <w:r>
              <w:rPr>
                <w:rFonts w:hint="eastAsia" w:cs="Times New Roman"/>
                <w:color w:val="auto"/>
                <w:kern w:val="2"/>
                <w:sz w:val="24"/>
                <w:szCs w:val="24"/>
                <w:highlight w:val="none"/>
                <w:lang w:val="en-US" w:eastAsia="zh-CN" w:bidi="ar-SA"/>
              </w:rPr>
              <w:t>26.5</w:t>
            </w:r>
            <w:r>
              <w:rPr>
                <w:rFonts w:hint="default" w:ascii="Times New Roman" w:hAnsi="Times New Roman" w:eastAsia="宋体" w:cs="Times New Roman"/>
                <w:color w:val="auto"/>
                <w:kern w:val="2"/>
                <w:sz w:val="24"/>
                <w:szCs w:val="24"/>
                <w:highlight w:val="none"/>
                <w:lang w:val="en-US" w:eastAsia="zh-CN" w:bidi="ar-SA"/>
              </w:rPr>
              <w:t>m</w:t>
            </w:r>
            <w:r>
              <w:rPr>
                <w:rFonts w:hint="eastAsia" w:eastAsia="宋体" w:cs="Times New Roman"/>
                <w:color w:val="auto"/>
                <w:kern w:val="2"/>
                <w:sz w:val="24"/>
                <w:szCs w:val="24"/>
                <w:highlight w:val="none"/>
                <w:lang w:val="en-US" w:eastAsia="zh-CN" w:bidi="ar-SA"/>
              </w:rPr>
              <w:t>（内径为0.</w:t>
            </w:r>
            <w:r>
              <w:rPr>
                <w:rFonts w:hint="eastAsia" w:cs="Times New Roman"/>
                <w:color w:val="auto"/>
                <w:kern w:val="2"/>
                <w:sz w:val="24"/>
                <w:szCs w:val="24"/>
                <w:highlight w:val="none"/>
                <w:lang w:val="en-US" w:eastAsia="zh-CN" w:bidi="ar-SA"/>
              </w:rPr>
              <w:t>35</w:t>
            </w:r>
            <w:r>
              <w:rPr>
                <w:rFonts w:hint="eastAsia" w:eastAsia="宋体" w:cs="Times New Roman"/>
                <w:color w:val="auto"/>
                <w:kern w:val="2"/>
                <w:sz w:val="24"/>
                <w:szCs w:val="24"/>
                <w:highlight w:val="none"/>
                <w:lang w:val="en-US" w:eastAsia="zh-CN" w:bidi="ar-SA"/>
              </w:rPr>
              <w:t>m）</w:t>
            </w:r>
            <w:r>
              <w:rPr>
                <w:rFonts w:hint="eastAsia" w:cs="Times New Roman"/>
                <w:color w:val="auto"/>
                <w:kern w:val="2"/>
                <w:sz w:val="24"/>
                <w:szCs w:val="24"/>
                <w:highlight w:val="none"/>
                <w:lang w:val="en-US" w:eastAsia="zh-CN" w:bidi="ar-SA"/>
              </w:rPr>
              <w:t>；</w:t>
            </w:r>
            <w:r>
              <w:rPr>
                <w:rFonts w:hint="eastAsia" w:cs="Times New Roman"/>
                <w:color w:val="auto"/>
                <w:sz w:val="24"/>
                <w:szCs w:val="24"/>
                <w:lang w:val="en-US" w:eastAsia="zh-CN"/>
              </w:rPr>
              <w:t>3#煤粉仓</w:t>
            </w:r>
            <w:r>
              <w:rPr>
                <w:rFonts w:hint="default" w:ascii="Times New Roman" w:hAnsi="Times New Roman" w:eastAsia="宋体" w:cs="Times New Roman"/>
                <w:color w:val="auto"/>
                <w:kern w:val="2"/>
                <w:sz w:val="24"/>
                <w:szCs w:val="24"/>
                <w:highlight w:val="none"/>
                <w:lang w:val="en-US" w:eastAsia="zh-CN" w:bidi="ar-SA"/>
              </w:rPr>
              <w:t>产生的粉尘经除尘后由仓顶的排气口</w:t>
            </w:r>
            <w:r>
              <w:rPr>
                <w:rFonts w:hint="eastAsia" w:eastAsia="宋体" w:cs="Times New Roman"/>
                <w:color w:val="auto"/>
                <w:kern w:val="2"/>
                <w:sz w:val="24"/>
                <w:szCs w:val="24"/>
                <w:highlight w:val="none"/>
                <w:lang w:val="en-US" w:eastAsia="zh-CN" w:bidi="ar-SA"/>
              </w:rPr>
              <w:t>（DA0</w:t>
            </w:r>
            <w:r>
              <w:rPr>
                <w:rFonts w:hint="eastAsia" w:cs="Times New Roman"/>
                <w:color w:val="auto"/>
                <w:kern w:val="2"/>
                <w:sz w:val="24"/>
                <w:szCs w:val="24"/>
                <w:highlight w:val="none"/>
                <w:lang w:val="en-US" w:eastAsia="zh-CN" w:bidi="ar-SA"/>
              </w:rPr>
              <w:t>10</w:t>
            </w:r>
            <w:r>
              <w:rPr>
                <w:rFonts w:hint="eastAsia"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排出，排气口距离地面高度为</w:t>
            </w:r>
            <w:r>
              <w:rPr>
                <w:rFonts w:hint="eastAsia" w:cs="Times New Roman"/>
                <w:color w:val="auto"/>
                <w:kern w:val="2"/>
                <w:sz w:val="24"/>
                <w:szCs w:val="24"/>
                <w:highlight w:val="none"/>
                <w:lang w:val="en-US" w:eastAsia="zh-CN" w:bidi="ar-SA"/>
              </w:rPr>
              <w:t>26.5</w:t>
            </w:r>
            <w:r>
              <w:rPr>
                <w:rFonts w:hint="default" w:ascii="Times New Roman" w:hAnsi="Times New Roman" w:eastAsia="宋体" w:cs="Times New Roman"/>
                <w:color w:val="auto"/>
                <w:kern w:val="2"/>
                <w:sz w:val="24"/>
                <w:szCs w:val="24"/>
                <w:highlight w:val="none"/>
                <w:lang w:val="en-US" w:eastAsia="zh-CN" w:bidi="ar-SA"/>
              </w:rPr>
              <w:t>m</w:t>
            </w:r>
            <w:r>
              <w:rPr>
                <w:rFonts w:hint="eastAsia" w:eastAsia="宋体" w:cs="Times New Roman"/>
                <w:color w:val="auto"/>
                <w:kern w:val="2"/>
                <w:sz w:val="24"/>
                <w:szCs w:val="24"/>
                <w:highlight w:val="none"/>
                <w:lang w:val="en-US" w:eastAsia="zh-CN" w:bidi="ar-SA"/>
              </w:rPr>
              <w:t>（内径为0.</w:t>
            </w:r>
            <w:r>
              <w:rPr>
                <w:rFonts w:hint="eastAsia" w:cs="Times New Roman"/>
                <w:color w:val="auto"/>
                <w:kern w:val="2"/>
                <w:sz w:val="24"/>
                <w:szCs w:val="24"/>
                <w:highlight w:val="none"/>
                <w:lang w:val="en-US" w:eastAsia="zh-CN" w:bidi="ar-SA"/>
              </w:rPr>
              <w:t>35</w:t>
            </w:r>
            <w:r>
              <w:rPr>
                <w:rFonts w:hint="eastAsia"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lang w:val="en-US" w:eastAsia="zh-CN" w:bidi="ar-SA"/>
              </w:rPr>
              <w:t>。</w:t>
            </w:r>
          </w:p>
          <w:p w14:paraId="7CFAD3AC">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rFonts w:hint="eastAsia" w:eastAsia="宋体" w:cs="Times New Roman"/>
                <w:b/>
                <w:bCs/>
                <w:color w:val="auto"/>
                <w:sz w:val="24"/>
                <w:highlight w:val="none"/>
                <w:lang w:val="en-US" w:eastAsia="zh-CN"/>
              </w:rPr>
            </w:pPr>
            <w:r>
              <w:rPr>
                <w:rFonts w:hint="eastAsia" w:eastAsia="Times New Roman"/>
                <w:color w:val="auto"/>
                <w:sz w:val="24"/>
                <w:lang w:val="zh-CN"/>
              </w:rPr>
              <w:t>则</w:t>
            </w:r>
            <w:r>
              <w:rPr>
                <w:rFonts w:hint="eastAsia" w:cs="Times New Roman"/>
                <w:color w:val="auto"/>
                <w:sz w:val="24"/>
                <w:szCs w:val="24"/>
                <w:lang w:val="en-US" w:eastAsia="zh-CN"/>
              </w:rPr>
              <w:t>1#煤粉仓</w:t>
            </w:r>
            <w:r>
              <w:rPr>
                <w:rFonts w:hint="eastAsia" w:ascii="Times New Roman" w:hAnsi="Times New Roman" w:eastAsia="宋体" w:cs="Times New Roman"/>
                <w:color w:val="auto"/>
                <w:sz w:val="24"/>
                <w:szCs w:val="24"/>
                <w:lang w:eastAsia="zh-CN"/>
              </w:rPr>
              <w:t>粉尘</w:t>
            </w:r>
            <w:r>
              <w:rPr>
                <w:rFonts w:hint="eastAsia" w:eastAsia="Times New Roman"/>
                <w:color w:val="auto"/>
                <w:sz w:val="24"/>
                <w:lang w:val="zh-CN"/>
              </w:rPr>
              <w:t>有组织</w:t>
            </w:r>
            <w:r>
              <w:rPr>
                <w:rFonts w:hint="eastAsia" w:ascii="Times New Roman" w:hAnsi="Times New Roman" w:eastAsia="宋体" w:cs="Times New Roman"/>
                <w:color w:val="auto"/>
                <w:sz w:val="24"/>
                <w:highlight w:val="none"/>
                <w:lang w:eastAsia="zh-CN"/>
              </w:rPr>
              <w:t>粉尘排放量为</w:t>
            </w:r>
            <w:r>
              <w:rPr>
                <w:rFonts w:hint="eastAsia" w:cs="Times New Roman"/>
                <w:color w:val="auto"/>
                <w:sz w:val="24"/>
                <w:highlight w:val="none"/>
                <w:lang w:val="en-US" w:eastAsia="zh-CN"/>
              </w:rPr>
              <w:t>0.0005</w:t>
            </w:r>
            <w:r>
              <w:rPr>
                <w:rFonts w:hint="eastAsia" w:ascii="Times New Roman" w:hAnsi="Times New Roman" w:eastAsia="宋体" w:cs="Times New Roman"/>
                <w:color w:val="auto"/>
                <w:sz w:val="24"/>
                <w:highlight w:val="none"/>
                <w:lang w:val="en-US" w:eastAsia="zh-CN"/>
              </w:rPr>
              <w:t>t/a，排放速率为</w:t>
            </w:r>
            <w:r>
              <w:rPr>
                <w:rFonts w:hint="eastAsia" w:cs="Times New Roman"/>
                <w:color w:val="auto"/>
                <w:sz w:val="24"/>
                <w:highlight w:val="none"/>
                <w:lang w:val="en-US" w:eastAsia="zh-CN"/>
              </w:rPr>
              <w:t>0.00007</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0.04</w:t>
            </w:r>
            <w:r>
              <w:rPr>
                <w:bCs/>
                <w:color w:val="auto"/>
                <w:spacing w:val="-10"/>
                <w:szCs w:val="21"/>
              </w:rPr>
              <w:t>mg/m</w:t>
            </w:r>
            <w:r>
              <w:rPr>
                <w:bCs/>
                <w:color w:val="auto"/>
                <w:spacing w:val="-10"/>
                <w:szCs w:val="21"/>
                <w:vertAlign w:val="superscript"/>
              </w:rPr>
              <w:t>3</w:t>
            </w:r>
            <w:r>
              <w:rPr>
                <w:rFonts w:hint="eastAsia"/>
                <w:bCs/>
                <w:color w:val="auto"/>
                <w:spacing w:val="-10"/>
                <w:szCs w:val="21"/>
                <w:vertAlign w:val="baseline"/>
                <w:lang w:eastAsia="zh-CN"/>
              </w:rPr>
              <w:t>；</w:t>
            </w:r>
            <w:r>
              <w:rPr>
                <w:rFonts w:hint="eastAsia" w:cs="Times New Roman"/>
                <w:color w:val="auto"/>
                <w:sz w:val="24"/>
                <w:szCs w:val="24"/>
                <w:lang w:val="en-US" w:eastAsia="zh-CN"/>
              </w:rPr>
              <w:t>2#煤粉仓</w:t>
            </w:r>
            <w:r>
              <w:rPr>
                <w:rFonts w:hint="eastAsia" w:ascii="Times New Roman" w:hAnsi="Times New Roman" w:eastAsia="宋体" w:cs="Times New Roman"/>
                <w:color w:val="auto"/>
                <w:sz w:val="24"/>
                <w:szCs w:val="24"/>
                <w:lang w:eastAsia="zh-CN"/>
              </w:rPr>
              <w:t>粉尘</w:t>
            </w:r>
            <w:r>
              <w:rPr>
                <w:rFonts w:hint="eastAsia" w:eastAsia="Times New Roman"/>
                <w:color w:val="auto"/>
                <w:sz w:val="24"/>
                <w:lang w:val="zh-CN"/>
              </w:rPr>
              <w:t>有组织</w:t>
            </w:r>
            <w:r>
              <w:rPr>
                <w:rFonts w:hint="eastAsia" w:ascii="Times New Roman" w:hAnsi="Times New Roman" w:eastAsia="宋体" w:cs="Times New Roman"/>
                <w:color w:val="auto"/>
                <w:sz w:val="24"/>
                <w:highlight w:val="none"/>
                <w:lang w:eastAsia="zh-CN"/>
              </w:rPr>
              <w:t>粉尘排放量为</w:t>
            </w:r>
            <w:r>
              <w:rPr>
                <w:rFonts w:hint="eastAsia" w:cs="Times New Roman"/>
                <w:color w:val="auto"/>
                <w:sz w:val="24"/>
                <w:highlight w:val="none"/>
                <w:lang w:val="en-US" w:eastAsia="zh-CN"/>
              </w:rPr>
              <w:t>0.0002</w:t>
            </w:r>
            <w:r>
              <w:rPr>
                <w:rFonts w:hint="eastAsia" w:ascii="Times New Roman" w:hAnsi="Times New Roman" w:eastAsia="宋体" w:cs="Times New Roman"/>
                <w:color w:val="auto"/>
                <w:sz w:val="24"/>
                <w:highlight w:val="none"/>
                <w:lang w:val="en-US" w:eastAsia="zh-CN"/>
              </w:rPr>
              <w:t>t/a，排放速率为</w:t>
            </w:r>
            <w:r>
              <w:rPr>
                <w:rFonts w:hint="eastAsia" w:cs="Times New Roman"/>
                <w:color w:val="auto"/>
                <w:sz w:val="24"/>
                <w:highlight w:val="none"/>
                <w:lang w:val="en-US" w:eastAsia="zh-CN"/>
              </w:rPr>
              <w:t>0.00004</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0.01</w:t>
            </w:r>
            <w:r>
              <w:rPr>
                <w:bCs/>
                <w:color w:val="auto"/>
                <w:spacing w:val="-10"/>
                <w:szCs w:val="21"/>
              </w:rPr>
              <w:t>mg/m</w:t>
            </w:r>
            <w:r>
              <w:rPr>
                <w:bCs/>
                <w:color w:val="auto"/>
                <w:spacing w:val="-10"/>
                <w:szCs w:val="21"/>
                <w:vertAlign w:val="superscript"/>
              </w:rPr>
              <w:t>3</w:t>
            </w:r>
            <w:r>
              <w:rPr>
                <w:rFonts w:hint="eastAsia"/>
                <w:bCs/>
                <w:color w:val="auto"/>
                <w:spacing w:val="-10"/>
                <w:szCs w:val="21"/>
                <w:vertAlign w:val="baseline"/>
                <w:lang w:eastAsia="zh-CN"/>
              </w:rPr>
              <w:t>；</w:t>
            </w:r>
            <w:r>
              <w:rPr>
                <w:rFonts w:hint="eastAsia" w:cs="Times New Roman"/>
                <w:color w:val="auto"/>
                <w:sz w:val="24"/>
                <w:szCs w:val="24"/>
                <w:lang w:val="en-US" w:eastAsia="zh-CN"/>
              </w:rPr>
              <w:t>3#煤粉仓</w:t>
            </w:r>
            <w:r>
              <w:rPr>
                <w:rFonts w:hint="eastAsia" w:ascii="Times New Roman" w:hAnsi="Times New Roman" w:eastAsia="宋体" w:cs="Times New Roman"/>
                <w:color w:val="auto"/>
                <w:sz w:val="24"/>
                <w:szCs w:val="24"/>
                <w:lang w:eastAsia="zh-CN"/>
              </w:rPr>
              <w:t>粉尘</w:t>
            </w:r>
            <w:r>
              <w:rPr>
                <w:rFonts w:hint="eastAsia" w:eastAsia="Times New Roman"/>
                <w:color w:val="auto"/>
                <w:sz w:val="24"/>
                <w:lang w:val="zh-CN"/>
              </w:rPr>
              <w:t>有组织</w:t>
            </w:r>
            <w:r>
              <w:rPr>
                <w:rFonts w:hint="eastAsia" w:ascii="Times New Roman" w:hAnsi="Times New Roman" w:eastAsia="宋体" w:cs="Times New Roman"/>
                <w:color w:val="auto"/>
                <w:sz w:val="24"/>
                <w:highlight w:val="none"/>
                <w:lang w:eastAsia="zh-CN"/>
              </w:rPr>
              <w:t>粉尘排放量为</w:t>
            </w:r>
            <w:r>
              <w:rPr>
                <w:rFonts w:hint="eastAsia" w:cs="Times New Roman"/>
                <w:color w:val="auto"/>
                <w:sz w:val="24"/>
                <w:highlight w:val="none"/>
                <w:lang w:val="en-US" w:eastAsia="zh-CN"/>
              </w:rPr>
              <w:t>0.0002</w:t>
            </w:r>
            <w:r>
              <w:rPr>
                <w:rFonts w:hint="eastAsia" w:ascii="Times New Roman" w:hAnsi="Times New Roman" w:eastAsia="宋体" w:cs="Times New Roman"/>
                <w:color w:val="auto"/>
                <w:sz w:val="24"/>
                <w:highlight w:val="none"/>
                <w:lang w:val="en-US" w:eastAsia="zh-CN"/>
              </w:rPr>
              <w:t>t/a，排放速率为</w:t>
            </w:r>
            <w:r>
              <w:rPr>
                <w:rFonts w:hint="eastAsia" w:cs="Times New Roman"/>
                <w:color w:val="auto"/>
                <w:sz w:val="24"/>
                <w:highlight w:val="none"/>
                <w:lang w:val="en-US" w:eastAsia="zh-CN"/>
              </w:rPr>
              <w:t>0.00004</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0.01</w:t>
            </w:r>
            <w:r>
              <w:rPr>
                <w:bCs/>
                <w:color w:val="auto"/>
                <w:spacing w:val="-10"/>
                <w:szCs w:val="21"/>
              </w:rPr>
              <w:t>mg/m</w:t>
            </w:r>
            <w:r>
              <w:rPr>
                <w:bCs/>
                <w:color w:val="auto"/>
                <w:spacing w:val="-10"/>
                <w:szCs w:val="21"/>
                <w:vertAlign w:val="superscript"/>
              </w:rPr>
              <w:t>3</w:t>
            </w:r>
            <w:r>
              <w:rPr>
                <w:rFonts w:hint="eastAsia"/>
                <w:bCs/>
                <w:color w:val="auto"/>
                <w:spacing w:val="-10"/>
                <w:szCs w:val="21"/>
                <w:vertAlign w:val="baseline"/>
                <w:lang w:eastAsia="zh-CN"/>
              </w:rPr>
              <w:t>。</w:t>
            </w:r>
          </w:p>
          <w:p w14:paraId="0DDC69E6">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w:t>
            </w:r>
            <w:r>
              <w:rPr>
                <w:rFonts w:hint="eastAsia" w:ascii="Times New Roman" w:hAnsi="Times New Roman"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 xml:space="preserve">  项目运营</w:t>
            </w:r>
            <w:r>
              <w:rPr>
                <w:rFonts w:hint="default" w:ascii="Times New Roman" w:hAnsi="Times New Roman" w:cs="Times New Roman"/>
                <w:b/>
                <w:bCs/>
                <w:color w:val="auto"/>
                <w:sz w:val="21"/>
                <w:szCs w:val="21"/>
                <w:highlight w:val="none"/>
                <w:lang w:val="en-US" w:eastAsia="zh-CN"/>
              </w:rPr>
              <w:t>期</w:t>
            </w:r>
            <w:r>
              <w:rPr>
                <w:rFonts w:hint="eastAsia" w:ascii="Times New Roman" w:hAnsi="Times New Roman" w:cs="Times New Roman"/>
                <w:b/>
                <w:bCs/>
                <w:color w:val="auto"/>
                <w:sz w:val="21"/>
                <w:szCs w:val="21"/>
                <w:highlight w:val="none"/>
                <w:lang w:val="en-US" w:eastAsia="zh-CN"/>
              </w:rPr>
              <w:t>粉煤仓粉尘废气</w:t>
            </w:r>
            <w:r>
              <w:rPr>
                <w:rFonts w:hint="default" w:ascii="Times New Roman" w:hAnsi="Times New Roman" w:eastAsia="宋体" w:cs="Times New Roman"/>
                <w:b/>
                <w:bCs/>
                <w:color w:val="auto"/>
                <w:sz w:val="21"/>
                <w:szCs w:val="21"/>
                <w:highlight w:val="none"/>
                <w:lang w:val="en-US" w:eastAsia="zh-CN"/>
              </w:rPr>
              <w:t>排放源一览表</w:t>
            </w:r>
          </w:p>
          <w:tbl>
            <w:tblPr>
              <w:tblStyle w:val="28"/>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10"/>
              <w:gridCol w:w="2096"/>
              <w:gridCol w:w="1777"/>
              <w:gridCol w:w="1774"/>
              <w:gridCol w:w="1790"/>
            </w:tblGrid>
            <w:tr w14:paraId="1FF1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8" w:type="dxa"/>
                  <w:gridSpan w:val="3"/>
                  <w:vAlign w:val="center"/>
                </w:tcPr>
                <w:p w14:paraId="4263F97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1777" w:type="dxa"/>
                  <w:vAlign w:val="center"/>
                </w:tcPr>
                <w:p w14:paraId="62279AB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1#煤粉仓粉尘</w:t>
                  </w:r>
                </w:p>
              </w:tc>
              <w:tc>
                <w:tcPr>
                  <w:tcW w:w="1774" w:type="dxa"/>
                  <w:vAlign w:val="center"/>
                </w:tcPr>
                <w:p w14:paraId="0CA31D3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2#煤粉仓粉尘</w:t>
                  </w:r>
                </w:p>
              </w:tc>
              <w:tc>
                <w:tcPr>
                  <w:tcW w:w="1790" w:type="dxa"/>
                  <w:vAlign w:val="center"/>
                </w:tcPr>
                <w:p w14:paraId="3873AA7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3#煤粉仓粉尘</w:t>
                  </w:r>
                </w:p>
              </w:tc>
            </w:tr>
            <w:tr w14:paraId="662C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8" w:type="dxa"/>
                  <w:gridSpan w:val="3"/>
                  <w:vAlign w:val="center"/>
                </w:tcPr>
                <w:p w14:paraId="6A9991B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1777" w:type="dxa"/>
                  <w:vAlign w:val="center"/>
                </w:tcPr>
                <w:p w14:paraId="6B64E9A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1774" w:type="dxa"/>
                  <w:vAlign w:val="center"/>
                </w:tcPr>
                <w:p w14:paraId="2ABF8EE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1790" w:type="dxa"/>
                  <w:vAlign w:val="center"/>
                </w:tcPr>
                <w:p w14:paraId="08EECEC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r>
            <w:tr w14:paraId="1891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8" w:type="dxa"/>
                  <w:gridSpan w:val="3"/>
                  <w:vAlign w:val="center"/>
                </w:tcPr>
                <w:p w14:paraId="31FF524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1777" w:type="dxa"/>
                  <w:vAlign w:val="center"/>
                </w:tcPr>
                <w:p w14:paraId="0A40F9D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0.1199</w:t>
                  </w:r>
                </w:p>
              </w:tc>
              <w:tc>
                <w:tcPr>
                  <w:tcW w:w="1774" w:type="dxa"/>
                  <w:vAlign w:val="center"/>
                </w:tcPr>
                <w:p w14:paraId="74BF4C0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0.0599</w:t>
                  </w:r>
                </w:p>
              </w:tc>
              <w:tc>
                <w:tcPr>
                  <w:tcW w:w="1790" w:type="dxa"/>
                  <w:vAlign w:val="center"/>
                </w:tcPr>
                <w:p w14:paraId="4348BB8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0.0599</w:t>
                  </w:r>
                </w:p>
              </w:tc>
            </w:tr>
            <w:tr w14:paraId="55556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8" w:type="dxa"/>
                  <w:gridSpan w:val="3"/>
                  <w:vAlign w:val="center"/>
                </w:tcPr>
                <w:p w14:paraId="7E89390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1777" w:type="dxa"/>
                  <w:vAlign w:val="center"/>
                </w:tcPr>
                <w:p w14:paraId="576FF94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color w:val="auto"/>
                      <w:spacing w:val="-10"/>
                      <w:sz w:val="21"/>
                      <w:szCs w:val="21"/>
                      <w:highlight w:val="none"/>
                      <w:vertAlign w:val="baseline"/>
                      <w:lang w:val="en-US" w:eastAsia="zh-CN"/>
                    </w:rPr>
                    <w:t>8.90</w:t>
                  </w:r>
                </w:p>
              </w:tc>
              <w:tc>
                <w:tcPr>
                  <w:tcW w:w="1774" w:type="dxa"/>
                  <w:vAlign w:val="center"/>
                </w:tcPr>
                <w:p w14:paraId="7A19294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2.22</w:t>
                  </w:r>
                </w:p>
              </w:tc>
              <w:tc>
                <w:tcPr>
                  <w:tcW w:w="1790" w:type="dxa"/>
                  <w:vAlign w:val="center"/>
                </w:tcPr>
                <w:p w14:paraId="333E5F5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2.22</w:t>
                  </w:r>
                </w:p>
              </w:tc>
            </w:tr>
            <w:tr w14:paraId="75D6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8" w:type="dxa"/>
                  <w:gridSpan w:val="3"/>
                  <w:vAlign w:val="center"/>
                </w:tcPr>
                <w:p w14:paraId="211493B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1777" w:type="dxa"/>
                  <w:vAlign w:val="center"/>
                </w:tcPr>
                <w:p w14:paraId="053E481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774" w:type="dxa"/>
                  <w:vAlign w:val="center"/>
                </w:tcPr>
                <w:p w14:paraId="63F94EB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有</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c>
                <w:tcPr>
                  <w:tcW w:w="1790" w:type="dxa"/>
                  <w:vAlign w:val="center"/>
                </w:tcPr>
                <w:p w14:paraId="4AC68DE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有</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r>
            <w:tr w14:paraId="4C47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772" w:type="dxa"/>
                  <w:vMerge w:val="restart"/>
                  <w:vAlign w:val="center"/>
                </w:tcPr>
                <w:p w14:paraId="4B84CB3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2406" w:type="dxa"/>
                  <w:gridSpan w:val="2"/>
                  <w:vAlign w:val="center"/>
                </w:tcPr>
                <w:p w14:paraId="1073B8E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1777" w:type="dxa"/>
                  <w:vAlign w:val="center"/>
                </w:tcPr>
                <w:p w14:paraId="3D6D466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774" w:type="dxa"/>
                  <w:vAlign w:val="center"/>
                </w:tcPr>
                <w:p w14:paraId="48D56DE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4012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790" w:type="dxa"/>
                  <w:vAlign w:val="center"/>
                </w:tcPr>
                <w:p w14:paraId="5137A3A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4012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r>
            <w:tr w14:paraId="054E6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1C3D9CB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406" w:type="dxa"/>
                  <w:gridSpan w:val="2"/>
                  <w:vAlign w:val="center"/>
                </w:tcPr>
                <w:p w14:paraId="3C17D5D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1777" w:type="dxa"/>
                  <w:vAlign w:val="center"/>
                </w:tcPr>
                <w:p w14:paraId="751DF66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100%</w:t>
                  </w:r>
                </w:p>
              </w:tc>
              <w:tc>
                <w:tcPr>
                  <w:tcW w:w="1774" w:type="dxa"/>
                  <w:vAlign w:val="center"/>
                </w:tcPr>
                <w:p w14:paraId="388A741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100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790" w:type="dxa"/>
                  <w:vAlign w:val="center"/>
                </w:tcPr>
                <w:p w14:paraId="47027E0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100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4F5E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6E93813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406" w:type="dxa"/>
                  <w:gridSpan w:val="2"/>
                  <w:vAlign w:val="center"/>
                </w:tcPr>
                <w:p w14:paraId="6117A18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1777" w:type="dxa"/>
                  <w:vAlign w:val="center"/>
                </w:tcPr>
                <w:p w14:paraId="09CC605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p>
              </w:tc>
              <w:tc>
                <w:tcPr>
                  <w:tcW w:w="1774" w:type="dxa"/>
                  <w:vAlign w:val="center"/>
                </w:tcPr>
                <w:p w14:paraId="74E61AD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布袋除尘器</w:t>
                  </w:r>
                </w:p>
              </w:tc>
              <w:tc>
                <w:tcPr>
                  <w:tcW w:w="1790" w:type="dxa"/>
                  <w:vAlign w:val="center"/>
                </w:tcPr>
                <w:p w14:paraId="1F67A60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p>
              </w:tc>
            </w:tr>
            <w:tr w14:paraId="65E7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2" w:type="dxa"/>
                  <w:vMerge w:val="continue"/>
                  <w:vAlign w:val="center"/>
                </w:tcPr>
                <w:p w14:paraId="32EA59D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406" w:type="dxa"/>
                  <w:gridSpan w:val="2"/>
                  <w:vAlign w:val="center"/>
                </w:tcPr>
                <w:p w14:paraId="7CAB611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1777" w:type="dxa"/>
                  <w:vAlign w:val="center"/>
                </w:tcPr>
                <w:p w14:paraId="2DF3718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774" w:type="dxa"/>
                  <w:vAlign w:val="center"/>
                </w:tcPr>
                <w:p w14:paraId="5CE8AF9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790" w:type="dxa"/>
                  <w:vAlign w:val="center"/>
                </w:tcPr>
                <w:p w14:paraId="1697664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1899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2450BBB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406" w:type="dxa"/>
                  <w:gridSpan w:val="2"/>
                  <w:vAlign w:val="center"/>
                </w:tcPr>
                <w:p w14:paraId="7AF22F1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1777" w:type="dxa"/>
                  <w:vAlign w:val="center"/>
                </w:tcPr>
                <w:p w14:paraId="1236ECB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774" w:type="dxa"/>
                  <w:vAlign w:val="center"/>
                </w:tcPr>
                <w:p w14:paraId="3033690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790" w:type="dxa"/>
                  <w:vAlign w:val="center"/>
                </w:tcPr>
                <w:p w14:paraId="64B2119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14:paraId="2B2E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8" w:type="dxa"/>
                  <w:gridSpan w:val="3"/>
                  <w:vAlign w:val="center"/>
                </w:tcPr>
                <w:p w14:paraId="62FDFC7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1777" w:type="dxa"/>
                  <w:vAlign w:val="center"/>
                </w:tcPr>
                <w:p w14:paraId="2EDC34E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0.04</w:t>
                  </w:r>
                </w:p>
              </w:tc>
              <w:tc>
                <w:tcPr>
                  <w:tcW w:w="1774" w:type="dxa"/>
                  <w:vAlign w:val="center"/>
                </w:tcPr>
                <w:p w14:paraId="4A4292C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0.01</w:t>
                  </w:r>
                </w:p>
              </w:tc>
              <w:tc>
                <w:tcPr>
                  <w:tcW w:w="1790" w:type="dxa"/>
                  <w:vAlign w:val="center"/>
                </w:tcPr>
                <w:p w14:paraId="2774D66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0.01</w:t>
                  </w:r>
                </w:p>
              </w:tc>
            </w:tr>
            <w:tr w14:paraId="6234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178" w:type="dxa"/>
                  <w:gridSpan w:val="3"/>
                  <w:vAlign w:val="center"/>
                </w:tcPr>
                <w:p w14:paraId="18BF13B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1777" w:type="dxa"/>
                  <w:vAlign w:val="center"/>
                </w:tcPr>
                <w:p w14:paraId="3350577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w:t>
                  </w:r>
                  <w:r>
                    <w:rPr>
                      <w:rFonts w:hint="eastAsia" w:cs="Times New Roman"/>
                      <w:b w:val="0"/>
                      <w:bCs/>
                      <w:color w:val="auto"/>
                      <w:spacing w:val="-10"/>
                      <w:sz w:val="21"/>
                      <w:szCs w:val="21"/>
                      <w:highlight w:val="none"/>
                      <w:vertAlign w:val="baseline"/>
                      <w:lang w:val="en-US" w:eastAsia="zh-CN"/>
                    </w:rPr>
                    <w:t>0007</w:t>
                  </w:r>
                </w:p>
              </w:tc>
              <w:tc>
                <w:tcPr>
                  <w:tcW w:w="1774" w:type="dxa"/>
                  <w:vAlign w:val="center"/>
                </w:tcPr>
                <w:p w14:paraId="739FC89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w:t>
                  </w:r>
                  <w:r>
                    <w:rPr>
                      <w:rFonts w:hint="eastAsia" w:cs="Times New Roman"/>
                      <w:b w:val="0"/>
                      <w:bCs/>
                      <w:color w:val="auto"/>
                      <w:spacing w:val="-10"/>
                      <w:sz w:val="21"/>
                      <w:szCs w:val="21"/>
                      <w:highlight w:val="none"/>
                      <w:vertAlign w:val="baseline"/>
                      <w:lang w:val="en-US" w:eastAsia="zh-CN"/>
                    </w:rPr>
                    <w:t>0004</w:t>
                  </w:r>
                </w:p>
              </w:tc>
              <w:tc>
                <w:tcPr>
                  <w:tcW w:w="1790" w:type="dxa"/>
                  <w:vAlign w:val="center"/>
                </w:tcPr>
                <w:p w14:paraId="3EDCCD6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w:t>
                  </w:r>
                  <w:r>
                    <w:rPr>
                      <w:rFonts w:hint="eastAsia" w:cs="Times New Roman"/>
                      <w:b w:val="0"/>
                      <w:bCs/>
                      <w:color w:val="auto"/>
                      <w:spacing w:val="-10"/>
                      <w:sz w:val="21"/>
                      <w:szCs w:val="21"/>
                      <w:highlight w:val="none"/>
                      <w:vertAlign w:val="baseline"/>
                      <w:lang w:val="en-US" w:eastAsia="zh-CN"/>
                    </w:rPr>
                    <w:t>0004</w:t>
                  </w:r>
                </w:p>
              </w:tc>
            </w:tr>
            <w:tr w14:paraId="15CA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8" w:type="dxa"/>
                  <w:gridSpan w:val="3"/>
                  <w:vAlign w:val="center"/>
                </w:tcPr>
                <w:p w14:paraId="56909D5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1777" w:type="dxa"/>
                  <w:vAlign w:val="center"/>
                </w:tcPr>
                <w:p w14:paraId="4CBD0BF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0005</w:t>
                  </w:r>
                </w:p>
              </w:tc>
              <w:tc>
                <w:tcPr>
                  <w:tcW w:w="1774" w:type="dxa"/>
                  <w:vAlign w:val="center"/>
                </w:tcPr>
                <w:p w14:paraId="29F6F19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0002</w:t>
                  </w:r>
                </w:p>
              </w:tc>
              <w:tc>
                <w:tcPr>
                  <w:tcW w:w="1790" w:type="dxa"/>
                  <w:vAlign w:val="center"/>
                </w:tcPr>
                <w:p w14:paraId="491F621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0002</w:t>
                  </w:r>
                </w:p>
              </w:tc>
            </w:tr>
            <w:tr w14:paraId="6D12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restart"/>
                  <w:vAlign w:val="center"/>
                </w:tcPr>
                <w:p w14:paraId="774EBEC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2406" w:type="dxa"/>
                  <w:gridSpan w:val="2"/>
                  <w:vAlign w:val="center"/>
                </w:tcPr>
                <w:p w14:paraId="3067FE6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1777" w:type="dxa"/>
                  <w:vAlign w:val="center"/>
                </w:tcPr>
                <w:p w14:paraId="25FC73B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15.5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774" w:type="dxa"/>
                  <w:vAlign w:val="center"/>
                </w:tcPr>
                <w:p w14:paraId="5DA5347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26.5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790" w:type="dxa"/>
                  <w:vAlign w:val="center"/>
                </w:tcPr>
                <w:p w14:paraId="1855DD1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26.5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r>
            <w:tr w14:paraId="5DE6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7E87E28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406" w:type="dxa"/>
                  <w:gridSpan w:val="2"/>
                  <w:vAlign w:val="center"/>
                </w:tcPr>
                <w:p w14:paraId="119D719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1777" w:type="dxa"/>
                  <w:vAlign w:val="center"/>
                </w:tcPr>
                <w:p w14:paraId="361BF34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25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774" w:type="dxa"/>
                  <w:vAlign w:val="center"/>
                </w:tcPr>
                <w:p w14:paraId="29C896C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35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790" w:type="dxa"/>
                  <w:vAlign w:val="center"/>
                </w:tcPr>
                <w:p w14:paraId="2701409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35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r>
            <w:tr w14:paraId="56F5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1FFEFEC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406" w:type="dxa"/>
                  <w:gridSpan w:val="2"/>
                  <w:vAlign w:val="center"/>
                </w:tcPr>
                <w:p w14:paraId="1495B97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1777" w:type="dxa"/>
                  <w:vAlign w:val="center"/>
                </w:tcPr>
                <w:p w14:paraId="79B8D97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1774" w:type="dxa"/>
                  <w:vAlign w:val="center"/>
                </w:tcPr>
                <w:p w14:paraId="687B831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1790" w:type="dxa"/>
                  <w:vAlign w:val="center"/>
                </w:tcPr>
                <w:p w14:paraId="3BDC530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r>
            <w:tr w14:paraId="4684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421E0EE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406" w:type="dxa"/>
                  <w:gridSpan w:val="2"/>
                  <w:vAlign w:val="center"/>
                </w:tcPr>
                <w:p w14:paraId="6C217C6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1777" w:type="dxa"/>
                  <w:vAlign w:val="center"/>
                </w:tcPr>
                <w:p w14:paraId="2B9B889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w:t>
                  </w:r>
                  <w:r>
                    <w:rPr>
                      <w:rFonts w:hint="eastAsia" w:cs="Times New Roman"/>
                      <w:b w:val="0"/>
                      <w:bCs/>
                      <w:color w:val="auto"/>
                      <w:spacing w:val="-10"/>
                      <w:sz w:val="21"/>
                      <w:szCs w:val="21"/>
                      <w:highlight w:val="none"/>
                      <w:vertAlign w:val="baseline"/>
                      <w:lang w:val="en-US" w:eastAsia="zh-CN"/>
                    </w:rPr>
                    <w:t>8</w:t>
                  </w:r>
                </w:p>
              </w:tc>
              <w:tc>
                <w:tcPr>
                  <w:tcW w:w="1774" w:type="dxa"/>
                  <w:vAlign w:val="center"/>
                </w:tcPr>
                <w:p w14:paraId="306EC8B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w:t>
                  </w:r>
                  <w:r>
                    <w:rPr>
                      <w:rFonts w:hint="eastAsia" w:cs="Times New Roman"/>
                      <w:b w:val="0"/>
                      <w:bCs/>
                      <w:color w:val="auto"/>
                      <w:spacing w:val="-10"/>
                      <w:sz w:val="21"/>
                      <w:szCs w:val="21"/>
                      <w:highlight w:val="none"/>
                      <w:vertAlign w:val="baseline"/>
                      <w:lang w:val="en-US" w:eastAsia="zh-CN"/>
                    </w:rPr>
                    <w:t>09</w:t>
                  </w:r>
                </w:p>
              </w:tc>
              <w:tc>
                <w:tcPr>
                  <w:tcW w:w="1790" w:type="dxa"/>
                  <w:vAlign w:val="center"/>
                </w:tcPr>
                <w:p w14:paraId="47018E7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w:t>
                  </w:r>
                  <w:r>
                    <w:rPr>
                      <w:rFonts w:hint="eastAsia" w:cs="Times New Roman"/>
                      <w:b w:val="0"/>
                      <w:bCs/>
                      <w:color w:val="auto"/>
                      <w:spacing w:val="-10"/>
                      <w:sz w:val="21"/>
                      <w:szCs w:val="21"/>
                      <w:highlight w:val="none"/>
                      <w:vertAlign w:val="baseline"/>
                      <w:lang w:val="en-US" w:eastAsia="zh-CN"/>
                    </w:rPr>
                    <w:t>10</w:t>
                  </w:r>
                </w:p>
              </w:tc>
            </w:tr>
            <w:tr w14:paraId="5836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19427C2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406" w:type="dxa"/>
                  <w:gridSpan w:val="2"/>
                  <w:vAlign w:val="center"/>
                </w:tcPr>
                <w:p w14:paraId="1D9D79C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1777" w:type="dxa"/>
                  <w:vAlign w:val="center"/>
                </w:tcPr>
                <w:p w14:paraId="3925CE1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774" w:type="dxa"/>
                  <w:vAlign w:val="center"/>
                </w:tcPr>
                <w:p w14:paraId="0206F49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790" w:type="dxa"/>
                  <w:vAlign w:val="center"/>
                </w:tcPr>
                <w:p w14:paraId="342C3AB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r>
            <w:tr w14:paraId="29F6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3FE5B53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406" w:type="dxa"/>
                  <w:gridSpan w:val="2"/>
                  <w:vAlign w:val="center"/>
                </w:tcPr>
                <w:p w14:paraId="53C5F06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1777" w:type="dxa"/>
                  <w:vAlign w:val="center"/>
                </w:tcPr>
                <w:p w14:paraId="0F75FB3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DA008：</w:t>
                  </w:r>
                  <w:r>
                    <w:rPr>
                      <w:rFonts w:hint="default" w:ascii="Times New Roman" w:hAnsi="Times New Roman" w:eastAsia="宋体" w:cs="Times New Roman"/>
                      <w:b w:val="0"/>
                      <w:bCs/>
                      <w:color w:val="auto"/>
                      <w:spacing w:val="-10"/>
                      <w:sz w:val="21"/>
                      <w:szCs w:val="21"/>
                      <w:highlight w:val="none"/>
                      <w:vertAlign w:val="baseline"/>
                      <w:lang w:val="en-US" w:eastAsia="zh-CN"/>
                    </w:rPr>
                    <w:t>E：103°11′4</w:t>
                  </w:r>
                  <w:r>
                    <w:rPr>
                      <w:rFonts w:hint="eastAsia" w:cs="Times New Roman"/>
                      <w:b w:val="0"/>
                      <w:bCs/>
                      <w:color w:val="auto"/>
                      <w:spacing w:val="-10"/>
                      <w:sz w:val="21"/>
                      <w:szCs w:val="21"/>
                      <w:highlight w:val="none"/>
                      <w:vertAlign w:val="baseline"/>
                      <w:lang w:val="en-US" w:eastAsia="zh-CN"/>
                    </w:rPr>
                    <w:t>5.933</w:t>
                  </w:r>
                  <w:r>
                    <w:rPr>
                      <w:rFonts w:hint="default" w:ascii="Times New Roman" w:hAnsi="Times New Roman" w:eastAsia="宋体" w:cs="Times New Roman"/>
                      <w:b w:val="0"/>
                      <w:bCs/>
                      <w:color w:val="auto"/>
                      <w:spacing w:val="-10"/>
                      <w:sz w:val="21"/>
                      <w:szCs w:val="21"/>
                      <w:highlight w:val="none"/>
                      <w:vertAlign w:val="baseline"/>
                      <w:lang w:val="en-US" w:eastAsia="zh-CN"/>
                    </w:rPr>
                    <w:t>″，</w:t>
                  </w:r>
                </w:p>
                <w:p w14:paraId="1E01098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N：25°33′</w:t>
                  </w:r>
                  <w:r>
                    <w:rPr>
                      <w:rFonts w:hint="eastAsia" w:cs="Times New Roman"/>
                      <w:b w:val="0"/>
                      <w:bCs/>
                      <w:color w:val="auto"/>
                      <w:spacing w:val="-10"/>
                      <w:sz w:val="21"/>
                      <w:szCs w:val="21"/>
                      <w:highlight w:val="none"/>
                      <w:vertAlign w:val="baseline"/>
                      <w:lang w:val="en-US" w:eastAsia="zh-CN"/>
                    </w:rPr>
                    <w:t>39.540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774" w:type="dxa"/>
                  <w:vAlign w:val="center"/>
                </w:tcPr>
                <w:p w14:paraId="2F9A8B3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DA009：</w:t>
                  </w:r>
                  <w:r>
                    <w:rPr>
                      <w:rFonts w:hint="default" w:ascii="Times New Roman" w:hAnsi="Times New Roman" w:eastAsia="宋体" w:cs="Times New Roman"/>
                      <w:b w:val="0"/>
                      <w:bCs/>
                      <w:color w:val="auto"/>
                      <w:spacing w:val="-10"/>
                      <w:sz w:val="21"/>
                      <w:szCs w:val="21"/>
                      <w:highlight w:val="none"/>
                      <w:vertAlign w:val="baseline"/>
                      <w:lang w:val="en-US" w:eastAsia="zh-CN"/>
                    </w:rPr>
                    <w:t>E：103°11′4</w:t>
                  </w:r>
                  <w:r>
                    <w:rPr>
                      <w:rFonts w:hint="eastAsia" w:cs="Times New Roman"/>
                      <w:b w:val="0"/>
                      <w:bCs/>
                      <w:color w:val="auto"/>
                      <w:spacing w:val="-10"/>
                      <w:sz w:val="21"/>
                      <w:szCs w:val="21"/>
                      <w:highlight w:val="none"/>
                      <w:vertAlign w:val="baseline"/>
                      <w:lang w:val="en-US" w:eastAsia="zh-CN"/>
                    </w:rPr>
                    <w:t>6.455</w:t>
                  </w:r>
                  <w:r>
                    <w:rPr>
                      <w:rFonts w:hint="default" w:ascii="Times New Roman" w:hAnsi="Times New Roman" w:eastAsia="宋体" w:cs="Times New Roman"/>
                      <w:b w:val="0"/>
                      <w:bCs/>
                      <w:color w:val="auto"/>
                      <w:spacing w:val="-10"/>
                      <w:sz w:val="21"/>
                      <w:szCs w:val="21"/>
                      <w:highlight w:val="none"/>
                      <w:vertAlign w:val="baseline"/>
                      <w:lang w:val="en-US" w:eastAsia="zh-CN"/>
                    </w:rPr>
                    <w:t>″，</w:t>
                  </w:r>
                </w:p>
                <w:p w14:paraId="420CE45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N：25°33′39.</w:t>
                  </w:r>
                  <w:r>
                    <w:rPr>
                      <w:rFonts w:hint="eastAsia" w:cs="Times New Roman"/>
                      <w:b w:val="0"/>
                      <w:bCs/>
                      <w:color w:val="auto"/>
                      <w:spacing w:val="-10"/>
                      <w:sz w:val="21"/>
                      <w:szCs w:val="21"/>
                      <w:highlight w:val="none"/>
                      <w:vertAlign w:val="baseline"/>
                      <w:lang w:val="en-US" w:eastAsia="zh-CN"/>
                    </w:rPr>
                    <w:t>733</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790" w:type="dxa"/>
                  <w:vAlign w:val="center"/>
                </w:tcPr>
                <w:p w14:paraId="46B4C59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DA010：</w:t>
                  </w:r>
                  <w:r>
                    <w:rPr>
                      <w:rFonts w:hint="default" w:ascii="Times New Roman" w:hAnsi="Times New Roman" w:eastAsia="宋体" w:cs="Times New Roman"/>
                      <w:b w:val="0"/>
                      <w:bCs/>
                      <w:color w:val="auto"/>
                      <w:spacing w:val="-10"/>
                      <w:sz w:val="21"/>
                      <w:szCs w:val="21"/>
                      <w:highlight w:val="none"/>
                      <w:vertAlign w:val="baseline"/>
                      <w:lang w:val="en-US" w:eastAsia="zh-CN"/>
                    </w:rPr>
                    <w:t>E：103°11′4</w:t>
                  </w:r>
                  <w:r>
                    <w:rPr>
                      <w:rFonts w:hint="eastAsia" w:cs="Times New Roman"/>
                      <w:b w:val="0"/>
                      <w:bCs/>
                      <w:color w:val="auto"/>
                      <w:spacing w:val="-10"/>
                      <w:sz w:val="21"/>
                      <w:szCs w:val="21"/>
                      <w:highlight w:val="none"/>
                      <w:vertAlign w:val="baseline"/>
                      <w:lang w:val="en-US" w:eastAsia="zh-CN"/>
                    </w:rPr>
                    <w:t>6.319</w:t>
                  </w:r>
                  <w:r>
                    <w:rPr>
                      <w:rFonts w:hint="default" w:ascii="Times New Roman" w:hAnsi="Times New Roman" w:eastAsia="宋体" w:cs="Times New Roman"/>
                      <w:b w:val="0"/>
                      <w:bCs/>
                      <w:color w:val="auto"/>
                      <w:spacing w:val="-10"/>
                      <w:sz w:val="21"/>
                      <w:szCs w:val="21"/>
                      <w:highlight w:val="none"/>
                      <w:vertAlign w:val="baseline"/>
                      <w:lang w:val="en-US" w:eastAsia="zh-CN"/>
                    </w:rPr>
                    <w:t>″，</w:t>
                  </w:r>
                </w:p>
                <w:p w14:paraId="6B51990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N：25°33′39.</w:t>
                  </w:r>
                  <w:r>
                    <w:rPr>
                      <w:rFonts w:hint="eastAsia" w:cs="Times New Roman"/>
                      <w:b w:val="0"/>
                      <w:bCs/>
                      <w:color w:val="auto"/>
                      <w:spacing w:val="-10"/>
                      <w:sz w:val="21"/>
                      <w:szCs w:val="21"/>
                      <w:highlight w:val="none"/>
                      <w:vertAlign w:val="baseline"/>
                      <w:lang w:val="en-US" w:eastAsia="zh-CN"/>
                    </w:rPr>
                    <w:t>270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66ED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8" w:type="dxa"/>
                  <w:gridSpan w:val="3"/>
                  <w:vAlign w:val="center"/>
                </w:tcPr>
                <w:p w14:paraId="6614D42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5341" w:type="dxa"/>
                  <w:gridSpan w:val="3"/>
                  <w:vAlign w:val="center"/>
                </w:tcPr>
                <w:p w14:paraId="2BC6E8DB">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color w:val="auto"/>
                      <w:sz w:val="21"/>
                      <w:szCs w:val="21"/>
                    </w:rPr>
                  </w:pPr>
                  <w:r>
                    <w:rPr>
                      <w:rFonts w:hint="eastAsia" w:cs="Times New Roman"/>
                      <w:color w:val="auto"/>
                      <w:sz w:val="21"/>
                      <w:szCs w:val="21"/>
                      <w:shd w:val="clear" w:color="auto" w:fill="auto"/>
                      <w:lang w:val="zh-CN" w:eastAsia="zh-CN"/>
                    </w:rPr>
                    <w:t>执行</w:t>
                  </w:r>
                  <w:r>
                    <w:rPr>
                      <w:rFonts w:hint="default" w:ascii="Times New Roman" w:hAnsi="Times New Roman" w:cs="Times New Roman"/>
                      <w:color w:val="auto"/>
                      <w:sz w:val="21"/>
                      <w:szCs w:val="21"/>
                      <w:shd w:val="clear" w:color="auto" w:fill="auto"/>
                      <w:lang w:val="zh-CN" w:eastAsia="zh-CN"/>
                    </w:rPr>
                    <w:t>《大气污染物综合排放标准》（GB16297-1996）表2中二级标准</w:t>
                  </w:r>
                  <w:r>
                    <w:rPr>
                      <w:color w:val="auto"/>
                      <w:sz w:val="21"/>
                      <w:szCs w:val="21"/>
                    </w:rPr>
                    <w:t>要求</w:t>
                  </w:r>
                  <w:r>
                    <w:rPr>
                      <w:rFonts w:hint="eastAsia"/>
                      <w:color w:val="auto"/>
                      <w:sz w:val="21"/>
                      <w:szCs w:val="21"/>
                      <w:lang w:eastAsia="zh-CN"/>
                    </w:rPr>
                    <w:t>。</w:t>
                  </w:r>
                </w:p>
              </w:tc>
            </w:tr>
            <w:tr w14:paraId="52B0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gridSpan w:val="2"/>
                  <w:vMerge w:val="restart"/>
                  <w:vAlign w:val="center"/>
                </w:tcPr>
                <w:p w14:paraId="46A2F59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2096" w:type="dxa"/>
                  <w:vAlign w:val="center"/>
                </w:tcPr>
                <w:p w14:paraId="6B71202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1777" w:type="dxa"/>
                  <w:vAlign w:val="center"/>
                </w:tcPr>
                <w:p w14:paraId="754FDBB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w:t>
                  </w:r>
                  <w:r>
                    <w:rPr>
                      <w:rFonts w:hint="eastAsia" w:cs="Times New Roman"/>
                      <w:b w:val="0"/>
                      <w:bCs w:val="0"/>
                      <w:color w:val="auto"/>
                      <w:spacing w:val="-10"/>
                      <w:sz w:val="21"/>
                      <w:szCs w:val="21"/>
                      <w:highlight w:val="none"/>
                      <w:vertAlign w:val="baseline"/>
                      <w:lang w:val="en-US" w:eastAsia="zh-CN"/>
                    </w:rPr>
                    <w:t>8</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c>
                <w:tcPr>
                  <w:tcW w:w="1774" w:type="dxa"/>
                  <w:vAlign w:val="center"/>
                </w:tcPr>
                <w:p w14:paraId="27EC88B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w:t>
                  </w:r>
                  <w:r>
                    <w:rPr>
                      <w:rFonts w:hint="eastAsia" w:cs="Times New Roman"/>
                      <w:b w:val="0"/>
                      <w:bCs w:val="0"/>
                      <w:color w:val="auto"/>
                      <w:spacing w:val="-10"/>
                      <w:sz w:val="21"/>
                      <w:szCs w:val="21"/>
                      <w:highlight w:val="none"/>
                      <w:vertAlign w:val="baseline"/>
                      <w:lang w:val="en-US" w:eastAsia="zh-CN"/>
                    </w:rPr>
                    <w:t>09</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c>
                <w:tcPr>
                  <w:tcW w:w="1790" w:type="dxa"/>
                  <w:vAlign w:val="center"/>
                </w:tcPr>
                <w:p w14:paraId="4F575E6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w:t>
                  </w:r>
                  <w:r>
                    <w:rPr>
                      <w:rFonts w:hint="eastAsia" w:cs="Times New Roman"/>
                      <w:b w:val="0"/>
                      <w:bCs w:val="0"/>
                      <w:color w:val="auto"/>
                      <w:spacing w:val="-10"/>
                      <w:sz w:val="21"/>
                      <w:szCs w:val="21"/>
                      <w:highlight w:val="none"/>
                      <w:vertAlign w:val="baseline"/>
                      <w:lang w:val="en-US" w:eastAsia="zh-CN"/>
                    </w:rPr>
                    <w:t>10</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r>
            <w:tr w14:paraId="222E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gridSpan w:val="2"/>
                  <w:vMerge w:val="continue"/>
                  <w:vAlign w:val="center"/>
                </w:tcPr>
                <w:p w14:paraId="76A781D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6" w:type="dxa"/>
                  <w:vAlign w:val="center"/>
                </w:tcPr>
                <w:p w14:paraId="0515357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1777" w:type="dxa"/>
                  <w:vAlign w:val="center"/>
                </w:tcPr>
                <w:p w14:paraId="4010647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c>
                <w:tcPr>
                  <w:tcW w:w="1774" w:type="dxa"/>
                  <w:vAlign w:val="center"/>
                </w:tcPr>
                <w:p w14:paraId="0C8C8C4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cs="Times New Roman"/>
                      <w:b w:val="0"/>
                      <w:bCs w:val="0"/>
                      <w:color w:val="auto"/>
                      <w:spacing w:val="-10"/>
                      <w:sz w:val="21"/>
                      <w:szCs w:val="21"/>
                      <w:highlight w:val="none"/>
                      <w:vertAlign w:val="baseline"/>
                      <w:lang w:val="en-US" w:eastAsia="zh-CN"/>
                    </w:rPr>
                    <w:t>颗粒物</w:t>
                  </w:r>
                </w:p>
              </w:tc>
              <w:tc>
                <w:tcPr>
                  <w:tcW w:w="1790" w:type="dxa"/>
                  <w:vAlign w:val="center"/>
                </w:tcPr>
                <w:p w14:paraId="5E5164C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val="0"/>
                      <w:color w:val="auto"/>
                      <w:spacing w:val="-10"/>
                      <w:sz w:val="21"/>
                      <w:szCs w:val="21"/>
                      <w:highlight w:val="none"/>
                      <w:vertAlign w:val="baseline"/>
                      <w:lang w:val="en-US" w:eastAsia="zh-CN"/>
                    </w:rPr>
                  </w:pPr>
                  <w:r>
                    <w:rPr>
                      <w:rFonts w:hint="eastAsia" w:cs="Times New Roman"/>
                      <w:b w:val="0"/>
                      <w:bCs w:val="0"/>
                      <w:color w:val="auto"/>
                      <w:spacing w:val="-10"/>
                      <w:sz w:val="21"/>
                      <w:szCs w:val="21"/>
                      <w:highlight w:val="none"/>
                      <w:vertAlign w:val="baseline"/>
                      <w:lang w:val="en-US" w:eastAsia="zh-CN"/>
                    </w:rPr>
                    <w:t>颗粒物</w:t>
                  </w:r>
                </w:p>
              </w:tc>
            </w:tr>
            <w:tr w14:paraId="2174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gridSpan w:val="2"/>
                  <w:vMerge w:val="continue"/>
                  <w:vAlign w:val="center"/>
                </w:tcPr>
                <w:p w14:paraId="53D14CD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6" w:type="dxa"/>
                  <w:vAlign w:val="center"/>
                </w:tcPr>
                <w:p w14:paraId="5F97839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1777" w:type="dxa"/>
                  <w:vAlign w:val="center"/>
                </w:tcPr>
                <w:p w14:paraId="0ED4AB1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c>
                <w:tcPr>
                  <w:tcW w:w="1774" w:type="dxa"/>
                  <w:vAlign w:val="center"/>
                </w:tcPr>
                <w:p w14:paraId="28F1E0D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c>
                <w:tcPr>
                  <w:tcW w:w="1790" w:type="dxa"/>
                  <w:vAlign w:val="center"/>
                </w:tcPr>
                <w:p w14:paraId="42E20D0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r>
          </w:tbl>
          <w:p w14:paraId="260562AD">
            <w:pPr>
              <w:keepNext w:val="0"/>
              <w:keepLines w:val="0"/>
              <w:pageBreakBefore w:val="0"/>
              <w:widowControl w:val="0"/>
              <w:kinsoku/>
              <w:wordWrap/>
              <w:overflowPunct/>
              <w:topLinePunct w:val="0"/>
              <w:autoSpaceDE/>
              <w:autoSpaceDN/>
              <w:bidi w:val="0"/>
              <w:adjustRightInd/>
              <w:snapToGrid/>
              <w:spacing w:line="348" w:lineRule="auto"/>
              <w:ind w:firstLine="506" w:firstLineChars="200"/>
              <w:textAlignment w:val="auto"/>
              <w:outlineLvl w:val="9"/>
              <w:rPr>
                <w:rFonts w:hint="default" w:ascii="Times New Roman" w:hAnsi="Times New Roman" w:eastAsia="宋体" w:cs="Times New Roman"/>
                <w:b/>
                <w:bCs/>
                <w:color w:val="auto"/>
                <w:spacing w:val="6"/>
                <w:kern w:val="2"/>
                <w:sz w:val="24"/>
                <w:szCs w:val="24"/>
                <w:highlight w:val="none"/>
                <w:lang w:val="en-US" w:eastAsia="zh-CN" w:bidi="ar-SA"/>
              </w:rPr>
            </w:pPr>
            <w:r>
              <w:rPr>
                <w:rFonts w:hint="eastAsia" w:cs="Times New Roman"/>
                <w:b/>
                <w:bCs/>
                <w:color w:val="auto"/>
                <w:spacing w:val="6"/>
                <w:kern w:val="2"/>
                <w:sz w:val="24"/>
                <w:szCs w:val="24"/>
                <w:highlight w:val="none"/>
                <w:lang w:val="en-US" w:eastAsia="zh-CN" w:bidi="ar-SA"/>
              </w:rPr>
              <w:t>⑨成品落料点转载粉尘</w:t>
            </w:r>
          </w:p>
          <w:p w14:paraId="02607639">
            <w:pPr>
              <w:adjustRightInd w:val="0"/>
              <w:snapToGrid w:val="0"/>
              <w:spacing w:line="360" w:lineRule="auto"/>
              <w:ind w:firstLine="480" w:firstLineChars="200"/>
              <w:rPr>
                <w:color w:val="auto"/>
                <w:sz w:val="24"/>
              </w:rPr>
            </w:pPr>
            <w:r>
              <w:rPr>
                <w:rFonts w:hint="eastAsia"/>
                <w:color w:val="auto"/>
                <w:sz w:val="24"/>
              </w:rPr>
              <w:t>项目</w:t>
            </w:r>
            <w:r>
              <w:rPr>
                <w:rFonts w:hint="eastAsia"/>
                <w:color w:val="auto"/>
                <w:sz w:val="24"/>
                <w:lang w:eastAsia="zh-CN"/>
              </w:rPr>
              <w:t>成品从烘干机</w:t>
            </w:r>
            <w:r>
              <w:rPr>
                <w:rFonts w:hint="eastAsia"/>
                <w:color w:val="auto"/>
                <w:sz w:val="24"/>
              </w:rPr>
              <w:t>输送至</w:t>
            </w:r>
            <w:r>
              <w:rPr>
                <w:rFonts w:hint="eastAsia"/>
                <w:color w:val="auto"/>
                <w:sz w:val="24"/>
                <w:lang w:eastAsia="zh-CN"/>
              </w:rPr>
              <w:t>成品堆棚成品</w:t>
            </w:r>
            <w:r>
              <w:rPr>
                <w:rFonts w:hint="eastAsia"/>
                <w:color w:val="auto"/>
                <w:sz w:val="24"/>
              </w:rPr>
              <w:t>的过程中，需经</w:t>
            </w:r>
            <w:r>
              <w:rPr>
                <w:rFonts w:hint="eastAsia"/>
                <w:color w:val="auto"/>
                <w:sz w:val="24"/>
                <w:lang w:eastAsia="zh-CN"/>
              </w:rPr>
              <w:t>两</w:t>
            </w:r>
            <w:r>
              <w:rPr>
                <w:rFonts w:hint="eastAsia"/>
                <w:color w:val="auto"/>
                <w:sz w:val="24"/>
              </w:rPr>
              <w:t>次转载</w:t>
            </w:r>
            <w:r>
              <w:rPr>
                <w:rFonts w:hint="eastAsia"/>
                <w:color w:val="auto"/>
                <w:sz w:val="24"/>
                <w:lang w:eastAsia="zh-CN"/>
              </w:rPr>
              <w:t>（出烘干机皮带转运站及进成品堆棚转运站）</w:t>
            </w:r>
            <w:r>
              <w:rPr>
                <w:rFonts w:hint="eastAsia" w:cs="Times New Roman"/>
                <w:color w:val="auto"/>
                <w:sz w:val="24"/>
                <w:lang w:val="en-US" w:eastAsia="zh-CN"/>
              </w:rPr>
              <w:t>，</w:t>
            </w:r>
            <w:r>
              <w:rPr>
                <w:rFonts w:hint="eastAsia"/>
                <w:color w:val="auto"/>
                <w:sz w:val="24"/>
                <w:lang w:eastAsia="zh-CN"/>
              </w:rPr>
              <w:t>从成品堆场成品输送至成品装车车间</w:t>
            </w:r>
            <w:r>
              <w:rPr>
                <w:rFonts w:hint="eastAsia"/>
                <w:color w:val="auto"/>
                <w:sz w:val="24"/>
              </w:rPr>
              <w:t>的过程中，需经</w:t>
            </w:r>
            <w:r>
              <w:rPr>
                <w:rFonts w:hint="eastAsia"/>
                <w:color w:val="auto"/>
                <w:sz w:val="24"/>
                <w:lang w:eastAsia="zh-CN"/>
              </w:rPr>
              <w:t>一</w:t>
            </w:r>
            <w:r>
              <w:rPr>
                <w:rFonts w:hint="eastAsia"/>
                <w:color w:val="auto"/>
                <w:sz w:val="24"/>
              </w:rPr>
              <w:t>次转载</w:t>
            </w:r>
            <w:r>
              <w:rPr>
                <w:rFonts w:hint="eastAsia"/>
                <w:color w:val="auto"/>
                <w:sz w:val="24"/>
                <w:lang w:eastAsia="zh-CN"/>
              </w:rPr>
              <w:t>，</w:t>
            </w:r>
            <w:r>
              <w:rPr>
                <w:rFonts w:hint="eastAsia" w:ascii="Times New Roman" w:hAnsi="Times New Roman" w:eastAsia="宋体" w:cs="Times New Roman"/>
                <w:color w:val="auto"/>
                <w:sz w:val="24"/>
                <w:lang w:val="en-US" w:eastAsia="zh-CN"/>
              </w:rPr>
              <w:t>成品装车车间输送至装车外售的过程中，</w:t>
            </w:r>
            <w:r>
              <w:rPr>
                <w:rFonts w:hint="eastAsia"/>
                <w:color w:val="auto"/>
                <w:sz w:val="24"/>
              </w:rPr>
              <w:t>需经</w:t>
            </w:r>
            <w:r>
              <w:rPr>
                <w:rFonts w:hint="eastAsia"/>
                <w:color w:val="auto"/>
                <w:sz w:val="24"/>
                <w:lang w:eastAsia="zh-CN"/>
              </w:rPr>
              <w:t>两</w:t>
            </w:r>
            <w:r>
              <w:rPr>
                <w:rFonts w:hint="eastAsia"/>
                <w:color w:val="auto"/>
                <w:sz w:val="24"/>
              </w:rPr>
              <w:t>次转载</w:t>
            </w:r>
            <w:r>
              <w:rPr>
                <w:rFonts w:hint="eastAsia" w:cs="Times New Roman"/>
                <w:color w:val="auto"/>
                <w:sz w:val="24"/>
                <w:lang w:val="en-US" w:eastAsia="zh-CN"/>
              </w:rPr>
              <w:t>，</w:t>
            </w:r>
            <w:r>
              <w:rPr>
                <w:rFonts w:hint="eastAsia"/>
                <w:color w:val="auto"/>
                <w:sz w:val="24"/>
                <w:lang w:eastAsia="zh-CN"/>
              </w:rPr>
              <w:t>因此本项目一、二期成品煤共需</w:t>
            </w:r>
            <w:r>
              <w:rPr>
                <w:rFonts w:hint="eastAsia"/>
                <w:color w:val="auto"/>
                <w:sz w:val="24"/>
                <w:lang w:val="en-US" w:eastAsia="zh-CN"/>
              </w:rPr>
              <w:t>5</w:t>
            </w:r>
            <w:r>
              <w:rPr>
                <w:rFonts w:hint="eastAsia"/>
                <w:color w:val="auto"/>
                <w:sz w:val="24"/>
                <w:lang w:eastAsia="zh-CN"/>
              </w:rPr>
              <w:t>次转载</w:t>
            </w:r>
            <w:r>
              <w:rPr>
                <w:rFonts w:hint="eastAsia"/>
                <w:color w:val="auto"/>
                <w:sz w:val="24"/>
              </w:rPr>
              <w:t>。</w:t>
            </w:r>
          </w:p>
          <w:p w14:paraId="30F9B614">
            <w:pPr>
              <w:adjustRightInd w:val="0"/>
              <w:snapToGrid w:val="0"/>
              <w:spacing w:line="360" w:lineRule="auto"/>
              <w:ind w:firstLine="480" w:firstLineChars="200"/>
              <w:rPr>
                <w:rFonts w:hint="eastAsia" w:eastAsia="宋体"/>
                <w:color w:val="auto"/>
                <w:sz w:val="24"/>
                <w:lang w:eastAsia="zh-CN"/>
              </w:rPr>
            </w:pPr>
            <w:r>
              <w:rPr>
                <w:rFonts w:hint="eastAsia"/>
                <w:color w:val="auto"/>
                <w:sz w:val="24"/>
              </w:rPr>
              <w:t>转载站内</w:t>
            </w:r>
            <w:r>
              <w:rPr>
                <w:rFonts w:hint="eastAsia"/>
                <w:color w:val="auto"/>
                <w:sz w:val="24"/>
                <w:lang w:eastAsia="zh-CN"/>
              </w:rPr>
              <w:t>成品</w:t>
            </w:r>
            <w:r>
              <w:rPr>
                <w:rFonts w:hint="eastAsia"/>
                <w:color w:val="auto"/>
                <w:sz w:val="24"/>
              </w:rPr>
              <w:t>煤落料将产生一定扬尘</w:t>
            </w:r>
            <w:r>
              <w:rPr>
                <w:rFonts w:hint="eastAsia"/>
                <w:color w:val="auto"/>
                <w:sz w:val="24"/>
                <w:lang w:eastAsia="zh-CN"/>
              </w:rPr>
              <w:t>，</w:t>
            </w:r>
            <w:r>
              <w:rPr>
                <w:rFonts w:hint="eastAsia"/>
                <w:color w:val="auto"/>
                <w:sz w:val="24"/>
              </w:rPr>
              <w:t>出烘干机皮带转运站落煤高度约</w:t>
            </w:r>
            <w:r>
              <w:rPr>
                <w:rFonts w:hint="eastAsia"/>
                <w:color w:val="auto"/>
                <w:sz w:val="24"/>
                <w:lang w:val="en-US" w:eastAsia="zh-CN"/>
              </w:rPr>
              <w:t>2</w:t>
            </w:r>
            <w:r>
              <w:rPr>
                <w:rFonts w:hint="eastAsia"/>
                <w:color w:val="auto"/>
                <w:sz w:val="24"/>
              </w:rPr>
              <w:t>m</w:t>
            </w:r>
            <w:r>
              <w:rPr>
                <w:rFonts w:hint="eastAsia"/>
                <w:color w:val="auto"/>
                <w:sz w:val="24"/>
                <w:lang w:eastAsia="zh-CN"/>
              </w:rPr>
              <w:t>，进成品堆棚转运站</w:t>
            </w:r>
            <w:r>
              <w:rPr>
                <w:rFonts w:hint="eastAsia"/>
                <w:color w:val="auto"/>
                <w:sz w:val="24"/>
              </w:rPr>
              <w:t>落煤高度约</w:t>
            </w:r>
            <w:r>
              <w:rPr>
                <w:rFonts w:hint="eastAsia"/>
                <w:color w:val="auto"/>
                <w:sz w:val="24"/>
                <w:lang w:val="en-US" w:eastAsia="zh-CN"/>
              </w:rPr>
              <w:t>1.8</w:t>
            </w:r>
            <w:r>
              <w:rPr>
                <w:rFonts w:hint="eastAsia"/>
                <w:color w:val="auto"/>
                <w:sz w:val="24"/>
              </w:rPr>
              <w:t>m</w:t>
            </w:r>
            <w:r>
              <w:rPr>
                <w:rFonts w:hint="eastAsia"/>
                <w:color w:val="auto"/>
                <w:sz w:val="24"/>
                <w:lang w:eastAsia="zh-CN"/>
              </w:rPr>
              <w:t>，出成品堆棚皮带转运站</w:t>
            </w:r>
            <w:r>
              <w:rPr>
                <w:rFonts w:hint="eastAsia"/>
                <w:color w:val="auto"/>
                <w:sz w:val="24"/>
              </w:rPr>
              <w:t>落煤高度约</w:t>
            </w:r>
            <w:r>
              <w:rPr>
                <w:rFonts w:hint="eastAsia"/>
                <w:color w:val="auto"/>
                <w:sz w:val="24"/>
                <w:lang w:val="en-US" w:eastAsia="zh-CN"/>
              </w:rPr>
              <w:t>2.5</w:t>
            </w:r>
            <w:r>
              <w:rPr>
                <w:rFonts w:hint="eastAsia"/>
                <w:color w:val="auto"/>
                <w:sz w:val="24"/>
              </w:rPr>
              <w:t>m</w:t>
            </w:r>
            <w:r>
              <w:rPr>
                <w:rFonts w:hint="eastAsia"/>
                <w:color w:val="auto"/>
                <w:sz w:val="24"/>
                <w:lang w:eastAsia="zh-CN"/>
              </w:rPr>
              <w:t>，成品装车车间</w:t>
            </w:r>
            <w:r>
              <w:rPr>
                <w:rFonts w:hint="eastAsia"/>
                <w:color w:val="auto"/>
                <w:sz w:val="24"/>
              </w:rPr>
              <w:t>皮带转运站落煤高度约</w:t>
            </w:r>
            <w:r>
              <w:rPr>
                <w:rFonts w:hint="eastAsia"/>
                <w:color w:val="auto"/>
                <w:sz w:val="24"/>
                <w:lang w:val="en-US" w:eastAsia="zh-CN"/>
              </w:rPr>
              <w:t>2</w:t>
            </w:r>
            <w:r>
              <w:rPr>
                <w:rFonts w:hint="eastAsia"/>
                <w:color w:val="auto"/>
                <w:sz w:val="24"/>
              </w:rPr>
              <w:t>m</w:t>
            </w:r>
            <w:r>
              <w:rPr>
                <w:rFonts w:hint="eastAsia"/>
                <w:color w:val="auto"/>
                <w:sz w:val="24"/>
                <w:lang w:eastAsia="zh-CN"/>
              </w:rPr>
              <w:t>。</w:t>
            </w:r>
          </w:p>
          <w:p w14:paraId="08CDC2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color w:val="auto"/>
                <w:sz w:val="24"/>
                <w:highlight w:val="none"/>
                <w:lang w:val="en-US"/>
              </w:rPr>
              <w:t>采用“秦皇岛港口煤炭装卸起尘及其扩散规律研究”得出的公式计算，计算公式如下：</w:t>
            </w:r>
          </w:p>
          <w:p w14:paraId="5137ECC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Q=0.03V</w:t>
            </w:r>
            <w:r>
              <w:rPr>
                <w:rFonts w:hint="default" w:ascii="Times New Roman" w:hAnsi="Times New Roman" w:eastAsia="宋体" w:cs="Times New Roman"/>
                <w:b w:val="0"/>
                <w:bCs w:val="0"/>
                <w:color w:val="auto"/>
                <w:sz w:val="24"/>
                <w:highlight w:val="none"/>
                <w:vertAlign w:val="superscript"/>
                <w:lang w:val="en-US" w:eastAsia="zh-CN"/>
              </w:rPr>
              <w:t>1.8</w:t>
            </w:r>
            <w:r>
              <w:rPr>
                <w:rFonts w:hint="default" w:ascii="Times New Roman" w:hAnsi="Times New Roman" w:eastAsia="宋体" w:cs="Times New Roman"/>
                <w:b w:val="0"/>
                <w:bCs w:val="0"/>
                <w:color w:val="auto"/>
                <w:sz w:val="24"/>
                <w:highlight w:val="none"/>
                <w:vertAlign w:val="baseline"/>
                <w:lang w:val="en-US" w:eastAsia="zh-CN"/>
              </w:rPr>
              <w:t>·H</w:t>
            </w:r>
            <w:r>
              <w:rPr>
                <w:rFonts w:hint="default" w:ascii="Times New Roman" w:hAnsi="Times New Roman" w:eastAsia="宋体" w:cs="Times New Roman"/>
                <w:b w:val="0"/>
                <w:bCs w:val="0"/>
                <w:color w:val="auto"/>
                <w:sz w:val="24"/>
                <w:highlight w:val="none"/>
                <w:vertAlign w:val="superscript"/>
                <w:lang w:val="en-US" w:eastAsia="zh-CN"/>
              </w:rPr>
              <w:t>1.23</w:t>
            </w:r>
            <w:r>
              <w:rPr>
                <w:rFonts w:hint="default" w:ascii="Times New Roman" w:hAnsi="Times New Roman" w:eastAsia="宋体" w:cs="Times New Roman"/>
                <w:b w:val="0"/>
                <w:bCs w:val="0"/>
                <w:color w:val="auto"/>
                <w:sz w:val="24"/>
                <w:highlight w:val="none"/>
                <w:vertAlign w:val="baseline"/>
                <w:lang w:val="en-US" w:eastAsia="zh-CN"/>
              </w:rPr>
              <w:t>·e</w:t>
            </w:r>
            <w:r>
              <w:rPr>
                <w:rFonts w:hint="default" w:ascii="Times New Roman" w:hAnsi="Times New Roman" w:eastAsia="宋体" w:cs="Times New Roman"/>
                <w:b w:val="0"/>
                <w:bCs w:val="0"/>
                <w:color w:val="auto"/>
                <w:sz w:val="24"/>
                <w:highlight w:val="none"/>
                <w:vertAlign w:val="superscript"/>
                <w:lang w:val="en-US" w:eastAsia="zh-CN"/>
              </w:rPr>
              <w:t>-0.23w</w:t>
            </w:r>
          </w:p>
          <w:p w14:paraId="62657B3A">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式中：Q</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煤炭装卸起尘量，kg/t；</w:t>
            </w:r>
          </w:p>
          <w:p w14:paraId="07C0CDCE">
            <w:pPr>
              <w:keepNext w:val="0"/>
              <w:keepLines w:val="0"/>
              <w:pageBreakBefore w:val="0"/>
              <w:widowControl w:val="0"/>
              <w:kinsoku/>
              <w:wordWrap/>
              <w:overflowPunct/>
              <w:topLinePunct w:val="0"/>
              <w:autoSpaceDE/>
              <w:autoSpaceDN/>
              <w:bidi w:val="0"/>
              <w:adjustRightInd w:val="0"/>
              <w:snapToGrid w:val="0"/>
              <w:spacing w:line="360" w:lineRule="auto"/>
              <w:ind w:firstLine="1262" w:firstLineChars="526"/>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V</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风速，m/s，取</w:t>
            </w:r>
            <w:r>
              <w:rPr>
                <w:rFonts w:hint="eastAsia" w:ascii="Times New Roman" w:hAnsi="Times New Roman" w:eastAsia="宋体" w:cs="Times New Roman"/>
                <w:color w:val="auto"/>
                <w:sz w:val="24"/>
                <w:highlight w:val="none"/>
                <w:lang w:val="en-US" w:eastAsia="zh-CN"/>
              </w:rPr>
              <w:t>0.5</w:t>
            </w:r>
            <w:r>
              <w:rPr>
                <w:rFonts w:hint="default" w:ascii="Times New Roman" w:hAnsi="Times New Roman" w:eastAsia="宋体" w:cs="Times New Roman"/>
                <w:color w:val="auto"/>
                <w:sz w:val="24"/>
                <w:highlight w:val="none"/>
                <w:lang w:val="en-US"/>
              </w:rPr>
              <w:t>m/s</w:t>
            </w:r>
            <w:r>
              <w:rPr>
                <w:rFonts w:hint="eastAsia"/>
                <w:color w:val="auto"/>
                <w:sz w:val="24"/>
              </w:rPr>
              <w:t>（</w:t>
            </w:r>
            <w:r>
              <w:rPr>
                <w:rFonts w:hint="eastAsia"/>
                <w:color w:val="auto"/>
                <w:sz w:val="24"/>
                <w:lang w:eastAsia="zh-CN"/>
              </w:rPr>
              <w:t>转载站</w:t>
            </w:r>
            <w:r>
              <w:rPr>
                <w:rFonts w:hint="eastAsia"/>
                <w:color w:val="auto"/>
                <w:sz w:val="24"/>
              </w:rPr>
              <w:t>封闭式设置，考虑扰动风速取0.5</w:t>
            </w:r>
            <w:r>
              <w:rPr>
                <w:color w:val="auto"/>
                <w:sz w:val="24"/>
              </w:rPr>
              <w:t>m/s</w:t>
            </w:r>
            <w:r>
              <w:rPr>
                <w:rFonts w:hint="eastAsia"/>
                <w:color w:val="auto"/>
                <w:sz w:val="24"/>
              </w:rPr>
              <w:t>）</w:t>
            </w:r>
            <w:r>
              <w:rPr>
                <w:rFonts w:hint="default" w:ascii="Times New Roman" w:hAnsi="Times New Roman" w:eastAsia="宋体" w:cs="Times New Roman"/>
                <w:color w:val="auto"/>
                <w:sz w:val="24"/>
                <w:highlight w:val="none"/>
                <w:lang w:val="en-US"/>
              </w:rPr>
              <w:t>；</w:t>
            </w:r>
          </w:p>
          <w:p w14:paraId="77D72F43">
            <w:pPr>
              <w:keepNext w:val="0"/>
              <w:keepLines w:val="0"/>
              <w:pageBreakBefore w:val="0"/>
              <w:widowControl w:val="0"/>
              <w:kinsoku/>
              <w:wordWrap/>
              <w:overflowPunct/>
              <w:topLinePunct w:val="0"/>
              <w:autoSpaceDE/>
              <w:autoSpaceDN/>
              <w:bidi w:val="0"/>
              <w:adjustRightInd w:val="0"/>
              <w:snapToGrid w:val="0"/>
              <w:spacing w:line="360" w:lineRule="auto"/>
              <w:ind w:firstLine="1262" w:firstLineChars="526"/>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W</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含水率，%，取</w:t>
            </w:r>
            <w:r>
              <w:rPr>
                <w:rFonts w:hint="eastAsia" w:cs="Times New Roman"/>
                <w:color w:val="auto"/>
                <w:sz w:val="24"/>
                <w:highlight w:val="none"/>
                <w:lang w:val="en-US" w:eastAsia="zh-CN"/>
              </w:rPr>
              <w:t>30</w:t>
            </w:r>
            <w:r>
              <w:rPr>
                <w:rFonts w:hint="default" w:ascii="Times New Roman" w:hAnsi="Times New Roman" w:eastAsia="宋体" w:cs="Times New Roman"/>
                <w:color w:val="auto"/>
                <w:sz w:val="24"/>
                <w:highlight w:val="none"/>
                <w:lang w:val="en-US"/>
              </w:rPr>
              <w:t>%</w:t>
            </w:r>
          </w:p>
          <w:p w14:paraId="79728820">
            <w:pPr>
              <w:keepNext w:val="0"/>
              <w:keepLines w:val="0"/>
              <w:pageBreakBefore w:val="0"/>
              <w:widowControl w:val="0"/>
              <w:kinsoku/>
              <w:wordWrap/>
              <w:overflowPunct/>
              <w:topLinePunct w:val="0"/>
              <w:autoSpaceDE/>
              <w:autoSpaceDN/>
              <w:bidi w:val="0"/>
              <w:adjustRightInd w:val="0"/>
              <w:snapToGrid w:val="0"/>
              <w:spacing w:line="360" w:lineRule="auto"/>
              <w:ind w:firstLine="1262" w:firstLineChars="526"/>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H</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装卸落差高度，</w:t>
            </w:r>
            <w:r>
              <w:rPr>
                <w:rFonts w:hint="default" w:ascii="Times New Roman" w:hAnsi="Times New Roman" w:eastAsia="宋体" w:cs="Times New Roman"/>
                <w:color w:val="auto"/>
                <w:sz w:val="24"/>
                <w:highlight w:val="none"/>
                <w:lang w:val="en-US" w:eastAsia="zh-CN"/>
              </w:rPr>
              <w:t>取</w:t>
            </w:r>
            <w:r>
              <w:rPr>
                <w:rFonts w:hint="eastAsia" w:cs="Times New Roman"/>
                <w:color w:val="auto"/>
                <w:sz w:val="24"/>
                <w:highlight w:val="none"/>
                <w:lang w:val="en-US" w:eastAsia="zh-CN"/>
              </w:rPr>
              <w:t>1.8m、</w:t>
            </w:r>
            <w:r>
              <w:rPr>
                <w:rFonts w:hint="eastAsia"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rPr>
              <w:t>m</w:t>
            </w:r>
            <w:r>
              <w:rPr>
                <w:rFonts w:hint="eastAsia" w:ascii="Times New Roman" w:hAnsi="Times New Roman" w:eastAsia="宋体" w:cs="Times New Roman"/>
                <w:color w:val="auto"/>
                <w:sz w:val="24"/>
                <w:highlight w:val="none"/>
                <w:lang w:val="en-US" w:eastAsia="zh-CN"/>
              </w:rPr>
              <w:t>及2.5m</w:t>
            </w:r>
            <w:r>
              <w:rPr>
                <w:rFonts w:hint="default" w:ascii="Times New Roman" w:hAnsi="Times New Roman" w:eastAsia="宋体" w:cs="Times New Roman"/>
                <w:color w:val="auto"/>
                <w:sz w:val="24"/>
                <w:highlight w:val="none"/>
                <w:lang w:val="en-US"/>
              </w:rPr>
              <w:t>。</w:t>
            </w:r>
          </w:p>
          <w:p w14:paraId="0EF9D4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rPr>
              <w:t>根据公式计</w:t>
            </w:r>
            <w:r>
              <w:rPr>
                <w:rFonts w:hint="default" w:ascii="Times New Roman" w:hAnsi="Times New Roman" w:eastAsia="宋体" w:cs="Times New Roman"/>
                <w:color w:val="auto"/>
                <w:sz w:val="24"/>
                <w:szCs w:val="24"/>
                <w:highlight w:val="none"/>
                <w:lang w:val="en-US"/>
              </w:rPr>
              <w:t>算得本项目</w:t>
            </w:r>
            <w:r>
              <w:rPr>
                <w:rFonts w:hint="eastAsia"/>
                <w:color w:val="auto"/>
                <w:sz w:val="24"/>
              </w:rPr>
              <w:t>出烘干机皮带转运站</w:t>
            </w:r>
            <w:r>
              <w:rPr>
                <w:rFonts w:hint="eastAsia"/>
                <w:color w:val="auto"/>
                <w:sz w:val="24"/>
                <w:lang w:eastAsia="zh-CN"/>
              </w:rPr>
              <w:t>落</w:t>
            </w:r>
            <w:r>
              <w:rPr>
                <w:rFonts w:hint="eastAsia" w:ascii="Times New Roman" w:hAnsi="Times New Roman" w:eastAsia="宋体" w:cs="Times New Roman"/>
                <w:color w:val="auto"/>
                <w:sz w:val="24"/>
                <w:szCs w:val="24"/>
                <w:highlight w:val="none"/>
                <w:lang w:val="en-US" w:eastAsia="zh-CN"/>
              </w:rPr>
              <w:t>料粉尘</w:t>
            </w:r>
            <w:r>
              <w:rPr>
                <w:rFonts w:hint="default" w:ascii="Times New Roman" w:hAnsi="Times New Roman" w:eastAsia="宋体" w:cs="Times New Roman"/>
                <w:color w:val="auto"/>
                <w:sz w:val="24"/>
                <w:szCs w:val="24"/>
                <w:highlight w:val="none"/>
                <w:lang w:val="en-US"/>
              </w:rPr>
              <w:t>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01</w:t>
            </w:r>
            <w:r>
              <w:rPr>
                <w:rFonts w:hint="eastAsia" w:cs="Times New Roman"/>
                <w:color w:val="auto"/>
                <w:sz w:val="24"/>
                <w:szCs w:val="24"/>
                <w:highlight w:val="none"/>
                <w:lang w:val="en-US" w:eastAsia="zh-CN"/>
              </w:rPr>
              <w:t>89</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t，</w:t>
            </w:r>
            <w:r>
              <w:rPr>
                <w:rFonts w:hint="eastAsia"/>
                <w:color w:val="auto"/>
                <w:sz w:val="24"/>
                <w:lang w:eastAsia="zh-CN"/>
              </w:rPr>
              <w:t>进成品堆棚转运站落</w:t>
            </w:r>
            <w:r>
              <w:rPr>
                <w:rFonts w:hint="eastAsia" w:ascii="Times New Roman" w:hAnsi="Times New Roman" w:eastAsia="宋体" w:cs="Times New Roman"/>
                <w:color w:val="auto"/>
                <w:sz w:val="24"/>
                <w:szCs w:val="24"/>
                <w:highlight w:val="none"/>
                <w:lang w:val="en-US" w:eastAsia="zh-CN"/>
              </w:rPr>
              <w:t>料粉尘</w:t>
            </w:r>
            <w:r>
              <w:rPr>
                <w:rFonts w:hint="default" w:ascii="Times New Roman" w:hAnsi="Times New Roman" w:eastAsia="宋体" w:cs="Times New Roman"/>
                <w:color w:val="auto"/>
                <w:sz w:val="24"/>
                <w:szCs w:val="24"/>
                <w:highlight w:val="none"/>
                <w:lang w:val="en-US"/>
              </w:rPr>
              <w:t>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166</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t，</w:t>
            </w:r>
            <w:r>
              <w:rPr>
                <w:rFonts w:hint="eastAsia"/>
                <w:color w:val="auto"/>
                <w:sz w:val="24"/>
                <w:lang w:eastAsia="zh-CN"/>
              </w:rPr>
              <w:t>出成品堆棚皮带转运站落</w:t>
            </w:r>
            <w:r>
              <w:rPr>
                <w:rFonts w:hint="eastAsia" w:ascii="Times New Roman" w:hAnsi="Times New Roman" w:eastAsia="宋体" w:cs="Times New Roman"/>
                <w:color w:val="auto"/>
                <w:sz w:val="24"/>
                <w:szCs w:val="24"/>
                <w:highlight w:val="none"/>
                <w:lang w:val="en-US" w:eastAsia="zh-CN"/>
              </w:rPr>
              <w:t>料粉尘</w:t>
            </w:r>
            <w:r>
              <w:rPr>
                <w:rFonts w:hint="default" w:ascii="Times New Roman" w:hAnsi="Times New Roman" w:eastAsia="宋体" w:cs="Times New Roman"/>
                <w:color w:val="auto"/>
                <w:sz w:val="24"/>
                <w:szCs w:val="24"/>
                <w:highlight w:val="none"/>
                <w:lang w:val="en-US"/>
              </w:rPr>
              <w:t>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02</w:t>
            </w:r>
            <w:r>
              <w:rPr>
                <w:rFonts w:hint="eastAsia"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lang w:val="en-US" w:eastAsia="zh-CN"/>
              </w:rPr>
              <w:t>，</w:t>
            </w:r>
            <w:r>
              <w:rPr>
                <w:rFonts w:hint="eastAsia"/>
                <w:color w:val="auto"/>
                <w:sz w:val="24"/>
                <w:lang w:eastAsia="zh-CN"/>
              </w:rPr>
              <w:t>成品装车车间</w:t>
            </w:r>
            <w:r>
              <w:rPr>
                <w:rFonts w:hint="eastAsia"/>
                <w:color w:val="auto"/>
                <w:sz w:val="24"/>
              </w:rPr>
              <w:t>皮带转运站</w:t>
            </w:r>
            <w:r>
              <w:rPr>
                <w:rFonts w:hint="eastAsia"/>
                <w:color w:val="auto"/>
                <w:sz w:val="24"/>
                <w:lang w:eastAsia="zh-CN"/>
              </w:rPr>
              <w:t>落</w:t>
            </w:r>
            <w:r>
              <w:rPr>
                <w:rFonts w:hint="eastAsia" w:ascii="Times New Roman" w:hAnsi="Times New Roman" w:eastAsia="宋体" w:cs="Times New Roman"/>
                <w:color w:val="auto"/>
                <w:sz w:val="24"/>
                <w:szCs w:val="24"/>
                <w:highlight w:val="none"/>
                <w:lang w:val="en-US" w:eastAsia="zh-CN"/>
              </w:rPr>
              <w:t>料粉尘</w:t>
            </w:r>
            <w:r>
              <w:rPr>
                <w:rFonts w:hint="default" w:ascii="Times New Roman" w:hAnsi="Times New Roman" w:eastAsia="宋体" w:cs="Times New Roman"/>
                <w:color w:val="auto"/>
                <w:sz w:val="24"/>
                <w:szCs w:val="24"/>
                <w:highlight w:val="none"/>
                <w:lang w:val="en-US"/>
              </w:rPr>
              <w:t>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189</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t，</w:t>
            </w:r>
            <w:r>
              <w:rPr>
                <w:rFonts w:hint="eastAsia" w:cs="Times New Roman"/>
                <w:color w:val="auto"/>
                <w:sz w:val="24"/>
                <w:szCs w:val="24"/>
                <w:highlight w:val="none"/>
                <w:lang w:val="en-US" w:eastAsia="zh-CN"/>
              </w:rPr>
              <w:t>本项目转载成品煤量为</w:t>
            </w:r>
            <w:r>
              <w:rPr>
                <w:rFonts w:hint="eastAsia" w:cs="Times New Roman"/>
                <w:i w:val="0"/>
                <w:iCs w:val="0"/>
                <w:color w:val="auto"/>
                <w:kern w:val="2"/>
                <w:sz w:val="24"/>
                <w:szCs w:val="24"/>
                <w:highlight w:val="none"/>
                <w:u w:val="none"/>
                <w:lang w:val="en-US" w:eastAsia="zh-CN" w:bidi="ar-SA"/>
              </w:rPr>
              <w:t>714074.1223</w:t>
            </w:r>
            <w:r>
              <w:rPr>
                <w:rFonts w:hint="eastAsia" w:cs="Times New Roman"/>
                <w:color w:val="auto"/>
                <w:sz w:val="24"/>
                <w:szCs w:val="24"/>
                <w:highlight w:val="none"/>
                <w:lang w:val="en-US" w:eastAsia="zh-CN"/>
              </w:rPr>
              <w:t>t/a，则</w:t>
            </w:r>
            <w:r>
              <w:rPr>
                <w:rFonts w:hint="eastAsia"/>
                <w:color w:val="auto"/>
                <w:sz w:val="24"/>
              </w:rPr>
              <w:t>出烘干机皮带转运站</w:t>
            </w:r>
            <w:r>
              <w:rPr>
                <w:rFonts w:hint="eastAsia"/>
                <w:color w:val="auto"/>
                <w:sz w:val="24"/>
                <w:lang w:eastAsia="zh-CN"/>
              </w:rPr>
              <w:t>落</w:t>
            </w:r>
            <w:r>
              <w:rPr>
                <w:rFonts w:hint="eastAsia" w:ascii="Times New Roman" w:hAnsi="Times New Roman" w:eastAsia="宋体" w:cs="Times New Roman"/>
                <w:color w:val="auto"/>
                <w:sz w:val="24"/>
                <w:szCs w:val="24"/>
                <w:highlight w:val="none"/>
                <w:lang w:val="en-US" w:eastAsia="zh-CN"/>
              </w:rPr>
              <w:t>料粉尘</w:t>
            </w:r>
            <w:r>
              <w:rPr>
                <w:rFonts w:hint="default" w:ascii="Times New Roman" w:hAnsi="Times New Roman" w:eastAsia="宋体" w:cs="Times New Roman"/>
                <w:color w:val="auto"/>
                <w:sz w:val="24"/>
                <w:szCs w:val="24"/>
                <w:highlight w:val="none"/>
                <w:lang w:val="en-US"/>
              </w:rPr>
              <w:t>量</w:t>
            </w:r>
            <w:r>
              <w:rPr>
                <w:rFonts w:hint="eastAsia"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13.4960</w:t>
            </w:r>
            <w:r>
              <w:rPr>
                <w:rFonts w:hint="eastAsia" w:ascii="Times New Roman" w:hAnsi="Times New Roman" w:eastAsia="宋体" w:cs="Times New Roman"/>
                <w:color w:val="auto"/>
                <w:sz w:val="24"/>
                <w:szCs w:val="24"/>
                <w:highlight w:val="none"/>
                <w:lang w:val="en-US" w:eastAsia="zh-CN"/>
              </w:rPr>
              <w:t>t/a，</w:t>
            </w:r>
            <w:r>
              <w:rPr>
                <w:rFonts w:hint="eastAsia"/>
                <w:color w:val="auto"/>
                <w:sz w:val="24"/>
                <w:lang w:eastAsia="zh-CN"/>
              </w:rPr>
              <w:t>进成品堆棚转运站落</w:t>
            </w:r>
            <w:r>
              <w:rPr>
                <w:rFonts w:hint="eastAsia" w:ascii="Times New Roman" w:hAnsi="Times New Roman" w:eastAsia="宋体" w:cs="Times New Roman"/>
                <w:color w:val="auto"/>
                <w:sz w:val="24"/>
                <w:szCs w:val="24"/>
                <w:highlight w:val="none"/>
                <w:lang w:val="en-US" w:eastAsia="zh-CN"/>
              </w:rPr>
              <w:t>料粉尘</w:t>
            </w:r>
            <w:r>
              <w:rPr>
                <w:rFonts w:hint="default" w:ascii="Times New Roman" w:hAnsi="Times New Roman" w:eastAsia="宋体" w:cs="Times New Roman"/>
                <w:color w:val="auto"/>
                <w:sz w:val="24"/>
                <w:szCs w:val="24"/>
                <w:highlight w:val="none"/>
                <w:lang w:val="en-US"/>
              </w:rPr>
              <w:t>量</w:t>
            </w:r>
            <w:r>
              <w:rPr>
                <w:rFonts w:hint="eastAsia"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11.8536</w:t>
            </w:r>
            <w:r>
              <w:rPr>
                <w:rFonts w:hint="eastAsia" w:ascii="Times New Roman" w:hAnsi="Times New Roman" w:eastAsia="宋体" w:cs="Times New Roman"/>
                <w:color w:val="auto"/>
                <w:sz w:val="24"/>
                <w:szCs w:val="24"/>
                <w:highlight w:val="none"/>
                <w:lang w:val="en-US" w:eastAsia="zh-CN"/>
              </w:rPr>
              <w:t>t/a，</w:t>
            </w:r>
            <w:r>
              <w:rPr>
                <w:rFonts w:hint="eastAsia"/>
                <w:color w:val="auto"/>
                <w:sz w:val="24"/>
                <w:highlight w:val="none"/>
                <w:lang w:eastAsia="zh-CN"/>
              </w:rPr>
              <w:t>出</w:t>
            </w:r>
            <w:r>
              <w:rPr>
                <w:rFonts w:hint="eastAsia"/>
                <w:color w:val="auto"/>
                <w:sz w:val="24"/>
                <w:lang w:eastAsia="zh-CN"/>
              </w:rPr>
              <w:t>成品堆棚皮带转运站落</w:t>
            </w:r>
            <w:r>
              <w:rPr>
                <w:rFonts w:hint="eastAsia" w:ascii="Times New Roman" w:hAnsi="Times New Roman" w:eastAsia="宋体" w:cs="Times New Roman"/>
                <w:color w:val="auto"/>
                <w:sz w:val="24"/>
                <w:szCs w:val="24"/>
                <w:highlight w:val="none"/>
                <w:lang w:val="en-US" w:eastAsia="zh-CN"/>
              </w:rPr>
              <w:t>料粉尘</w:t>
            </w:r>
            <w:r>
              <w:rPr>
                <w:rFonts w:hint="default" w:ascii="Times New Roman" w:hAnsi="Times New Roman" w:eastAsia="宋体" w:cs="Times New Roman"/>
                <w:color w:val="auto"/>
                <w:sz w:val="24"/>
                <w:szCs w:val="24"/>
                <w:highlight w:val="none"/>
                <w:lang w:val="en-US"/>
              </w:rPr>
              <w:t>量</w:t>
            </w:r>
            <w:r>
              <w:rPr>
                <w:rFonts w:hint="eastAsia"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17.7090</w:t>
            </w:r>
            <w:r>
              <w:rPr>
                <w:rFonts w:hint="eastAsia" w:ascii="Times New Roman" w:hAnsi="Times New Roman" w:eastAsia="宋体" w:cs="Times New Roman"/>
                <w:color w:val="auto"/>
                <w:sz w:val="24"/>
                <w:szCs w:val="24"/>
                <w:highlight w:val="none"/>
                <w:lang w:val="en-US" w:eastAsia="zh-CN"/>
              </w:rPr>
              <w:t>t/a，</w:t>
            </w:r>
            <w:r>
              <w:rPr>
                <w:rFonts w:hint="eastAsia"/>
                <w:color w:val="auto"/>
                <w:sz w:val="24"/>
                <w:lang w:eastAsia="zh-CN"/>
              </w:rPr>
              <w:t>成品装车车间</w:t>
            </w:r>
            <w:r>
              <w:rPr>
                <w:rFonts w:hint="eastAsia"/>
                <w:color w:val="auto"/>
                <w:sz w:val="24"/>
              </w:rPr>
              <w:t>皮带转运站</w:t>
            </w:r>
            <w:r>
              <w:rPr>
                <w:rFonts w:hint="eastAsia"/>
                <w:color w:val="auto"/>
                <w:sz w:val="24"/>
                <w:lang w:eastAsia="zh-CN"/>
              </w:rPr>
              <w:t>落</w:t>
            </w:r>
            <w:r>
              <w:rPr>
                <w:rFonts w:hint="eastAsia" w:ascii="Times New Roman" w:hAnsi="Times New Roman" w:eastAsia="宋体" w:cs="Times New Roman"/>
                <w:color w:val="auto"/>
                <w:sz w:val="24"/>
                <w:szCs w:val="24"/>
                <w:highlight w:val="none"/>
                <w:lang w:val="en-US" w:eastAsia="zh-CN"/>
              </w:rPr>
              <w:t>料粉尘</w:t>
            </w:r>
            <w:r>
              <w:rPr>
                <w:rFonts w:hint="default" w:ascii="Times New Roman" w:hAnsi="Times New Roman" w:eastAsia="宋体" w:cs="Times New Roman"/>
                <w:color w:val="auto"/>
                <w:sz w:val="24"/>
                <w:szCs w:val="24"/>
                <w:highlight w:val="none"/>
                <w:lang w:val="en-US"/>
              </w:rPr>
              <w:t>量为</w:t>
            </w:r>
            <w:r>
              <w:rPr>
                <w:rFonts w:hint="eastAsia" w:cs="Times New Roman"/>
                <w:color w:val="auto"/>
                <w:sz w:val="24"/>
                <w:szCs w:val="24"/>
                <w:highlight w:val="none"/>
                <w:lang w:val="en-US" w:eastAsia="zh-CN"/>
              </w:rPr>
              <w:t>26.9920</w:t>
            </w:r>
            <w:r>
              <w:rPr>
                <w:rFonts w:hint="eastAsia"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（两次转运）</w:t>
            </w:r>
            <w:r>
              <w:rPr>
                <w:rFonts w:hint="eastAsia" w:ascii="Times New Roman" w:hAnsi="Times New Roman" w:eastAsia="宋体" w:cs="Times New Roman"/>
                <w:color w:val="auto"/>
                <w:sz w:val="24"/>
                <w:szCs w:val="24"/>
                <w:highlight w:val="none"/>
                <w:lang w:val="en-US" w:eastAsia="zh-CN"/>
              </w:rPr>
              <w:t>。</w:t>
            </w:r>
          </w:p>
          <w:p w14:paraId="35CA38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eastAsia="宋体"/>
                <w:color w:val="auto"/>
                <w:sz w:val="24"/>
                <w:highlight w:val="yellow"/>
                <w:lang w:val="en-US" w:eastAsia="zh-CN"/>
              </w:rPr>
            </w:pPr>
            <w:r>
              <w:rPr>
                <w:rFonts w:hint="eastAsia"/>
                <w:color w:val="auto"/>
                <w:sz w:val="24"/>
              </w:rPr>
              <w:t>则</w:t>
            </w:r>
            <w:r>
              <w:rPr>
                <w:rFonts w:hint="eastAsia"/>
                <w:color w:val="auto"/>
                <w:sz w:val="24"/>
                <w:lang w:eastAsia="zh-CN"/>
              </w:rPr>
              <w:t>成品</w:t>
            </w:r>
            <w:r>
              <w:rPr>
                <w:rFonts w:hint="eastAsia"/>
                <w:color w:val="auto"/>
                <w:sz w:val="24"/>
              </w:rPr>
              <w:t>转载</w:t>
            </w:r>
            <w:r>
              <w:rPr>
                <w:rFonts w:hint="eastAsia"/>
                <w:color w:val="auto"/>
                <w:sz w:val="24"/>
                <w:lang w:eastAsia="zh-CN"/>
              </w:rPr>
              <w:t>点共产生粉</w:t>
            </w:r>
            <w:r>
              <w:rPr>
                <w:rFonts w:hint="eastAsia"/>
                <w:color w:val="auto"/>
                <w:sz w:val="24"/>
                <w:highlight w:val="none"/>
                <w:lang w:eastAsia="zh-CN"/>
              </w:rPr>
              <w:t>尘</w:t>
            </w:r>
            <w:r>
              <w:rPr>
                <w:rFonts w:hint="eastAsia"/>
                <w:color w:val="auto"/>
                <w:sz w:val="24"/>
                <w:highlight w:val="none"/>
                <w:lang w:val="en-US" w:eastAsia="zh-CN"/>
              </w:rPr>
              <w:t>70.0507t/a。</w:t>
            </w:r>
          </w:p>
          <w:p w14:paraId="50CE5B94">
            <w:pPr>
              <w:adjustRightInd w:val="0"/>
              <w:snapToGrid w:val="0"/>
              <w:spacing w:line="360" w:lineRule="auto"/>
              <w:ind w:firstLine="482" w:firstLineChars="200"/>
              <w:rPr>
                <w:rFonts w:hint="default"/>
                <w:b/>
                <w:bCs/>
                <w:color w:val="auto"/>
                <w:sz w:val="24"/>
                <w:lang w:val="en-US" w:eastAsia="zh-CN"/>
              </w:rPr>
            </w:pPr>
            <w:r>
              <w:rPr>
                <w:rFonts w:hint="eastAsia"/>
                <w:b/>
                <w:bCs/>
                <w:color w:val="auto"/>
                <w:sz w:val="24"/>
                <w:lang w:val="en-US" w:eastAsia="zh-CN"/>
              </w:rPr>
              <w:t>A：</w:t>
            </w:r>
            <w:r>
              <w:rPr>
                <w:rFonts w:hint="eastAsia"/>
                <w:b/>
                <w:bCs/>
                <w:color w:val="auto"/>
                <w:sz w:val="24"/>
              </w:rPr>
              <w:t>出烘干机皮带转运站</w:t>
            </w:r>
            <w:r>
              <w:rPr>
                <w:rFonts w:hint="eastAsia"/>
                <w:b/>
                <w:bCs/>
                <w:color w:val="auto"/>
                <w:sz w:val="24"/>
                <w:lang w:eastAsia="zh-CN"/>
              </w:rPr>
              <w:t>落</w:t>
            </w:r>
            <w:r>
              <w:rPr>
                <w:rFonts w:hint="eastAsia" w:ascii="Times New Roman" w:hAnsi="Times New Roman" w:eastAsia="宋体" w:cs="Times New Roman"/>
                <w:b/>
                <w:bCs/>
                <w:color w:val="auto"/>
                <w:sz w:val="24"/>
                <w:szCs w:val="24"/>
                <w:highlight w:val="none"/>
                <w:lang w:val="en-US" w:eastAsia="zh-CN"/>
              </w:rPr>
              <w:t>料粉尘</w:t>
            </w:r>
          </w:p>
          <w:p w14:paraId="51C41E0B">
            <w:pPr>
              <w:adjustRightInd w:val="0"/>
              <w:snapToGrid w:val="0"/>
              <w:spacing w:line="360" w:lineRule="auto"/>
              <w:ind w:firstLine="480" w:firstLineChars="200"/>
              <w:rPr>
                <w:rFonts w:eastAsia="Times New Roman"/>
                <w:color w:val="auto"/>
                <w:sz w:val="24"/>
                <w:lang w:val="zh-CN"/>
              </w:rPr>
            </w:pPr>
            <w:r>
              <w:rPr>
                <w:rFonts w:hint="eastAsia"/>
                <w:color w:val="auto"/>
                <w:sz w:val="24"/>
                <w:lang w:eastAsia="zh-CN"/>
              </w:rPr>
              <w:t>项目</w:t>
            </w:r>
            <w:r>
              <w:rPr>
                <w:rFonts w:hint="eastAsia"/>
                <w:color w:val="auto"/>
                <w:sz w:val="24"/>
              </w:rPr>
              <w:t>出烘干机皮带转运站</w:t>
            </w:r>
            <w:r>
              <w:rPr>
                <w:rFonts w:hint="eastAsia"/>
                <w:color w:val="auto"/>
                <w:sz w:val="24"/>
                <w:lang w:eastAsia="zh-CN"/>
              </w:rPr>
              <w:t>粉尘经集气罩</w:t>
            </w:r>
            <w:r>
              <w:rPr>
                <w:rFonts w:hint="eastAsia"/>
                <w:color w:val="auto"/>
                <w:sz w:val="24"/>
                <w:lang w:val="en-US" w:eastAsia="zh-CN"/>
              </w:rPr>
              <w:t>+</w:t>
            </w:r>
            <w:r>
              <w:rPr>
                <w:rFonts w:hint="eastAsia"/>
                <w:color w:val="auto"/>
                <w:sz w:val="24"/>
                <w:lang w:eastAsia="zh-CN"/>
              </w:rPr>
              <w:t>风管</w:t>
            </w:r>
            <w:r>
              <w:rPr>
                <w:rFonts w:hint="eastAsia"/>
                <w:color w:val="auto"/>
                <w:sz w:val="24"/>
              </w:rPr>
              <w:t>（</w:t>
            </w:r>
            <w:r>
              <w:rPr>
                <w:rFonts w:hint="eastAsia" w:eastAsia="Times New Roman"/>
                <w:color w:val="auto"/>
                <w:sz w:val="24"/>
                <w:lang w:val="zh-CN"/>
              </w:rPr>
              <w:t>集气效率为</w:t>
            </w:r>
            <w:r>
              <w:rPr>
                <w:rFonts w:hint="eastAsia" w:eastAsia="宋体"/>
                <w:color w:val="auto"/>
                <w:sz w:val="24"/>
                <w:lang w:val="en-US" w:eastAsia="zh-CN"/>
              </w:rPr>
              <w:t>8</w:t>
            </w:r>
            <w:r>
              <w:rPr>
                <w:rFonts w:hint="eastAsia"/>
                <w:color w:val="auto"/>
                <w:sz w:val="24"/>
                <w:lang w:val="en-US" w:eastAsia="zh-CN"/>
              </w:rPr>
              <w:t>5</w:t>
            </w:r>
            <w:r>
              <w:rPr>
                <w:rFonts w:hint="eastAsia"/>
                <w:color w:val="auto"/>
                <w:sz w:val="24"/>
              </w:rPr>
              <w:t>%）</w:t>
            </w:r>
            <w:r>
              <w:rPr>
                <w:rFonts w:hint="eastAsia"/>
                <w:color w:val="auto"/>
                <w:sz w:val="24"/>
                <w:lang w:eastAsia="zh-CN"/>
              </w:rPr>
              <w:t>收集</w:t>
            </w:r>
            <w:r>
              <w:rPr>
                <w:rFonts w:hint="eastAsia"/>
                <w:color w:val="auto"/>
                <w:sz w:val="24"/>
              </w:rPr>
              <w:t>后</w:t>
            </w:r>
            <w:r>
              <w:rPr>
                <w:rFonts w:eastAsia="Times New Roman"/>
                <w:color w:val="auto"/>
                <w:sz w:val="24"/>
                <w:lang w:val="zh-CN"/>
              </w:rPr>
              <w:t>通过</w:t>
            </w:r>
            <w:r>
              <w:rPr>
                <w:rFonts w:hint="eastAsia" w:eastAsia="Times New Roman"/>
                <w:color w:val="auto"/>
                <w:sz w:val="24"/>
                <w:lang w:val="zh-CN"/>
              </w:rPr>
              <w:t>引风机（风机风量</w:t>
            </w:r>
            <w:r>
              <w:rPr>
                <w:rFonts w:hint="eastAsia"/>
                <w:color w:val="auto"/>
                <w:sz w:val="24"/>
                <w:lang w:val="en-US" w:eastAsia="zh-CN"/>
              </w:rPr>
              <w:t>7388</w:t>
            </w:r>
            <w:r>
              <w:rPr>
                <w:rFonts w:hint="eastAsia"/>
                <w:color w:val="auto"/>
                <w:sz w:val="24"/>
              </w:rPr>
              <w:t>m</w:t>
            </w:r>
            <w:r>
              <w:rPr>
                <w:rFonts w:hint="eastAsia"/>
                <w:color w:val="auto"/>
                <w:sz w:val="24"/>
                <w:vertAlign w:val="superscript"/>
              </w:rPr>
              <w:t>3</w:t>
            </w:r>
            <w:r>
              <w:rPr>
                <w:rFonts w:hint="eastAsia"/>
                <w:color w:val="auto"/>
                <w:sz w:val="24"/>
              </w:rPr>
              <w:t>/h</w:t>
            </w:r>
            <w:r>
              <w:rPr>
                <w:rFonts w:hint="eastAsia" w:eastAsia="Times New Roman"/>
                <w:color w:val="auto"/>
                <w:sz w:val="24"/>
                <w:lang w:val="zh-CN"/>
              </w:rPr>
              <w:t>）引至</w:t>
            </w:r>
            <w:r>
              <w:rPr>
                <w:rFonts w:eastAsia="Times New Roman"/>
                <w:color w:val="auto"/>
                <w:sz w:val="24"/>
                <w:lang w:val="zh-CN"/>
              </w:rPr>
              <w:t>处理效率为9</w:t>
            </w:r>
            <w:r>
              <w:rPr>
                <w:rFonts w:hint="eastAsia" w:eastAsia="宋体"/>
                <w:color w:val="auto"/>
                <w:sz w:val="24"/>
                <w:lang w:val="en-US" w:eastAsia="zh-CN"/>
              </w:rPr>
              <w:t>9</w:t>
            </w:r>
            <w:r>
              <w:rPr>
                <w:rFonts w:hint="eastAsia"/>
                <w:color w:val="auto"/>
                <w:sz w:val="24"/>
                <w:lang w:val="en-US" w:eastAsia="zh-CN"/>
              </w:rPr>
              <w:t>.6</w:t>
            </w:r>
            <w:r>
              <w:rPr>
                <w:rFonts w:eastAsia="Times New Roman"/>
                <w:color w:val="auto"/>
                <w:sz w:val="24"/>
                <w:lang w:val="zh-CN"/>
              </w:rPr>
              <w:t>%的</w:t>
            </w:r>
            <w:r>
              <w:rPr>
                <w:rFonts w:hint="eastAsia" w:eastAsia="Times New Roman"/>
                <w:color w:val="auto"/>
                <w:sz w:val="24"/>
                <w:lang w:val="zh-CN"/>
              </w:rPr>
              <w:t>袋式</w:t>
            </w:r>
            <w:r>
              <w:rPr>
                <w:rFonts w:eastAsia="Times New Roman"/>
                <w:color w:val="auto"/>
                <w:sz w:val="24"/>
                <w:lang w:val="zh-CN"/>
              </w:rPr>
              <w:t>除尘器处理</w:t>
            </w:r>
            <w:r>
              <w:rPr>
                <w:rFonts w:hint="eastAsia" w:eastAsia="Times New Roman"/>
                <w:color w:val="auto"/>
                <w:sz w:val="24"/>
                <w:lang w:val="zh-CN"/>
              </w:rPr>
              <w:t>达标</w:t>
            </w:r>
            <w:r>
              <w:rPr>
                <w:rFonts w:eastAsia="Times New Roman"/>
                <w:color w:val="auto"/>
                <w:sz w:val="24"/>
                <w:lang w:val="zh-CN"/>
              </w:rPr>
              <w:t>后，由一根</w:t>
            </w:r>
            <w:r>
              <w:rPr>
                <w:rFonts w:hint="eastAsia" w:eastAsia="Times New Roman"/>
                <w:color w:val="auto"/>
                <w:sz w:val="24"/>
                <w:lang w:val="zh-CN"/>
              </w:rPr>
              <w:t>内径</w:t>
            </w:r>
            <w:r>
              <w:rPr>
                <w:rFonts w:hint="eastAsia" w:eastAsia="宋体"/>
                <w:color w:val="auto"/>
                <w:sz w:val="24"/>
                <w:lang w:val="en-US" w:eastAsia="zh-CN"/>
              </w:rPr>
              <w:t>0.45m，</w:t>
            </w:r>
            <w:r>
              <w:rPr>
                <w:rFonts w:hint="eastAsia"/>
                <w:color w:val="auto"/>
                <w:sz w:val="24"/>
                <w:lang w:val="en-US" w:eastAsia="zh-CN"/>
              </w:rPr>
              <w:t>20</w:t>
            </w:r>
            <w:r>
              <w:rPr>
                <w:rFonts w:eastAsia="Times New Roman"/>
                <w:color w:val="auto"/>
                <w:sz w:val="24"/>
                <w:lang w:val="zh-CN"/>
              </w:rPr>
              <w:t>m高的排气筒</w:t>
            </w:r>
            <w:r>
              <w:rPr>
                <w:rFonts w:hint="eastAsia" w:eastAsia="Times New Roman"/>
                <w:color w:val="auto"/>
                <w:sz w:val="24"/>
                <w:lang w:val="zh-CN"/>
              </w:rPr>
              <w:t>（</w:t>
            </w:r>
            <w:r>
              <w:rPr>
                <w:rFonts w:hint="eastAsia"/>
                <w:color w:val="auto"/>
                <w:sz w:val="24"/>
              </w:rPr>
              <w:t>DA0</w:t>
            </w:r>
            <w:r>
              <w:rPr>
                <w:rFonts w:hint="eastAsia"/>
                <w:color w:val="auto"/>
                <w:sz w:val="24"/>
                <w:lang w:val="en-US" w:eastAsia="zh-CN"/>
              </w:rPr>
              <w:t>11</w:t>
            </w:r>
            <w:r>
              <w:rPr>
                <w:rFonts w:hint="eastAsia" w:eastAsia="Times New Roman"/>
                <w:color w:val="auto"/>
                <w:sz w:val="24"/>
                <w:lang w:val="zh-CN"/>
              </w:rPr>
              <w:t>）</w:t>
            </w:r>
            <w:r>
              <w:rPr>
                <w:rFonts w:eastAsia="Times New Roman"/>
                <w:color w:val="auto"/>
                <w:sz w:val="24"/>
                <w:lang w:val="zh-CN"/>
              </w:rPr>
              <w:t>排放。</w:t>
            </w:r>
          </w:p>
          <w:p w14:paraId="32CA0A6B">
            <w:pPr>
              <w:adjustRightInd w:val="0"/>
              <w:snapToGrid w:val="0"/>
              <w:spacing w:line="360" w:lineRule="auto"/>
              <w:ind w:firstLine="480" w:firstLineChars="200"/>
              <w:rPr>
                <w:rFonts w:hint="eastAsia"/>
                <w:color w:val="auto"/>
                <w:sz w:val="24"/>
                <w:highlight w:val="yellow"/>
              </w:rPr>
            </w:pPr>
            <w:r>
              <w:rPr>
                <w:rFonts w:hint="eastAsia"/>
                <w:color w:val="auto"/>
                <w:sz w:val="24"/>
                <w:lang w:val="en-US" w:eastAsia="zh-CN"/>
              </w:rPr>
              <w:t>项目工程建设完成后DA011排气筒有组织粉尘</w:t>
            </w:r>
            <w:r>
              <w:rPr>
                <w:rFonts w:hint="eastAsia" w:ascii="Times New Roman" w:hAnsi="Times New Roman" w:eastAsia="宋体" w:cs="Times New Roman"/>
                <w:color w:val="auto"/>
                <w:sz w:val="24"/>
                <w:highlight w:val="none"/>
                <w:lang w:eastAsia="zh-CN"/>
              </w:rPr>
              <w:t>产生量为</w:t>
            </w:r>
            <w:r>
              <w:rPr>
                <w:rFonts w:hint="eastAsia" w:cs="Times New Roman"/>
                <w:color w:val="auto"/>
                <w:sz w:val="24"/>
                <w:highlight w:val="none"/>
                <w:lang w:val="en-US" w:eastAsia="zh-CN"/>
              </w:rPr>
              <w:t>11.4716</w:t>
            </w:r>
            <w:r>
              <w:rPr>
                <w:rFonts w:hint="eastAsia" w:ascii="Times New Roman" w:hAnsi="Times New Roman" w:eastAsia="宋体" w:cs="Times New Roman"/>
                <w:color w:val="auto"/>
                <w:sz w:val="24"/>
                <w:highlight w:val="none"/>
                <w:lang w:val="en-US" w:eastAsia="zh-CN"/>
              </w:rPr>
              <w:t>t/a，产生速率为</w:t>
            </w:r>
            <w:r>
              <w:rPr>
                <w:rFonts w:hint="eastAsia" w:cs="Times New Roman"/>
                <w:color w:val="auto"/>
                <w:sz w:val="24"/>
                <w:highlight w:val="none"/>
                <w:lang w:val="en-US" w:eastAsia="zh-CN"/>
              </w:rPr>
              <w:t>1.7071</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231.06</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eastAsia="Times New Roman"/>
                <w:color w:val="auto"/>
                <w:sz w:val="24"/>
                <w:highlight w:val="none"/>
                <w:lang w:val="zh-CN"/>
              </w:rPr>
              <w:t>有组织</w:t>
            </w:r>
            <w:r>
              <w:rPr>
                <w:rFonts w:hint="eastAsia" w:ascii="Times New Roman" w:hAnsi="Times New Roman" w:eastAsia="宋体" w:cs="Times New Roman"/>
                <w:color w:val="auto"/>
                <w:sz w:val="24"/>
                <w:highlight w:val="none"/>
                <w:lang w:eastAsia="zh-CN"/>
              </w:rPr>
              <w:t>粉尘排放量为</w:t>
            </w:r>
            <w:r>
              <w:rPr>
                <w:rFonts w:hint="eastAsia" w:cs="Times New Roman"/>
                <w:color w:val="auto"/>
                <w:sz w:val="24"/>
                <w:highlight w:val="none"/>
                <w:lang w:val="en-US" w:eastAsia="zh-CN"/>
              </w:rPr>
              <w:t>0.0459</w:t>
            </w:r>
            <w:r>
              <w:rPr>
                <w:rFonts w:hint="eastAsia" w:ascii="Times New Roman" w:hAnsi="Times New Roman" w:eastAsia="宋体" w:cs="Times New Roman"/>
                <w:color w:val="auto"/>
                <w:sz w:val="24"/>
                <w:highlight w:val="none"/>
                <w:lang w:val="en-US" w:eastAsia="zh-CN"/>
              </w:rPr>
              <w:t>t/a，排放速率为0.</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068</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0.92</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color w:val="auto"/>
                <w:sz w:val="24"/>
                <w:highlight w:val="none"/>
              </w:rPr>
              <w:t>无组织</w:t>
            </w:r>
            <w:r>
              <w:rPr>
                <w:rFonts w:hint="eastAsia"/>
                <w:color w:val="auto"/>
                <w:sz w:val="24"/>
                <w:highlight w:val="none"/>
                <w:lang w:eastAsia="zh-CN"/>
              </w:rPr>
              <w:t>产生</w:t>
            </w:r>
            <w:r>
              <w:rPr>
                <w:rFonts w:hint="eastAsia"/>
                <w:color w:val="auto"/>
                <w:sz w:val="24"/>
                <w:highlight w:val="none"/>
              </w:rPr>
              <w:t>量为</w:t>
            </w:r>
            <w:r>
              <w:rPr>
                <w:rFonts w:hint="eastAsia"/>
                <w:color w:val="auto"/>
                <w:sz w:val="24"/>
                <w:highlight w:val="none"/>
                <w:lang w:val="en-US" w:eastAsia="zh-CN"/>
              </w:rPr>
              <w:t>2.0244</w:t>
            </w:r>
            <w:r>
              <w:rPr>
                <w:rFonts w:hint="eastAsia"/>
                <w:color w:val="auto"/>
                <w:sz w:val="24"/>
                <w:highlight w:val="none"/>
              </w:rPr>
              <w:t>t/a，</w:t>
            </w:r>
            <w:r>
              <w:rPr>
                <w:rFonts w:hint="eastAsia"/>
                <w:color w:val="auto"/>
                <w:sz w:val="24"/>
                <w:highlight w:val="none"/>
                <w:lang w:eastAsia="zh-CN"/>
              </w:rPr>
              <w:t>产生</w:t>
            </w:r>
            <w:r>
              <w:rPr>
                <w:rFonts w:hint="eastAsia"/>
                <w:color w:val="auto"/>
                <w:sz w:val="24"/>
                <w:highlight w:val="none"/>
              </w:rPr>
              <w:t>速率为</w:t>
            </w:r>
            <w:r>
              <w:rPr>
                <w:rFonts w:hint="eastAsia"/>
                <w:color w:val="auto"/>
                <w:sz w:val="24"/>
                <w:highlight w:val="none"/>
                <w:lang w:val="en-US" w:eastAsia="zh-CN"/>
              </w:rPr>
              <w:t>0.3013</w:t>
            </w:r>
            <w:r>
              <w:rPr>
                <w:rFonts w:hint="eastAsia"/>
                <w:color w:val="auto"/>
                <w:sz w:val="24"/>
                <w:highlight w:val="none"/>
              </w:rPr>
              <w:t>kg/h。</w:t>
            </w:r>
          </w:p>
          <w:p w14:paraId="619FE963">
            <w:pPr>
              <w:adjustRightInd w:val="0"/>
              <w:snapToGrid w:val="0"/>
              <w:spacing w:line="360" w:lineRule="auto"/>
              <w:ind w:firstLine="480" w:firstLineChars="200"/>
              <w:rPr>
                <w:rFonts w:hint="eastAsia"/>
                <w:b/>
                <w:bCs/>
                <w:color w:val="auto"/>
                <w:sz w:val="24"/>
                <w:szCs w:val="24"/>
                <w:highlight w:val="none"/>
              </w:rPr>
            </w:pPr>
            <w:r>
              <w:rPr>
                <w:rFonts w:hint="eastAsia"/>
                <w:color w:val="auto"/>
                <w:sz w:val="24"/>
                <w:highlight w:val="none"/>
              </w:rPr>
              <w:t>项目</w:t>
            </w:r>
            <w:r>
              <w:rPr>
                <w:rFonts w:hint="eastAsia"/>
                <w:color w:val="auto"/>
                <w:sz w:val="24"/>
                <w:highlight w:val="none"/>
                <w:lang w:eastAsia="zh-CN"/>
              </w:rPr>
              <w:t>转载站为全封闭式</w:t>
            </w:r>
            <w:r>
              <w:rPr>
                <w:rFonts w:hint="eastAsia"/>
                <w:color w:val="auto"/>
                <w:sz w:val="24"/>
                <w:highlight w:val="none"/>
              </w:rPr>
              <w:t>，粉尘经阻隔后，大部分在</w:t>
            </w:r>
            <w:r>
              <w:rPr>
                <w:rFonts w:hint="eastAsia"/>
                <w:color w:val="auto"/>
                <w:sz w:val="24"/>
                <w:highlight w:val="none"/>
                <w:lang w:eastAsia="zh-CN"/>
              </w:rPr>
              <w:t>转载站内</w:t>
            </w:r>
            <w:r>
              <w:rPr>
                <w:rFonts w:hint="eastAsia"/>
                <w:color w:val="auto"/>
                <w:sz w:val="24"/>
                <w:highlight w:val="none"/>
              </w:rPr>
              <w:t>沉降，少部分</w:t>
            </w:r>
            <w:r>
              <w:rPr>
                <w:rFonts w:hint="eastAsia"/>
                <w:color w:val="auto"/>
                <w:sz w:val="24"/>
                <w:highlight w:val="none"/>
                <w:lang w:eastAsia="zh-CN"/>
              </w:rPr>
              <w:t>溢出，</w:t>
            </w:r>
            <w:r>
              <w:rPr>
                <w:rFonts w:hint="eastAsia"/>
                <w:color w:val="auto"/>
                <w:sz w:val="24"/>
                <w:highlight w:val="none"/>
              </w:rPr>
              <w:t>阻隔降尘效率约</w:t>
            </w:r>
            <w:r>
              <w:rPr>
                <w:rFonts w:hint="eastAsia"/>
                <w:color w:val="auto"/>
                <w:sz w:val="24"/>
                <w:highlight w:val="none"/>
                <w:lang w:val="en-US" w:eastAsia="zh-CN"/>
              </w:rPr>
              <w:t>8</w:t>
            </w:r>
            <w:r>
              <w:rPr>
                <w:rFonts w:hint="eastAsia"/>
                <w:color w:val="auto"/>
                <w:sz w:val="24"/>
                <w:highlight w:val="none"/>
              </w:rPr>
              <w:t>0%，则无组织粉尘排放量为</w:t>
            </w:r>
            <w:r>
              <w:rPr>
                <w:rFonts w:hint="eastAsia"/>
                <w:color w:val="auto"/>
                <w:sz w:val="24"/>
                <w:highlight w:val="none"/>
                <w:lang w:val="en-US" w:eastAsia="zh-CN"/>
              </w:rPr>
              <w:t>0.4049</w:t>
            </w:r>
            <w:r>
              <w:rPr>
                <w:rFonts w:hint="eastAsia"/>
                <w:color w:val="auto"/>
                <w:sz w:val="24"/>
                <w:highlight w:val="none"/>
              </w:rPr>
              <w:t>t/a，排放速率为</w:t>
            </w:r>
            <w:r>
              <w:rPr>
                <w:rFonts w:hint="eastAsia"/>
                <w:color w:val="auto"/>
                <w:sz w:val="24"/>
                <w:highlight w:val="none"/>
                <w:lang w:val="en-US" w:eastAsia="zh-CN"/>
              </w:rPr>
              <w:t>0.0602</w:t>
            </w:r>
            <w:r>
              <w:rPr>
                <w:rFonts w:hint="eastAsia"/>
                <w:color w:val="auto"/>
                <w:sz w:val="24"/>
                <w:highlight w:val="none"/>
              </w:rPr>
              <w:t>kg/h。</w:t>
            </w:r>
          </w:p>
          <w:p w14:paraId="30A660BB">
            <w:pPr>
              <w:adjustRightInd w:val="0"/>
              <w:snapToGrid w:val="0"/>
              <w:spacing w:line="360" w:lineRule="auto"/>
              <w:ind w:firstLine="482" w:firstLineChars="200"/>
              <w:rPr>
                <w:rFonts w:hint="default"/>
                <w:b/>
                <w:bCs/>
                <w:color w:val="auto"/>
                <w:sz w:val="24"/>
                <w:lang w:val="en-US" w:eastAsia="zh-CN"/>
              </w:rPr>
            </w:pPr>
            <w:r>
              <w:rPr>
                <w:rFonts w:hint="eastAsia"/>
                <w:b/>
                <w:bCs/>
                <w:color w:val="auto"/>
                <w:sz w:val="24"/>
                <w:lang w:val="en-US" w:eastAsia="zh-CN"/>
              </w:rPr>
              <w:t>B：</w:t>
            </w:r>
            <w:r>
              <w:rPr>
                <w:rFonts w:hint="eastAsia"/>
                <w:b/>
                <w:bCs/>
                <w:color w:val="auto"/>
                <w:sz w:val="24"/>
                <w:lang w:eastAsia="zh-CN"/>
              </w:rPr>
              <w:t>进成品堆棚转运站落</w:t>
            </w:r>
            <w:r>
              <w:rPr>
                <w:rFonts w:hint="eastAsia" w:ascii="Times New Roman" w:hAnsi="Times New Roman" w:eastAsia="宋体" w:cs="Times New Roman"/>
                <w:b/>
                <w:bCs/>
                <w:color w:val="auto"/>
                <w:sz w:val="24"/>
                <w:szCs w:val="24"/>
                <w:highlight w:val="none"/>
                <w:lang w:val="en-US" w:eastAsia="zh-CN"/>
              </w:rPr>
              <w:t>料粉尘</w:t>
            </w:r>
          </w:p>
          <w:p w14:paraId="4DEEE368">
            <w:pPr>
              <w:adjustRightInd w:val="0"/>
              <w:snapToGrid w:val="0"/>
              <w:spacing w:line="360" w:lineRule="auto"/>
              <w:ind w:firstLine="480" w:firstLineChars="200"/>
              <w:rPr>
                <w:rFonts w:eastAsia="Times New Roman"/>
                <w:color w:val="auto"/>
                <w:sz w:val="24"/>
                <w:lang w:val="zh-CN"/>
              </w:rPr>
            </w:pPr>
            <w:r>
              <w:rPr>
                <w:rFonts w:hint="eastAsia"/>
                <w:color w:val="auto"/>
                <w:sz w:val="24"/>
                <w:lang w:eastAsia="zh-CN"/>
              </w:rPr>
              <w:t>项目进成品堆棚转运站落</w:t>
            </w:r>
            <w:r>
              <w:rPr>
                <w:rFonts w:hint="eastAsia" w:ascii="Times New Roman" w:hAnsi="Times New Roman" w:eastAsia="宋体" w:cs="Times New Roman"/>
                <w:color w:val="auto"/>
                <w:sz w:val="24"/>
                <w:szCs w:val="24"/>
                <w:highlight w:val="none"/>
                <w:lang w:val="en-US" w:eastAsia="zh-CN"/>
              </w:rPr>
              <w:t>料粉尘</w:t>
            </w:r>
            <w:r>
              <w:rPr>
                <w:rFonts w:hint="eastAsia"/>
                <w:color w:val="auto"/>
                <w:sz w:val="24"/>
                <w:lang w:eastAsia="zh-CN"/>
              </w:rPr>
              <w:t>经集气罩</w:t>
            </w:r>
            <w:r>
              <w:rPr>
                <w:rFonts w:hint="eastAsia"/>
                <w:color w:val="auto"/>
                <w:sz w:val="24"/>
                <w:lang w:val="en-US" w:eastAsia="zh-CN"/>
              </w:rPr>
              <w:t>+</w:t>
            </w:r>
            <w:r>
              <w:rPr>
                <w:rFonts w:hint="eastAsia"/>
                <w:color w:val="auto"/>
                <w:sz w:val="24"/>
                <w:lang w:eastAsia="zh-CN"/>
              </w:rPr>
              <w:t>风管</w:t>
            </w:r>
            <w:r>
              <w:rPr>
                <w:rFonts w:hint="eastAsia"/>
                <w:color w:val="auto"/>
                <w:sz w:val="24"/>
              </w:rPr>
              <w:t>（</w:t>
            </w:r>
            <w:r>
              <w:rPr>
                <w:rFonts w:hint="eastAsia" w:eastAsia="Times New Roman"/>
                <w:color w:val="auto"/>
                <w:sz w:val="24"/>
                <w:lang w:val="zh-CN"/>
              </w:rPr>
              <w:t>集气效率为</w:t>
            </w:r>
            <w:r>
              <w:rPr>
                <w:rFonts w:hint="eastAsia" w:eastAsia="宋体"/>
                <w:color w:val="auto"/>
                <w:sz w:val="24"/>
                <w:lang w:val="en-US" w:eastAsia="zh-CN"/>
              </w:rPr>
              <w:t>8</w:t>
            </w:r>
            <w:r>
              <w:rPr>
                <w:rFonts w:hint="eastAsia"/>
                <w:color w:val="auto"/>
                <w:sz w:val="24"/>
                <w:lang w:val="en-US" w:eastAsia="zh-CN"/>
              </w:rPr>
              <w:t>5</w:t>
            </w:r>
            <w:r>
              <w:rPr>
                <w:rFonts w:hint="eastAsia"/>
                <w:color w:val="auto"/>
                <w:sz w:val="24"/>
              </w:rPr>
              <w:t>%）</w:t>
            </w:r>
            <w:r>
              <w:rPr>
                <w:rFonts w:hint="eastAsia"/>
                <w:color w:val="auto"/>
                <w:sz w:val="24"/>
                <w:lang w:eastAsia="zh-CN"/>
              </w:rPr>
              <w:t>收集</w:t>
            </w:r>
            <w:r>
              <w:rPr>
                <w:rFonts w:hint="eastAsia"/>
                <w:color w:val="auto"/>
                <w:sz w:val="24"/>
              </w:rPr>
              <w:t>后</w:t>
            </w:r>
            <w:r>
              <w:rPr>
                <w:rFonts w:eastAsia="Times New Roman"/>
                <w:color w:val="auto"/>
                <w:sz w:val="24"/>
                <w:lang w:val="zh-CN"/>
              </w:rPr>
              <w:t>通过</w:t>
            </w:r>
            <w:r>
              <w:rPr>
                <w:rFonts w:hint="eastAsia" w:eastAsia="Times New Roman"/>
                <w:color w:val="auto"/>
                <w:sz w:val="24"/>
                <w:lang w:val="zh-CN"/>
              </w:rPr>
              <w:t>引风机（单台风机风量</w:t>
            </w:r>
            <w:r>
              <w:rPr>
                <w:rFonts w:hint="eastAsia"/>
                <w:color w:val="auto"/>
                <w:sz w:val="24"/>
                <w:lang w:val="en-US" w:eastAsia="zh-CN"/>
              </w:rPr>
              <w:t>7388</w:t>
            </w:r>
            <w:r>
              <w:rPr>
                <w:rFonts w:hint="eastAsia"/>
                <w:color w:val="auto"/>
                <w:sz w:val="24"/>
              </w:rPr>
              <w:t>m</w:t>
            </w:r>
            <w:r>
              <w:rPr>
                <w:rFonts w:hint="eastAsia"/>
                <w:color w:val="auto"/>
                <w:sz w:val="24"/>
                <w:vertAlign w:val="superscript"/>
              </w:rPr>
              <w:t>3</w:t>
            </w:r>
            <w:r>
              <w:rPr>
                <w:rFonts w:hint="eastAsia"/>
                <w:color w:val="auto"/>
                <w:sz w:val="24"/>
              </w:rPr>
              <w:t>/h</w:t>
            </w:r>
            <w:r>
              <w:rPr>
                <w:rFonts w:hint="eastAsia" w:eastAsia="Times New Roman"/>
                <w:color w:val="auto"/>
                <w:sz w:val="24"/>
                <w:lang w:val="zh-CN"/>
              </w:rPr>
              <w:t>）引至</w:t>
            </w:r>
            <w:r>
              <w:rPr>
                <w:rFonts w:eastAsia="Times New Roman"/>
                <w:color w:val="auto"/>
                <w:sz w:val="24"/>
                <w:lang w:val="zh-CN"/>
              </w:rPr>
              <w:t>处理效率为</w:t>
            </w:r>
            <w:r>
              <w:rPr>
                <w:rFonts w:hint="eastAsia" w:eastAsia="宋体"/>
                <w:color w:val="auto"/>
                <w:sz w:val="24"/>
                <w:lang w:val="en-US" w:eastAsia="zh-CN"/>
              </w:rPr>
              <w:t>99.6</w:t>
            </w:r>
            <w:r>
              <w:rPr>
                <w:rFonts w:eastAsia="Times New Roman"/>
                <w:color w:val="auto"/>
                <w:sz w:val="24"/>
                <w:lang w:val="zh-CN"/>
              </w:rPr>
              <w:t>%的</w:t>
            </w:r>
            <w:r>
              <w:rPr>
                <w:rFonts w:hint="eastAsia" w:eastAsia="Times New Roman"/>
                <w:color w:val="auto"/>
                <w:sz w:val="24"/>
                <w:lang w:val="zh-CN"/>
              </w:rPr>
              <w:t>袋式</w:t>
            </w:r>
            <w:r>
              <w:rPr>
                <w:rFonts w:eastAsia="Times New Roman"/>
                <w:color w:val="auto"/>
                <w:sz w:val="24"/>
                <w:lang w:val="zh-CN"/>
              </w:rPr>
              <w:t>除尘器</w:t>
            </w:r>
            <w:r>
              <w:rPr>
                <w:rFonts w:hint="eastAsia" w:eastAsia="Times New Roman"/>
                <w:color w:val="auto"/>
                <w:sz w:val="24"/>
                <w:lang w:val="zh-CN"/>
              </w:rPr>
              <w:t>（两台）</w:t>
            </w:r>
            <w:r>
              <w:rPr>
                <w:rFonts w:eastAsia="Times New Roman"/>
                <w:color w:val="auto"/>
                <w:sz w:val="24"/>
                <w:lang w:val="zh-CN"/>
              </w:rPr>
              <w:t>处理</w:t>
            </w:r>
            <w:r>
              <w:rPr>
                <w:rFonts w:hint="eastAsia" w:eastAsia="Times New Roman"/>
                <w:color w:val="auto"/>
                <w:sz w:val="24"/>
                <w:lang w:val="zh-CN"/>
              </w:rPr>
              <w:t>达标</w:t>
            </w:r>
            <w:r>
              <w:rPr>
                <w:rFonts w:eastAsia="Times New Roman"/>
                <w:color w:val="auto"/>
                <w:sz w:val="24"/>
                <w:lang w:val="zh-CN"/>
              </w:rPr>
              <w:t>后，由一根</w:t>
            </w:r>
            <w:r>
              <w:rPr>
                <w:rFonts w:hint="eastAsia" w:eastAsia="Times New Roman"/>
                <w:color w:val="auto"/>
                <w:sz w:val="24"/>
                <w:lang w:val="zh-CN"/>
              </w:rPr>
              <w:t>内径</w:t>
            </w:r>
            <w:r>
              <w:rPr>
                <w:rFonts w:hint="eastAsia" w:eastAsia="宋体"/>
                <w:color w:val="auto"/>
                <w:sz w:val="24"/>
                <w:lang w:val="en-US" w:eastAsia="zh-CN"/>
              </w:rPr>
              <w:t>0.45m，</w:t>
            </w:r>
            <w:r>
              <w:rPr>
                <w:rFonts w:hint="eastAsia"/>
                <w:color w:val="auto"/>
                <w:sz w:val="24"/>
                <w:lang w:val="en-US" w:eastAsia="zh-CN"/>
              </w:rPr>
              <w:t>26.5</w:t>
            </w:r>
            <w:r>
              <w:rPr>
                <w:rFonts w:eastAsia="Times New Roman"/>
                <w:color w:val="auto"/>
                <w:sz w:val="24"/>
                <w:lang w:val="zh-CN"/>
              </w:rPr>
              <w:t>m高的排气筒</w:t>
            </w:r>
            <w:r>
              <w:rPr>
                <w:rFonts w:hint="eastAsia" w:eastAsia="Times New Roman"/>
                <w:color w:val="auto"/>
                <w:sz w:val="24"/>
                <w:lang w:val="zh-CN"/>
              </w:rPr>
              <w:t>（</w:t>
            </w:r>
            <w:r>
              <w:rPr>
                <w:rFonts w:hint="eastAsia"/>
                <w:color w:val="auto"/>
                <w:sz w:val="24"/>
              </w:rPr>
              <w:t>DA0</w:t>
            </w:r>
            <w:r>
              <w:rPr>
                <w:rFonts w:hint="eastAsia"/>
                <w:color w:val="auto"/>
                <w:sz w:val="24"/>
                <w:lang w:val="en-US" w:eastAsia="zh-CN"/>
              </w:rPr>
              <w:t>12</w:t>
            </w:r>
            <w:r>
              <w:rPr>
                <w:rFonts w:hint="eastAsia" w:eastAsia="Times New Roman"/>
                <w:color w:val="auto"/>
                <w:sz w:val="24"/>
                <w:lang w:val="zh-CN"/>
              </w:rPr>
              <w:t>）</w:t>
            </w:r>
            <w:r>
              <w:rPr>
                <w:rFonts w:eastAsia="Times New Roman"/>
                <w:color w:val="auto"/>
                <w:sz w:val="24"/>
                <w:lang w:val="zh-CN"/>
              </w:rPr>
              <w:t>排放。</w:t>
            </w:r>
          </w:p>
          <w:p w14:paraId="687FE737">
            <w:pPr>
              <w:adjustRightInd w:val="0"/>
              <w:snapToGrid w:val="0"/>
              <w:spacing w:line="360" w:lineRule="auto"/>
              <w:ind w:firstLine="480" w:firstLineChars="200"/>
              <w:rPr>
                <w:rFonts w:hint="eastAsia"/>
                <w:color w:val="auto"/>
                <w:sz w:val="24"/>
                <w:highlight w:val="yellow"/>
              </w:rPr>
            </w:pPr>
            <w:r>
              <w:rPr>
                <w:rFonts w:hint="eastAsia"/>
                <w:color w:val="auto"/>
                <w:sz w:val="24"/>
                <w:lang w:val="en-US" w:eastAsia="zh-CN"/>
              </w:rPr>
              <w:t>项目工程建设完成后DA012排气筒有组织粉尘</w:t>
            </w:r>
            <w:r>
              <w:rPr>
                <w:rFonts w:hint="eastAsia" w:ascii="Times New Roman" w:hAnsi="Times New Roman" w:eastAsia="宋体" w:cs="Times New Roman"/>
                <w:color w:val="auto"/>
                <w:sz w:val="24"/>
                <w:highlight w:val="none"/>
                <w:lang w:eastAsia="zh-CN"/>
              </w:rPr>
              <w:t>产生量为</w:t>
            </w:r>
            <w:r>
              <w:rPr>
                <w:rFonts w:hint="eastAsia" w:cs="Times New Roman"/>
                <w:color w:val="auto"/>
                <w:sz w:val="24"/>
                <w:highlight w:val="none"/>
                <w:lang w:val="en-US" w:eastAsia="zh-CN"/>
              </w:rPr>
              <w:t>10.0756</w:t>
            </w:r>
            <w:r>
              <w:rPr>
                <w:rFonts w:hint="eastAsia" w:ascii="Times New Roman" w:hAnsi="Times New Roman" w:eastAsia="宋体" w:cs="Times New Roman"/>
                <w:color w:val="auto"/>
                <w:sz w:val="24"/>
                <w:highlight w:val="none"/>
                <w:lang w:val="en-US" w:eastAsia="zh-CN"/>
              </w:rPr>
              <w:t>t/a，产生速率为</w:t>
            </w:r>
            <w:r>
              <w:rPr>
                <w:rFonts w:hint="eastAsia" w:cs="Times New Roman"/>
                <w:color w:val="auto"/>
                <w:sz w:val="24"/>
                <w:highlight w:val="none"/>
                <w:lang w:val="en-US" w:eastAsia="zh-CN"/>
              </w:rPr>
              <w:t>1.4993</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202.94</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eastAsia="Times New Roman"/>
                <w:color w:val="auto"/>
                <w:sz w:val="24"/>
                <w:highlight w:val="none"/>
                <w:lang w:val="zh-CN"/>
              </w:rPr>
              <w:t>有组织</w:t>
            </w:r>
            <w:r>
              <w:rPr>
                <w:rFonts w:hint="eastAsia" w:ascii="Times New Roman" w:hAnsi="Times New Roman" w:eastAsia="宋体" w:cs="Times New Roman"/>
                <w:color w:val="auto"/>
                <w:sz w:val="24"/>
                <w:highlight w:val="none"/>
                <w:lang w:eastAsia="zh-CN"/>
              </w:rPr>
              <w:t>粉尘排放量为</w:t>
            </w:r>
            <w:r>
              <w:rPr>
                <w:rFonts w:hint="eastAsia" w:cs="Times New Roman"/>
                <w:color w:val="auto"/>
                <w:sz w:val="24"/>
                <w:highlight w:val="none"/>
                <w:lang w:val="en-US" w:eastAsia="zh-CN"/>
              </w:rPr>
              <w:t>0.0403</w:t>
            </w:r>
            <w:r>
              <w:rPr>
                <w:rFonts w:hint="eastAsia" w:ascii="Times New Roman" w:hAnsi="Times New Roman" w:eastAsia="宋体" w:cs="Times New Roman"/>
                <w:color w:val="auto"/>
                <w:sz w:val="24"/>
                <w:highlight w:val="none"/>
                <w:lang w:val="en-US" w:eastAsia="zh-CN"/>
              </w:rPr>
              <w:t>t/a，排放速率为0.</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060</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0.81</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color w:val="auto"/>
                <w:sz w:val="24"/>
                <w:highlight w:val="none"/>
              </w:rPr>
              <w:t>无组织</w:t>
            </w:r>
            <w:r>
              <w:rPr>
                <w:rFonts w:hint="eastAsia"/>
                <w:color w:val="auto"/>
                <w:sz w:val="24"/>
                <w:highlight w:val="none"/>
                <w:lang w:eastAsia="zh-CN"/>
              </w:rPr>
              <w:t>产生</w:t>
            </w:r>
            <w:r>
              <w:rPr>
                <w:rFonts w:hint="eastAsia"/>
                <w:color w:val="auto"/>
                <w:sz w:val="24"/>
                <w:highlight w:val="none"/>
              </w:rPr>
              <w:t>量为</w:t>
            </w:r>
            <w:r>
              <w:rPr>
                <w:rFonts w:hint="eastAsia"/>
                <w:color w:val="auto"/>
                <w:sz w:val="24"/>
                <w:highlight w:val="none"/>
                <w:lang w:val="en-US" w:eastAsia="zh-CN"/>
              </w:rPr>
              <w:t>1.7780</w:t>
            </w:r>
            <w:r>
              <w:rPr>
                <w:rFonts w:hint="eastAsia"/>
                <w:color w:val="auto"/>
                <w:sz w:val="24"/>
                <w:highlight w:val="none"/>
              </w:rPr>
              <w:t>t/a，</w:t>
            </w:r>
            <w:r>
              <w:rPr>
                <w:rFonts w:hint="eastAsia"/>
                <w:color w:val="auto"/>
                <w:sz w:val="24"/>
                <w:highlight w:val="none"/>
                <w:lang w:eastAsia="zh-CN"/>
              </w:rPr>
              <w:t>产生</w:t>
            </w:r>
            <w:r>
              <w:rPr>
                <w:rFonts w:hint="eastAsia"/>
                <w:color w:val="auto"/>
                <w:sz w:val="24"/>
                <w:highlight w:val="none"/>
              </w:rPr>
              <w:t>速率为</w:t>
            </w:r>
            <w:r>
              <w:rPr>
                <w:rFonts w:hint="eastAsia"/>
                <w:color w:val="auto"/>
                <w:sz w:val="24"/>
                <w:highlight w:val="none"/>
                <w:lang w:val="en-US" w:eastAsia="zh-CN"/>
              </w:rPr>
              <w:t>0.2646</w:t>
            </w:r>
            <w:r>
              <w:rPr>
                <w:rFonts w:hint="eastAsia"/>
                <w:color w:val="auto"/>
                <w:sz w:val="24"/>
                <w:highlight w:val="none"/>
              </w:rPr>
              <w:t>kg/h。</w:t>
            </w:r>
          </w:p>
          <w:p w14:paraId="05697206">
            <w:pPr>
              <w:adjustRightInd w:val="0"/>
              <w:snapToGrid w:val="0"/>
              <w:spacing w:line="360" w:lineRule="auto"/>
              <w:ind w:firstLine="480" w:firstLineChars="200"/>
              <w:rPr>
                <w:rFonts w:hint="eastAsia"/>
                <w:b/>
                <w:bCs/>
                <w:color w:val="auto"/>
                <w:sz w:val="24"/>
                <w:highlight w:val="none"/>
                <w:lang w:val="en-US" w:eastAsia="zh-CN"/>
              </w:rPr>
            </w:pPr>
            <w:r>
              <w:rPr>
                <w:rFonts w:hint="eastAsia"/>
                <w:color w:val="auto"/>
                <w:sz w:val="24"/>
                <w:highlight w:val="none"/>
              </w:rPr>
              <w:t>项目</w:t>
            </w:r>
            <w:r>
              <w:rPr>
                <w:rFonts w:hint="eastAsia"/>
                <w:color w:val="auto"/>
                <w:sz w:val="24"/>
                <w:highlight w:val="none"/>
                <w:lang w:eastAsia="zh-CN"/>
              </w:rPr>
              <w:t>转载站为全封闭式</w:t>
            </w:r>
            <w:r>
              <w:rPr>
                <w:rFonts w:hint="eastAsia"/>
                <w:color w:val="auto"/>
                <w:sz w:val="24"/>
                <w:highlight w:val="none"/>
              </w:rPr>
              <w:t>，粉尘经阻隔后，大部分在</w:t>
            </w:r>
            <w:r>
              <w:rPr>
                <w:rFonts w:hint="eastAsia"/>
                <w:color w:val="auto"/>
                <w:sz w:val="24"/>
                <w:highlight w:val="none"/>
                <w:lang w:eastAsia="zh-CN"/>
              </w:rPr>
              <w:t>转载站内</w:t>
            </w:r>
            <w:r>
              <w:rPr>
                <w:rFonts w:hint="eastAsia"/>
                <w:color w:val="auto"/>
                <w:sz w:val="24"/>
                <w:highlight w:val="none"/>
              </w:rPr>
              <w:t>沉降，少部分</w:t>
            </w:r>
            <w:r>
              <w:rPr>
                <w:rFonts w:hint="eastAsia"/>
                <w:color w:val="auto"/>
                <w:sz w:val="24"/>
                <w:highlight w:val="none"/>
                <w:lang w:eastAsia="zh-CN"/>
              </w:rPr>
              <w:t>溢出，</w:t>
            </w:r>
            <w:r>
              <w:rPr>
                <w:rFonts w:hint="eastAsia"/>
                <w:color w:val="auto"/>
                <w:sz w:val="24"/>
                <w:highlight w:val="none"/>
              </w:rPr>
              <w:t>阻隔降尘效率约</w:t>
            </w:r>
            <w:r>
              <w:rPr>
                <w:rFonts w:hint="eastAsia"/>
                <w:color w:val="auto"/>
                <w:sz w:val="24"/>
                <w:highlight w:val="none"/>
                <w:lang w:val="en-US" w:eastAsia="zh-CN"/>
              </w:rPr>
              <w:t>8</w:t>
            </w:r>
            <w:r>
              <w:rPr>
                <w:rFonts w:hint="eastAsia"/>
                <w:color w:val="auto"/>
                <w:sz w:val="24"/>
                <w:highlight w:val="none"/>
              </w:rPr>
              <w:t>0%，则无组织粉尘排放量为</w:t>
            </w:r>
            <w:r>
              <w:rPr>
                <w:rFonts w:hint="eastAsia"/>
                <w:color w:val="auto"/>
                <w:sz w:val="24"/>
                <w:highlight w:val="none"/>
                <w:lang w:val="en-US" w:eastAsia="zh-CN"/>
              </w:rPr>
              <w:t>0.3556</w:t>
            </w:r>
            <w:r>
              <w:rPr>
                <w:rFonts w:hint="eastAsia"/>
                <w:color w:val="auto"/>
                <w:sz w:val="24"/>
                <w:highlight w:val="none"/>
              </w:rPr>
              <w:t>t/a，排放速率为</w:t>
            </w:r>
            <w:r>
              <w:rPr>
                <w:rFonts w:hint="eastAsia"/>
                <w:color w:val="auto"/>
                <w:sz w:val="24"/>
                <w:highlight w:val="none"/>
                <w:lang w:val="en-US" w:eastAsia="zh-CN"/>
              </w:rPr>
              <w:t>0.0529</w:t>
            </w:r>
            <w:r>
              <w:rPr>
                <w:rFonts w:hint="eastAsia"/>
                <w:color w:val="auto"/>
                <w:sz w:val="24"/>
                <w:highlight w:val="none"/>
              </w:rPr>
              <w:t>kg/h。</w:t>
            </w:r>
          </w:p>
          <w:p w14:paraId="4F69BEF9">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w:t>
            </w:r>
            <w:r>
              <w:rPr>
                <w:rFonts w:hint="eastAsia" w:ascii="Times New Roman" w:hAnsi="Times New Roman"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项目运营</w:t>
            </w:r>
            <w:r>
              <w:rPr>
                <w:rFonts w:hint="default" w:ascii="Times New Roman" w:hAnsi="Times New Roman" w:cs="Times New Roman"/>
                <w:b/>
                <w:bCs/>
                <w:color w:val="auto"/>
                <w:sz w:val="21"/>
                <w:szCs w:val="21"/>
                <w:highlight w:val="none"/>
                <w:lang w:val="en-US" w:eastAsia="zh-CN"/>
              </w:rPr>
              <w:t>期</w:t>
            </w:r>
            <w:r>
              <w:rPr>
                <w:rFonts w:hint="eastAsia" w:ascii="Times New Roman" w:hAnsi="Times New Roman" w:eastAsia="宋体" w:cs="Times New Roman"/>
                <w:b/>
                <w:bCs/>
                <w:color w:val="auto"/>
                <w:sz w:val="21"/>
                <w:szCs w:val="21"/>
                <w:highlight w:val="none"/>
                <w:lang w:val="en-US" w:eastAsia="zh-CN"/>
              </w:rPr>
              <w:t>出烘干机皮带转运站</w:t>
            </w:r>
            <w:r>
              <w:rPr>
                <w:rFonts w:hint="eastAsia" w:ascii="Times New Roman" w:hAnsi="Times New Roman" w:cs="Times New Roman"/>
                <w:b/>
                <w:bCs/>
                <w:color w:val="auto"/>
                <w:sz w:val="21"/>
                <w:szCs w:val="21"/>
                <w:highlight w:val="none"/>
                <w:lang w:val="en-US" w:eastAsia="zh-CN"/>
              </w:rPr>
              <w:t>和</w:t>
            </w:r>
            <w:r>
              <w:rPr>
                <w:rFonts w:hint="eastAsia" w:ascii="Times New Roman" w:hAnsi="Times New Roman" w:eastAsia="宋体" w:cs="Times New Roman"/>
                <w:b/>
                <w:bCs/>
                <w:color w:val="auto"/>
                <w:sz w:val="21"/>
                <w:szCs w:val="21"/>
                <w:highlight w:val="none"/>
                <w:lang w:val="en-US" w:eastAsia="zh-CN"/>
              </w:rPr>
              <w:t>进成品堆棚转运站落料粉尘废</w:t>
            </w:r>
            <w:r>
              <w:rPr>
                <w:rFonts w:hint="eastAsia" w:ascii="Times New Roman" w:hAnsi="Times New Roman" w:cs="Times New Roman"/>
                <w:b/>
                <w:bCs/>
                <w:color w:val="auto"/>
                <w:sz w:val="21"/>
                <w:szCs w:val="21"/>
                <w:highlight w:val="none"/>
                <w:lang w:val="en-US" w:eastAsia="zh-CN"/>
              </w:rPr>
              <w:t>气</w:t>
            </w:r>
            <w:r>
              <w:rPr>
                <w:rFonts w:hint="default" w:ascii="Times New Roman" w:hAnsi="Times New Roman" w:eastAsia="宋体" w:cs="Times New Roman"/>
                <w:b/>
                <w:bCs/>
                <w:color w:val="auto"/>
                <w:sz w:val="21"/>
                <w:szCs w:val="21"/>
                <w:highlight w:val="none"/>
                <w:lang w:val="en-US" w:eastAsia="zh-CN"/>
              </w:rPr>
              <w:t>排放源一览表</w:t>
            </w:r>
          </w:p>
          <w:tbl>
            <w:tblPr>
              <w:tblStyle w:val="28"/>
              <w:tblW w:w="846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54"/>
              <w:gridCol w:w="1720"/>
              <w:gridCol w:w="1733"/>
              <w:gridCol w:w="91"/>
              <w:gridCol w:w="1185"/>
              <w:gridCol w:w="1391"/>
              <w:gridCol w:w="202"/>
              <w:gridCol w:w="1250"/>
            </w:tblGrid>
            <w:tr w14:paraId="5691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0" w:type="dxa"/>
                  <w:gridSpan w:val="3"/>
                  <w:vAlign w:val="center"/>
                </w:tcPr>
                <w:p w14:paraId="45217C1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3009" w:type="dxa"/>
                  <w:gridSpan w:val="3"/>
                  <w:vAlign w:val="center"/>
                </w:tcPr>
                <w:p w14:paraId="47F7247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b w:val="0"/>
                      <w:bCs w:val="0"/>
                      <w:color w:val="auto"/>
                      <w:sz w:val="21"/>
                      <w:szCs w:val="21"/>
                      <w:lang w:val="en-US" w:eastAsia="zh-CN"/>
                    </w:rPr>
                  </w:pPr>
                  <w:r>
                    <w:rPr>
                      <w:rFonts w:hint="eastAsia"/>
                      <w:b w:val="0"/>
                      <w:bCs w:val="0"/>
                      <w:color w:val="auto"/>
                      <w:sz w:val="21"/>
                      <w:szCs w:val="21"/>
                    </w:rPr>
                    <w:t>出烘干机皮带转运站</w:t>
                  </w:r>
                  <w:r>
                    <w:rPr>
                      <w:rFonts w:hint="eastAsia"/>
                      <w:b w:val="0"/>
                      <w:bCs w:val="0"/>
                      <w:color w:val="auto"/>
                      <w:sz w:val="21"/>
                      <w:szCs w:val="21"/>
                      <w:lang w:eastAsia="zh-CN"/>
                    </w:rPr>
                    <w:t>落</w:t>
                  </w:r>
                  <w:r>
                    <w:rPr>
                      <w:rFonts w:hint="eastAsia"/>
                      <w:b w:val="0"/>
                      <w:bCs w:val="0"/>
                      <w:color w:val="auto"/>
                      <w:sz w:val="21"/>
                      <w:szCs w:val="21"/>
                      <w:lang w:val="en-US" w:eastAsia="zh-CN"/>
                    </w:rPr>
                    <w:t>料粉尘</w:t>
                  </w:r>
                </w:p>
              </w:tc>
              <w:tc>
                <w:tcPr>
                  <w:tcW w:w="2843" w:type="dxa"/>
                  <w:gridSpan w:val="3"/>
                  <w:vAlign w:val="center"/>
                </w:tcPr>
                <w:p w14:paraId="36EF79A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b w:val="0"/>
                      <w:bCs w:val="0"/>
                      <w:color w:val="auto"/>
                      <w:sz w:val="21"/>
                      <w:szCs w:val="21"/>
                      <w:lang w:val="en-US" w:eastAsia="zh-CN"/>
                    </w:rPr>
                  </w:pPr>
                  <w:r>
                    <w:rPr>
                      <w:rFonts w:hint="eastAsia"/>
                      <w:b w:val="0"/>
                      <w:bCs w:val="0"/>
                      <w:color w:val="auto"/>
                      <w:sz w:val="21"/>
                      <w:szCs w:val="21"/>
                      <w:lang w:eastAsia="zh-CN"/>
                    </w:rPr>
                    <w:t>进成品堆棚转运站落</w:t>
                  </w:r>
                  <w:r>
                    <w:rPr>
                      <w:rFonts w:hint="eastAsia"/>
                      <w:b w:val="0"/>
                      <w:bCs w:val="0"/>
                      <w:color w:val="auto"/>
                      <w:sz w:val="21"/>
                      <w:szCs w:val="21"/>
                      <w:lang w:val="en-US" w:eastAsia="zh-CN"/>
                    </w:rPr>
                    <w:t>料粉尘</w:t>
                  </w:r>
                </w:p>
              </w:tc>
            </w:tr>
            <w:tr w14:paraId="03B3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0" w:type="dxa"/>
                  <w:gridSpan w:val="3"/>
                  <w:vAlign w:val="center"/>
                </w:tcPr>
                <w:p w14:paraId="0C3661C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3009" w:type="dxa"/>
                  <w:gridSpan w:val="3"/>
                  <w:vAlign w:val="center"/>
                </w:tcPr>
                <w:p w14:paraId="0556F6F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2843" w:type="dxa"/>
                  <w:gridSpan w:val="3"/>
                  <w:vAlign w:val="center"/>
                </w:tcPr>
                <w:p w14:paraId="5285507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r>
            <w:tr w14:paraId="16A7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0" w:type="dxa"/>
                  <w:gridSpan w:val="3"/>
                  <w:vAlign w:val="center"/>
                </w:tcPr>
                <w:p w14:paraId="22DA40A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1733" w:type="dxa"/>
                  <w:vAlign w:val="center"/>
                </w:tcPr>
                <w:p w14:paraId="2830BE2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11.4716</w:t>
                  </w:r>
                </w:p>
              </w:tc>
              <w:tc>
                <w:tcPr>
                  <w:tcW w:w="1276" w:type="dxa"/>
                  <w:gridSpan w:val="2"/>
                  <w:vAlign w:val="center"/>
                </w:tcPr>
                <w:p w14:paraId="25EAD63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2.0244</w:t>
                  </w:r>
                </w:p>
              </w:tc>
              <w:tc>
                <w:tcPr>
                  <w:tcW w:w="1391" w:type="dxa"/>
                  <w:vAlign w:val="center"/>
                </w:tcPr>
                <w:p w14:paraId="39A9410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10.0756</w:t>
                  </w:r>
                </w:p>
              </w:tc>
              <w:tc>
                <w:tcPr>
                  <w:tcW w:w="1452" w:type="dxa"/>
                  <w:gridSpan w:val="2"/>
                  <w:vAlign w:val="center"/>
                </w:tcPr>
                <w:p w14:paraId="4163FBA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1.7780</w:t>
                  </w:r>
                </w:p>
              </w:tc>
            </w:tr>
            <w:tr w14:paraId="2F05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743C524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1733" w:type="dxa"/>
                  <w:vAlign w:val="center"/>
                </w:tcPr>
                <w:p w14:paraId="7692478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231.06</w:t>
                  </w:r>
                </w:p>
              </w:tc>
              <w:tc>
                <w:tcPr>
                  <w:tcW w:w="1276" w:type="dxa"/>
                  <w:gridSpan w:val="2"/>
                  <w:vAlign w:val="center"/>
                </w:tcPr>
                <w:p w14:paraId="2DE9308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4A0E5CE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202.94</w:t>
                  </w:r>
                </w:p>
              </w:tc>
              <w:tc>
                <w:tcPr>
                  <w:tcW w:w="1452" w:type="dxa"/>
                  <w:gridSpan w:val="2"/>
                  <w:vAlign w:val="center"/>
                </w:tcPr>
                <w:p w14:paraId="755EF72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6F9A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037E324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1733" w:type="dxa"/>
                  <w:vAlign w:val="center"/>
                </w:tcPr>
                <w:p w14:paraId="71E9CB1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276" w:type="dxa"/>
                  <w:gridSpan w:val="2"/>
                  <w:vAlign w:val="center"/>
                </w:tcPr>
                <w:p w14:paraId="19EBEC3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c>
                <w:tcPr>
                  <w:tcW w:w="1391" w:type="dxa"/>
                  <w:vAlign w:val="center"/>
                </w:tcPr>
                <w:p w14:paraId="4B82C69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452" w:type="dxa"/>
                  <w:gridSpan w:val="2"/>
                  <w:vAlign w:val="center"/>
                </w:tcPr>
                <w:p w14:paraId="040B80C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r>
            <w:tr w14:paraId="0475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636" w:type="dxa"/>
                  <w:vMerge w:val="restart"/>
                  <w:vAlign w:val="center"/>
                </w:tcPr>
                <w:p w14:paraId="78E31B0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974" w:type="dxa"/>
                  <w:gridSpan w:val="2"/>
                  <w:vAlign w:val="center"/>
                </w:tcPr>
                <w:p w14:paraId="7B1CFD8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1733" w:type="dxa"/>
                  <w:vAlign w:val="center"/>
                </w:tcPr>
                <w:p w14:paraId="2250613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7388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276" w:type="dxa"/>
                  <w:gridSpan w:val="2"/>
                  <w:vAlign w:val="center"/>
                </w:tcPr>
                <w:p w14:paraId="5BC08D7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91" w:type="dxa"/>
                  <w:vAlign w:val="center"/>
                </w:tcPr>
                <w:p w14:paraId="5BAE858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7388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452" w:type="dxa"/>
                  <w:gridSpan w:val="2"/>
                  <w:vAlign w:val="center"/>
                </w:tcPr>
                <w:p w14:paraId="7FDA5B5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1E10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4AA1E66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48802D8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1733" w:type="dxa"/>
                  <w:vAlign w:val="center"/>
                </w:tcPr>
                <w:p w14:paraId="0EF1F0E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r>
                    <w:rPr>
                      <w:rFonts w:hint="eastAsia" w:cs="Times New Roman"/>
                      <w:b w:val="0"/>
                      <w:bCs/>
                      <w:color w:val="auto"/>
                      <w:spacing w:val="-10"/>
                      <w:sz w:val="21"/>
                      <w:szCs w:val="21"/>
                      <w:highlight w:val="none"/>
                      <w:vertAlign w:val="baseline"/>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276" w:type="dxa"/>
                  <w:gridSpan w:val="2"/>
                  <w:vAlign w:val="center"/>
                </w:tcPr>
                <w:p w14:paraId="0DA6051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1B80D0C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r>
                    <w:rPr>
                      <w:rFonts w:hint="eastAsia" w:cs="Times New Roman"/>
                      <w:b w:val="0"/>
                      <w:bCs/>
                      <w:color w:val="auto"/>
                      <w:spacing w:val="-10"/>
                      <w:sz w:val="21"/>
                      <w:szCs w:val="21"/>
                      <w:highlight w:val="none"/>
                      <w:vertAlign w:val="baseline"/>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452" w:type="dxa"/>
                  <w:gridSpan w:val="2"/>
                  <w:vAlign w:val="center"/>
                </w:tcPr>
                <w:p w14:paraId="0CB2E57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4EDB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2760C8B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4FC2030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1733" w:type="dxa"/>
                  <w:vAlign w:val="center"/>
                </w:tcPr>
                <w:p w14:paraId="010A103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p>
              </w:tc>
              <w:tc>
                <w:tcPr>
                  <w:tcW w:w="1276" w:type="dxa"/>
                  <w:gridSpan w:val="2"/>
                  <w:vAlign w:val="center"/>
                </w:tcPr>
                <w:p w14:paraId="7A62B07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厂房阻隔、自然沉降</w:t>
                  </w:r>
                </w:p>
              </w:tc>
              <w:tc>
                <w:tcPr>
                  <w:tcW w:w="1391" w:type="dxa"/>
                  <w:vAlign w:val="center"/>
                </w:tcPr>
                <w:p w14:paraId="723CF43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布袋除尘器</w:t>
                  </w:r>
                </w:p>
              </w:tc>
              <w:tc>
                <w:tcPr>
                  <w:tcW w:w="1452" w:type="dxa"/>
                  <w:gridSpan w:val="2"/>
                  <w:vAlign w:val="center"/>
                </w:tcPr>
                <w:p w14:paraId="7A87CE0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厂房阻隔、自然沉降</w:t>
                  </w:r>
                </w:p>
              </w:tc>
            </w:tr>
            <w:tr w14:paraId="699C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36" w:type="dxa"/>
                  <w:vMerge w:val="continue"/>
                  <w:vAlign w:val="center"/>
                </w:tcPr>
                <w:p w14:paraId="04D8580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682D830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1733" w:type="dxa"/>
                  <w:vAlign w:val="center"/>
                </w:tcPr>
                <w:p w14:paraId="4459F50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276" w:type="dxa"/>
                  <w:gridSpan w:val="2"/>
                  <w:vAlign w:val="center"/>
                </w:tcPr>
                <w:p w14:paraId="49A1A45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w:t>
                  </w: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1391" w:type="dxa"/>
                  <w:vAlign w:val="center"/>
                </w:tcPr>
                <w:p w14:paraId="5B000AD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452" w:type="dxa"/>
                  <w:gridSpan w:val="2"/>
                  <w:vAlign w:val="center"/>
                </w:tcPr>
                <w:p w14:paraId="11E3FF2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w:t>
                  </w:r>
                  <w:r>
                    <w:rPr>
                      <w:rFonts w:hint="default" w:ascii="Times New Roman" w:hAnsi="Times New Roman" w:eastAsia="宋体" w:cs="Times New Roman"/>
                      <w:b w:val="0"/>
                      <w:bCs/>
                      <w:color w:val="auto"/>
                      <w:spacing w:val="-10"/>
                      <w:sz w:val="21"/>
                      <w:szCs w:val="21"/>
                      <w:highlight w:val="none"/>
                      <w:vertAlign w:val="baseline"/>
                      <w:lang w:val="en-US" w:eastAsia="zh-CN"/>
                    </w:rPr>
                    <w:t>0%</w:t>
                  </w:r>
                </w:p>
              </w:tc>
            </w:tr>
            <w:tr w14:paraId="575B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241839E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6ADF05B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1733" w:type="dxa"/>
                  <w:vAlign w:val="center"/>
                </w:tcPr>
                <w:p w14:paraId="124CDF8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276" w:type="dxa"/>
                  <w:gridSpan w:val="2"/>
                  <w:vAlign w:val="center"/>
                </w:tcPr>
                <w:p w14:paraId="1AF90CE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2D5C818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452" w:type="dxa"/>
                  <w:gridSpan w:val="2"/>
                  <w:vAlign w:val="center"/>
                </w:tcPr>
                <w:p w14:paraId="26A003A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6FAD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1191296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1733" w:type="dxa"/>
                  <w:vAlign w:val="center"/>
                </w:tcPr>
                <w:p w14:paraId="67EBA8D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0.92</w:t>
                  </w:r>
                </w:p>
              </w:tc>
              <w:tc>
                <w:tcPr>
                  <w:tcW w:w="1276" w:type="dxa"/>
                  <w:gridSpan w:val="2"/>
                  <w:vAlign w:val="center"/>
                </w:tcPr>
                <w:p w14:paraId="479076B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20B846F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0.81</w:t>
                  </w:r>
                </w:p>
              </w:tc>
              <w:tc>
                <w:tcPr>
                  <w:tcW w:w="1452" w:type="dxa"/>
                  <w:gridSpan w:val="2"/>
                  <w:vAlign w:val="center"/>
                </w:tcPr>
                <w:p w14:paraId="6192C46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3544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610" w:type="dxa"/>
                  <w:gridSpan w:val="3"/>
                  <w:vAlign w:val="center"/>
                </w:tcPr>
                <w:p w14:paraId="722B5B9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1733" w:type="dxa"/>
                  <w:vAlign w:val="center"/>
                </w:tcPr>
                <w:p w14:paraId="6DD6EC8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0.0068</w:t>
                  </w:r>
                </w:p>
              </w:tc>
              <w:tc>
                <w:tcPr>
                  <w:tcW w:w="1276" w:type="dxa"/>
                  <w:gridSpan w:val="2"/>
                  <w:vAlign w:val="center"/>
                </w:tcPr>
                <w:p w14:paraId="078C45D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0.0602</w:t>
                  </w:r>
                </w:p>
              </w:tc>
              <w:tc>
                <w:tcPr>
                  <w:tcW w:w="1391" w:type="dxa"/>
                  <w:vAlign w:val="center"/>
                </w:tcPr>
                <w:p w14:paraId="7BEF45E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0.0060</w:t>
                  </w:r>
                </w:p>
              </w:tc>
              <w:tc>
                <w:tcPr>
                  <w:tcW w:w="1452" w:type="dxa"/>
                  <w:gridSpan w:val="2"/>
                  <w:vAlign w:val="center"/>
                </w:tcPr>
                <w:p w14:paraId="14B7CB9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0.0529</w:t>
                  </w:r>
                </w:p>
              </w:tc>
            </w:tr>
            <w:tr w14:paraId="7A8F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22C6C71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1733" w:type="dxa"/>
                  <w:vAlign w:val="center"/>
                </w:tcPr>
                <w:p w14:paraId="6D359B2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0.0459</w:t>
                  </w:r>
                </w:p>
              </w:tc>
              <w:tc>
                <w:tcPr>
                  <w:tcW w:w="1276" w:type="dxa"/>
                  <w:gridSpan w:val="2"/>
                  <w:vAlign w:val="center"/>
                </w:tcPr>
                <w:p w14:paraId="6002786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0.4049</w:t>
                  </w:r>
                </w:p>
              </w:tc>
              <w:tc>
                <w:tcPr>
                  <w:tcW w:w="1391" w:type="dxa"/>
                  <w:vAlign w:val="center"/>
                </w:tcPr>
                <w:p w14:paraId="7938EF7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0.0403</w:t>
                  </w:r>
                </w:p>
              </w:tc>
              <w:tc>
                <w:tcPr>
                  <w:tcW w:w="1452" w:type="dxa"/>
                  <w:gridSpan w:val="2"/>
                  <w:vAlign w:val="center"/>
                </w:tcPr>
                <w:p w14:paraId="7BBE718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0.3556</w:t>
                  </w:r>
                </w:p>
              </w:tc>
            </w:tr>
            <w:tr w14:paraId="4D2B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restart"/>
                  <w:vAlign w:val="center"/>
                </w:tcPr>
                <w:p w14:paraId="733D747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974" w:type="dxa"/>
                  <w:gridSpan w:val="2"/>
                  <w:vAlign w:val="center"/>
                </w:tcPr>
                <w:p w14:paraId="23397BB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1733" w:type="dxa"/>
                  <w:vAlign w:val="center"/>
                </w:tcPr>
                <w:p w14:paraId="6AC88F2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20</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276" w:type="dxa"/>
                  <w:gridSpan w:val="2"/>
                  <w:vAlign w:val="center"/>
                </w:tcPr>
                <w:p w14:paraId="5B3CD7F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2985304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26.5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452" w:type="dxa"/>
                  <w:gridSpan w:val="2"/>
                  <w:vAlign w:val="center"/>
                </w:tcPr>
                <w:p w14:paraId="1E28E56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738C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3152991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2995719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1733" w:type="dxa"/>
                  <w:vAlign w:val="center"/>
                </w:tcPr>
                <w:p w14:paraId="5D5C92E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45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276" w:type="dxa"/>
                  <w:gridSpan w:val="2"/>
                  <w:vAlign w:val="center"/>
                </w:tcPr>
                <w:p w14:paraId="7FD60C8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39C4500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45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452" w:type="dxa"/>
                  <w:gridSpan w:val="2"/>
                  <w:vAlign w:val="center"/>
                </w:tcPr>
                <w:p w14:paraId="585FF28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72EE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164C4A6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417C8C6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1733" w:type="dxa"/>
                  <w:vAlign w:val="center"/>
                </w:tcPr>
                <w:p w14:paraId="66DCD15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1276" w:type="dxa"/>
                  <w:gridSpan w:val="2"/>
                  <w:vAlign w:val="center"/>
                </w:tcPr>
                <w:p w14:paraId="6839B28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1140E49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1452" w:type="dxa"/>
                  <w:gridSpan w:val="2"/>
                  <w:vAlign w:val="center"/>
                </w:tcPr>
                <w:p w14:paraId="66FE1DA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632C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26C9339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2C32DEB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1733" w:type="dxa"/>
                  <w:vAlign w:val="center"/>
                </w:tcPr>
                <w:p w14:paraId="1BB76F1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w:t>
                  </w:r>
                  <w:r>
                    <w:rPr>
                      <w:rFonts w:hint="eastAsia" w:cs="Times New Roman"/>
                      <w:b w:val="0"/>
                      <w:bCs/>
                      <w:color w:val="auto"/>
                      <w:spacing w:val="-10"/>
                      <w:sz w:val="21"/>
                      <w:szCs w:val="21"/>
                      <w:highlight w:val="none"/>
                      <w:vertAlign w:val="baseline"/>
                      <w:lang w:val="en-US" w:eastAsia="zh-CN"/>
                    </w:rPr>
                    <w:t>11</w:t>
                  </w:r>
                </w:p>
              </w:tc>
              <w:tc>
                <w:tcPr>
                  <w:tcW w:w="1276" w:type="dxa"/>
                  <w:gridSpan w:val="2"/>
                  <w:vAlign w:val="center"/>
                </w:tcPr>
                <w:p w14:paraId="011CD98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0B5BF74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w:t>
                  </w:r>
                  <w:r>
                    <w:rPr>
                      <w:rFonts w:hint="eastAsia" w:cs="Times New Roman"/>
                      <w:b w:val="0"/>
                      <w:bCs/>
                      <w:color w:val="auto"/>
                      <w:spacing w:val="-10"/>
                      <w:sz w:val="21"/>
                      <w:szCs w:val="21"/>
                      <w:highlight w:val="none"/>
                      <w:vertAlign w:val="baseline"/>
                      <w:lang w:val="en-US" w:eastAsia="zh-CN"/>
                    </w:rPr>
                    <w:t>12</w:t>
                  </w:r>
                </w:p>
              </w:tc>
              <w:tc>
                <w:tcPr>
                  <w:tcW w:w="1452" w:type="dxa"/>
                  <w:gridSpan w:val="2"/>
                  <w:vAlign w:val="center"/>
                </w:tcPr>
                <w:p w14:paraId="3E521BB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501E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42773B7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76A44D5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1733" w:type="dxa"/>
                  <w:vAlign w:val="center"/>
                </w:tcPr>
                <w:p w14:paraId="0575005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276" w:type="dxa"/>
                  <w:gridSpan w:val="2"/>
                  <w:vAlign w:val="center"/>
                </w:tcPr>
                <w:p w14:paraId="0374207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69F2920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452" w:type="dxa"/>
                  <w:gridSpan w:val="2"/>
                  <w:vAlign w:val="center"/>
                </w:tcPr>
                <w:p w14:paraId="027CF04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6194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34E3D79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0EBDCCB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3009" w:type="dxa"/>
                  <w:gridSpan w:val="3"/>
                  <w:vAlign w:val="center"/>
                </w:tcPr>
                <w:p w14:paraId="327D9AE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DA011：</w:t>
                  </w:r>
                  <w:r>
                    <w:rPr>
                      <w:rFonts w:hint="default" w:ascii="Times New Roman" w:hAnsi="Times New Roman" w:eastAsia="宋体" w:cs="Times New Roman"/>
                      <w:b w:val="0"/>
                      <w:bCs/>
                      <w:color w:val="auto"/>
                      <w:spacing w:val="-10"/>
                      <w:sz w:val="21"/>
                      <w:szCs w:val="21"/>
                      <w:highlight w:val="none"/>
                      <w:vertAlign w:val="baseline"/>
                      <w:lang w:val="en-US" w:eastAsia="zh-CN"/>
                    </w:rPr>
                    <w:t>E：103°11′46.088″，N：25°33′</w:t>
                  </w:r>
                  <w:r>
                    <w:rPr>
                      <w:rFonts w:hint="eastAsia" w:cs="Times New Roman"/>
                      <w:b w:val="0"/>
                      <w:bCs/>
                      <w:color w:val="auto"/>
                      <w:spacing w:val="-10"/>
                      <w:sz w:val="21"/>
                      <w:szCs w:val="21"/>
                      <w:highlight w:val="none"/>
                      <w:vertAlign w:val="baseline"/>
                      <w:lang w:val="en-US" w:eastAsia="zh-CN"/>
                    </w:rPr>
                    <w:t>38.555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843" w:type="dxa"/>
                  <w:gridSpan w:val="3"/>
                  <w:vAlign w:val="center"/>
                </w:tcPr>
                <w:p w14:paraId="495728C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DA012：</w:t>
                  </w:r>
                  <w:r>
                    <w:rPr>
                      <w:rFonts w:hint="default" w:ascii="Times New Roman" w:hAnsi="Times New Roman" w:eastAsia="宋体" w:cs="Times New Roman"/>
                      <w:b w:val="0"/>
                      <w:bCs/>
                      <w:color w:val="auto"/>
                      <w:spacing w:val="-10"/>
                      <w:sz w:val="21"/>
                      <w:szCs w:val="21"/>
                      <w:highlight w:val="none"/>
                      <w:vertAlign w:val="baseline"/>
                      <w:lang w:val="en-US" w:eastAsia="zh-CN"/>
                    </w:rPr>
                    <w:t>E：103°11′4</w:t>
                  </w:r>
                  <w:r>
                    <w:rPr>
                      <w:rFonts w:hint="eastAsia" w:cs="Times New Roman"/>
                      <w:b w:val="0"/>
                      <w:bCs/>
                      <w:color w:val="auto"/>
                      <w:spacing w:val="-10"/>
                      <w:sz w:val="21"/>
                      <w:szCs w:val="21"/>
                      <w:highlight w:val="none"/>
                      <w:vertAlign w:val="baseline"/>
                      <w:lang w:val="en-US" w:eastAsia="zh-CN"/>
                    </w:rPr>
                    <w:t>7.130</w:t>
                  </w:r>
                  <w:r>
                    <w:rPr>
                      <w:rFonts w:hint="default" w:ascii="Times New Roman" w:hAnsi="Times New Roman" w:eastAsia="宋体" w:cs="Times New Roman"/>
                      <w:b w:val="0"/>
                      <w:bCs/>
                      <w:color w:val="auto"/>
                      <w:spacing w:val="-10"/>
                      <w:sz w:val="21"/>
                      <w:szCs w:val="21"/>
                      <w:highlight w:val="none"/>
                      <w:vertAlign w:val="baseline"/>
                      <w:lang w:val="en-US" w:eastAsia="zh-CN"/>
                    </w:rPr>
                    <w:t>″，N：25°33′38.8</w:t>
                  </w:r>
                  <w:r>
                    <w:rPr>
                      <w:rFonts w:hint="eastAsia" w:cs="Times New Roman"/>
                      <w:b w:val="0"/>
                      <w:bCs/>
                      <w:color w:val="auto"/>
                      <w:spacing w:val="-10"/>
                      <w:sz w:val="21"/>
                      <w:szCs w:val="21"/>
                      <w:highlight w:val="none"/>
                      <w:vertAlign w:val="baseline"/>
                      <w:lang w:val="en-US" w:eastAsia="zh-CN"/>
                    </w:rPr>
                    <w:t>84</w:t>
                  </w: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4781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126A545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5852" w:type="dxa"/>
                  <w:gridSpan w:val="6"/>
                  <w:vAlign w:val="center"/>
                </w:tcPr>
                <w:p w14:paraId="50CA1D4E">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shd w:val="clear" w:color="auto" w:fill="auto"/>
                      <w:lang w:val="zh-CN" w:eastAsia="zh-CN"/>
                    </w:rPr>
                    <w:t>执行</w:t>
                  </w:r>
                  <w:r>
                    <w:rPr>
                      <w:rFonts w:hint="default" w:ascii="Times New Roman" w:hAnsi="Times New Roman" w:cs="Times New Roman"/>
                      <w:color w:val="auto"/>
                      <w:sz w:val="21"/>
                      <w:szCs w:val="21"/>
                      <w:shd w:val="clear" w:color="auto" w:fill="auto"/>
                      <w:lang w:val="zh-CN" w:eastAsia="zh-CN"/>
                    </w:rPr>
                    <w:t>《大气污染物综合排放标准》（GB16297-1996）表2中二级标准</w:t>
                  </w:r>
                  <w:r>
                    <w:rPr>
                      <w:color w:val="auto"/>
                      <w:sz w:val="21"/>
                      <w:szCs w:val="21"/>
                    </w:rPr>
                    <w:t>要求</w:t>
                  </w:r>
                  <w:r>
                    <w:rPr>
                      <w:rFonts w:hint="eastAsia"/>
                      <w:color w:val="auto"/>
                      <w:sz w:val="21"/>
                      <w:szCs w:val="21"/>
                      <w:lang w:eastAsia="zh-CN"/>
                    </w:rPr>
                    <w:t>。</w:t>
                  </w:r>
                </w:p>
              </w:tc>
            </w:tr>
            <w:tr w14:paraId="67287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gridSpan w:val="2"/>
                  <w:vMerge w:val="restart"/>
                  <w:vAlign w:val="center"/>
                </w:tcPr>
                <w:p w14:paraId="341139F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720" w:type="dxa"/>
                  <w:vAlign w:val="center"/>
                </w:tcPr>
                <w:p w14:paraId="1E9F714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1824" w:type="dxa"/>
                  <w:gridSpan w:val="2"/>
                  <w:vAlign w:val="center"/>
                </w:tcPr>
                <w:p w14:paraId="54D24A9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w:t>
                  </w:r>
                  <w:r>
                    <w:rPr>
                      <w:rFonts w:hint="eastAsia" w:cs="Times New Roman"/>
                      <w:b w:val="0"/>
                      <w:bCs w:val="0"/>
                      <w:color w:val="auto"/>
                      <w:spacing w:val="-10"/>
                      <w:sz w:val="21"/>
                      <w:szCs w:val="21"/>
                      <w:highlight w:val="none"/>
                      <w:vertAlign w:val="baseline"/>
                      <w:lang w:val="en-US" w:eastAsia="zh-CN"/>
                    </w:rPr>
                    <w:t>11</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c>
                <w:tcPr>
                  <w:tcW w:w="1185" w:type="dxa"/>
                  <w:vAlign w:val="center"/>
                </w:tcPr>
                <w:p w14:paraId="6688628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c>
                <w:tcPr>
                  <w:tcW w:w="1593" w:type="dxa"/>
                  <w:gridSpan w:val="2"/>
                  <w:vAlign w:val="center"/>
                </w:tcPr>
                <w:p w14:paraId="0066466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w:t>
                  </w:r>
                  <w:r>
                    <w:rPr>
                      <w:rFonts w:hint="eastAsia" w:cs="Times New Roman"/>
                      <w:b w:val="0"/>
                      <w:bCs w:val="0"/>
                      <w:color w:val="auto"/>
                      <w:spacing w:val="-10"/>
                      <w:sz w:val="21"/>
                      <w:szCs w:val="21"/>
                      <w:highlight w:val="none"/>
                      <w:vertAlign w:val="baseline"/>
                      <w:lang w:val="en-US" w:eastAsia="zh-CN"/>
                    </w:rPr>
                    <w:t>12</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c>
                <w:tcPr>
                  <w:tcW w:w="1250" w:type="dxa"/>
                  <w:vAlign w:val="center"/>
                </w:tcPr>
                <w:p w14:paraId="284C0A7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r>
            <w:tr w14:paraId="79FA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gridSpan w:val="2"/>
                  <w:vMerge w:val="continue"/>
                  <w:vAlign w:val="center"/>
                </w:tcPr>
                <w:p w14:paraId="4176FCF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20" w:type="dxa"/>
                  <w:vAlign w:val="center"/>
                </w:tcPr>
                <w:p w14:paraId="218B6C6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3009" w:type="dxa"/>
                  <w:gridSpan w:val="3"/>
                  <w:vAlign w:val="center"/>
                </w:tcPr>
                <w:p w14:paraId="70C8359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c>
                <w:tcPr>
                  <w:tcW w:w="2843" w:type="dxa"/>
                  <w:gridSpan w:val="3"/>
                  <w:vAlign w:val="center"/>
                </w:tcPr>
                <w:p w14:paraId="361959E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r>
            <w:tr w14:paraId="0327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gridSpan w:val="2"/>
                  <w:vMerge w:val="continue"/>
                  <w:vAlign w:val="center"/>
                </w:tcPr>
                <w:p w14:paraId="3E59003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20" w:type="dxa"/>
                  <w:vAlign w:val="center"/>
                </w:tcPr>
                <w:p w14:paraId="3422EA4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1824" w:type="dxa"/>
                  <w:gridSpan w:val="2"/>
                  <w:vAlign w:val="center"/>
                </w:tcPr>
                <w:p w14:paraId="093FCBC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c>
                <w:tcPr>
                  <w:tcW w:w="1185" w:type="dxa"/>
                  <w:vAlign w:val="center"/>
                </w:tcPr>
                <w:p w14:paraId="74578DE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c>
                <w:tcPr>
                  <w:tcW w:w="1593" w:type="dxa"/>
                  <w:gridSpan w:val="2"/>
                  <w:vAlign w:val="center"/>
                </w:tcPr>
                <w:p w14:paraId="5E9560E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c>
                <w:tcPr>
                  <w:tcW w:w="1250" w:type="dxa"/>
                  <w:vAlign w:val="center"/>
                </w:tcPr>
                <w:p w14:paraId="0EE7427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r>
          </w:tbl>
          <w:p w14:paraId="794B5DE3">
            <w:pPr>
              <w:adjustRightInd w:val="0"/>
              <w:snapToGrid w:val="0"/>
              <w:spacing w:line="360" w:lineRule="auto"/>
              <w:ind w:firstLine="482" w:firstLineChars="200"/>
              <w:rPr>
                <w:rFonts w:hint="default"/>
                <w:b/>
                <w:bCs/>
                <w:color w:val="auto"/>
                <w:sz w:val="24"/>
                <w:lang w:val="en-US" w:eastAsia="zh-CN"/>
              </w:rPr>
            </w:pPr>
            <w:r>
              <w:rPr>
                <w:rFonts w:hint="eastAsia"/>
                <w:b/>
                <w:bCs/>
                <w:color w:val="auto"/>
                <w:sz w:val="24"/>
                <w:lang w:val="en-US" w:eastAsia="zh-CN"/>
              </w:rPr>
              <w:t>C：</w:t>
            </w:r>
            <w:r>
              <w:rPr>
                <w:rFonts w:hint="eastAsia"/>
                <w:b/>
                <w:bCs/>
                <w:color w:val="auto"/>
                <w:sz w:val="24"/>
                <w:lang w:eastAsia="zh-CN"/>
              </w:rPr>
              <w:t>出成品堆棚皮带转运站落</w:t>
            </w:r>
            <w:r>
              <w:rPr>
                <w:rFonts w:hint="eastAsia" w:ascii="Times New Roman" w:hAnsi="Times New Roman" w:eastAsia="宋体" w:cs="Times New Roman"/>
                <w:b/>
                <w:bCs/>
                <w:color w:val="auto"/>
                <w:sz w:val="24"/>
                <w:szCs w:val="24"/>
                <w:highlight w:val="none"/>
                <w:lang w:val="en-US" w:eastAsia="zh-CN"/>
              </w:rPr>
              <w:t>料粉尘</w:t>
            </w:r>
          </w:p>
          <w:p w14:paraId="43197748">
            <w:pPr>
              <w:adjustRightInd w:val="0"/>
              <w:snapToGrid w:val="0"/>
              <w:spacing w:line="360" w:lineRule="auto"/>
              <w:ind w:firstLine="480" w:firstLineChars="200"/>
              <w:rPr>
                <w:rFonts w:eastAsia="Times New Roman"/>
                <w:color w:val="auto"/>
                <w:sz w:val="24"/>
                <w:lang w:val="zh-CN"/>
              </w:rPr>
            </w:pPr>
            <w:r>
              <w:rPr>
                <w:rFonts w:hint="eastAsia"/>
                <w:color w:val="auto"/>
                <w:sz w:val="24"/>
                <w:lang w:eastAsia="zh-CN"/>
              </w:rPr>
              <w:t>项目出成品堆棚皮带转运站落</w:t>
            </w:r>
            <w:r>
              <w:rPr>
                <w:rFonts w:hint="eastAsia" w:ascii="Times New Roman" w:hAnsi="Times New Roman" w:eastAsia="宋体" w:cs="Times New Roman"/>
                <w:color w:val="auto"/>
                <w:sz w:val="24"/>
                <w:szCs w:val="24"/>
                <w:highlight w:val="none"/>
                <w:lang w:val="en-US" w:eastAsia="zh-CN"/>
              </w:rPr>
              <w:t>料粉尘</w:t>
            </w:r>
            <w:r>
              <w:rPr>
                <w:rFonts w:hint="eastAsia"/>
                <w:color w:val="auto"/>
                <w:sz w:val="24"/>
                <w:lang w:eastAsia="zh-CN"/>
              </w:rPr>
              <w:t>经集气罩</w:t>
            </w:r>
            <w:r>
              <w:rPr>
                <w:rFonts w:hint="eastAsia"/>
                <w:color w:val="auto"/>
                <w:sz w:val="24"/>
                <w:lang w:val="en-US" w:eastAsia="zh-CN"/>
              </w:rPr>
              <w:t>+</w:t>
            </w:r>
            <w:r>
              <w:rPr>
                <w:rFonts w:hint="eastAsia"/>
                <w:color w:val="auto"/>
                <w:sz w:val="24"/>
                <w:lang w:eastAsia="zh-CN"/>
              </w:rPr>
              <w:t>风管</w:t>
            </w:r>
            <w:r>
              <w:rPr>
                <w:rFonts w:hint="eastAsia"/>
                <w:color w:val="auto"/>
                <w:sz w:val="24"/>
              </w:rPr>
              <w:t>（</w:t>
            </w:r>
            <w:r>
              <w:rPr>
                <w:rFonts w:hint="eastAsia" w:eastAsia="Times New Roman"/>
                <w:color w:val="auto"/>
                <w:sz w:val="24"/>
                <w:lang w:val="zh-CN"/>
              </w:rPr>
              <w:t>集气效率为</w:t>
            </w:r>
            <w:r>
              <w:rPr>
                <w:rFonts w:hint="eastAsia" w:eastAsia="宋体"/>
                <w:color w:val="auto"/>
                <w:sz w:val="24"/>
                <w:lang w:val="en-US" w:eastAsia="zh-CN"/>
              </w:rPr>
              <w:t>8</w:t>
            </w:r>
            <w:r>
              <w:rPr>
                <w:rFonts w:hint="eastAsia"/>
                <w:color w:val="auto"/>
                <w:sz w:val="24"/>
                <w:lang w:val="en-US" w:eastAsia="zh-CN"/>
              </w:rPr>
              <w:t>5</w:t>
            </w:r>
            <w:r>
              <w:rPr>
                <w:rFonts w:hint="eastAsia"/>
                <w:color w:val="auto"/>
                <w:sz w:val="24"/>
              </w:rPr>
              <w:t>%）</w:t>
            </w:r>
            <w:r>
              <w:rPr>
                <w:rFonts w:hint="eastAsia"/>
                <w:color w:val="auto"/>
                <w:sz w:val="24"/>
                <w:lang w:eastAsia="zh-CN"/>
              </w:rPr>
              <w:t>收集</w:t>
            </w:r>
            <w:r>
              <w:rPr>
                <w:rFonts w:hint="eastAsia"/>
                <w:color w:val="auto"/>
                <w:sz w:val="24"/>
              </w:rPr>
              <w:t>后</w:t>
            </w:r>
            <w:r>
              <w:rPr>
                <w:rFonts w:eastAsia="Times New Roman"/>
                <w:color w:val="auto"/>
                <w:sz w:val="24"/>
                <w:lang w:val="zh-CN"/>
              </w:rPr>
              <w:t>通过</w:t>
            </w:r>
            <w:r>
              <w:rPr>
                <w:rFonts w:hint="eastAsia" w:eastAsia="Times New Roman"/>
                <w:color w:val="auto"/>
                <w:sz w:val="24"/>
                <w:lang w:val="zh-CN"/>
              </w:rPr>
              <w:t>引风机（单台风机风量</w:t>
            </w:r>
            <w:r>
              <w:rPr>
                <w:rFonts w:hint="eastAsia"/>
                <w:color w:val="auto"/>
                <w:sz w:val="24"/>
                <w:lang w:val="en-US" w:eastAsia="zh-CN"/>
              </w:rPr>
              <w:t>7388</w:t>
            </w:r>
            <w:r>
              <w:rPr>
                <w:rFonts w:hint="eastAsia"/>
                <w:color w:val="auto"/>
                <w:sz w:val="24"/>
              </w:rPr>
              <w:t>m</w:t>
            </w:r>
            <w:r>
              <w:rPr>
                <w:rFonts w:hint="eastAsia"/>
                <w:color w:val="auto"/>
                <w:sz w:val="24"/>
                <w:vertAlign w:val="superscript"/>
              </w:rPr>
              <w:t>3</w:t>
            </w:r>
            <w:r>
              <w:rPr>
                <w:rFonts w:hint="eastAsia"/>
                <w:color w:val="auto"/>
                <w:sz w:val="24"/>
              </w:rPr>
              <w:t>/h</w:t>
            </w:r>
            <w:r>
              <w:rPr>
                <w:rFonts w:hint="eastAsia" w:eastAsia="Times New Roman"/>
                <w:color w:val="auto"/>
                <w:sz w:val="24"/>
                <w:lang w:val="zh-CN"/>
              </w:rPr>
              <w:t>）引至</w:t>
            </w:r>
            <w:r>
              <w:rPr>
                <w:rFonts w:eastAsia="Times New Roman"/>
                <w:color w:val="auto"/>
                <w:sz w:val="24"/>
                <w:lang w:val="zh-CN"/>
              </w:rPr>
              <w:t>处理效率为</w:t>
            </w:r>
            <w:r>
              <w:rPr>
                <w:rFonts w:hint="eastAsia" w:eastAsia="宋体"/>
                <w:color w:val="auto"/>
                <w:sz w:val="24"/>
                <w:lang w:val="en-US" w:eastAsia="zh-CN"/>
              </w:rPr>
              <w:t>99.6</w:t>
            </w:r>
            <w:r>
              <w:rPr>
                <w:rFonts w:eastAsia="Times New Roman"/>
                <w:color w:val="auto"/>
                <w:sz w:val="24"/>
                <w:lang w:val="zh-CN"/>
              </w:rPr>
              <w:t>%的</w:t>
            </w:r>
            <w:r>
              <w:rPr>
                <w:rFonts w:hint="eastAsia" w:eastAsia="Times New Roman"/>
                <w:color w:val="auto"/>
                <w:sz w:val="24"/>
                <w:lang w:val="zh-CN"/>
              </w:rPr>
              <w:t>袋式</w:t>
            </w:r>
            <w:r>
              <w:rPr>
                <w:rFonts w:eastAsia="Times New Roman"/>
                <w:color w:val="auto"/>
                <w:sz w:val="24"/>
                <w:lang w:val="zh-CN"/>
              </w:rPr>
              <w:t>除尘器</w:t>
            </w:r>
            <w:r>
              <w:rPr>
                <w:rFonts w:hint="eastAsia" w:eastAsia="Times New Roman"/>
                <w:color w:val="auto"/>
                <w:sz w:val="24"/>
                <w:lang w:val="zh-CN"/>
              </w:rPr>
              <w:t>（两台）</w:t>
            </w:r>
            <w:r>
              <w:rPr>
                <w:rFonts w:eastAsia="Times New Roman"/>
                <w:color w:val="auto"/>
                <w:sz w:val="24"/>
                <w:lang w:val="zh-CN"/>
              </w:rPr>
              <w:t>处理</w:t>
            </w:r>
            <w:r>
              <w:rPr>
                <w:rFonts w:hint="eastAsia" w:eastAsia="Times New Roman"/>
                <w:color w:val="auto"/>
                <w:sz w:val="24"/>
                <w:lang w:val="zh-CN"/>
              </w:rPr>
              <w:t>达标</w:t>
            </w:r>
            <w:r>
              <w:rPr>
                <w:rFonts w:eastAsia="Times New Roman"/>
                <w:color w:val="auto"/>
                <w:sz w:val="24"/>
                <w:lang w:val="zh-CN"/>
              </w:rPr>
              <w:t>后，由一根</w:t>
            </w:r>
            <w:r>
              <w:rPr>
                <w:rFonts w:hint="eastAsia" w:eastAsia="Times New Roman"/>
                <w:color w:val="auto"/>
                <w:sz w:val="24"/>
                <w:lang w:val="zh-CN"/>
              </w:rPr>
              <w:t>内径</w:t>
            </w:r>
            <w:r>
              <w:rPr>
                <w:rFonts w:hint="eastAsia" w:eastAsia="宋体"/>
                <w:color w:val="auto"/>
                <w:sz w:val="24"/>
                <w:lang w:val="en-US" w:eastAsia="zh-CN"/>
              </w:rPr>
              <w:t>0.45m，</w:t>
            </w:r>
            <w:r>
              <w:rPr>
                <w:rFonts w:hint="eastAsia"/>
                <w:color w:val="auto"/>
                <w:sz w:val="24"/>
                <w:lang w:val="en-US" w:eastAsia="zh-CN"/>
              </w:rPr>
              <w:t>32.5</w:t>
            </w:r>
            <w:r>
              <w:rPr>
                <w:rFonts w:eastAsia="Times New Roman"/>
                <w:color w:val="auto"/>
                <w:sz w:val="24"/>
                <w:lang w:val="zh-CN"/>
              </w:rPr>
              <w:t>m高的排气筒</w:t>
            </w:r>
            <w:r>
              <w:rPr>
                <w:rFonts w:hint="eastAsia" w:eastAsia="Times New Roman"/>
                <w:color w:val="auto"/>
                <w:sz w:val="24"/>
                <w:lang w:val="zh-CN"/>
              </w:rPr>
              <w:t>（</w:t>
            </w:r>
            <w:r>
              <w:rPr>
                <w:rFonts w:hint="eastAsia"/>
                <w:color w:val="auto"/>
                <w:sz w:val="24"/>
              </w:rPr>
              <w:t>DA0</w:t>
            </w:r>
            <w:r>
              <w:rPr>
                <w:rFonts w:hint="eastAsia"/>
                <w:color w:val="auto"/>
                <w:sz w:val="24"/>
                <w:lang w:val="en-US" w:eastAsia="zh-CN"/>
              </w:rPr>
              <w:t>13</w:t>
            </w:r>
            <w:r>
              <w:rPr>
                <w:rFonts w:hint="eastAsia" w:eastAsia="Times New Roman"/>
                <w:color w:val="auto"/>
                <w:sz w:val="24"/>
                <w:lang w:val="zh-CN"/>
              </w:rPr>
              <w:t>）</w:t>
            </w:r>
            <w:r>
              <w:rPr>
                <w:rFonts w:eastAsia="Times New Roman"/>
                <w:color w:val="auto"/>
                <w:sz w:val="24"/>
                <w:lang w:val="zh-CN"/>
              </w:rPr>
              <w:t>排放。</w:t>
            </w:r>
          </w:p>
          <w:p w14:paraId="68D30470">
            <w:pPr>
              <w:adjustRightInd w:val="0"/>
              <w:snapToGrid w:val="0"/>
              <w:spacing w:line="360" w:lineRule="auto"/>
              <w:ind w:firstLine="480" w:firstLineChars="200"/>
              <w:rPr>
                <w:rFonts w:hint="eastAsia"/>
                <w:color w:val="auto"/>
                <w:sz w:val="24"/>
                <w:highlight w:val="none"/>
              </w:rPr>
            </w:pPr>
            <w:r>
              <w:rPr>
                <w:rFonts w:hint="eastAsia"/>
                <w:color w:val="auto"/>
                <w:sz w:val="24"/>
                <w:lang w:val="en-US" w:eastAsia="zh-CN"/>
              </w:rPr>
              <w:t>项目工程建设完成后DA013排气</w:t>
            </w:r>
            <w:r>
              <w:rPr>
                <w:rFonts w:hint="eastAsia"/>
                <w:color w:val="auto"/>
                <w:sz w:val="24"/>
                <w:highlight w:val="none"/>
                <w:lang w:val="en-US" w:eastAsia="zh-CN"/>
              </w:rPr>
              <w:t>筒有组织粉尘</w:t>
            </w:r>
            <w:r>
              <w:rPr>
                <w:rFonts w:hint="eastAsia" w:ascii="Times New Roman" w:hAnsi="Times New Roman" w:eastAsia="宋体" w:cs="Times New Roman"/>
                <w:color w:val="auto"/>
                <w:sz w:val="24"/>
                <w:highlight w:val="none"/>
                <w:lang w:eastAsia="zh-CN"/>
              </w:rPr>
              <w:t>产生量为</w:t>
            </w:r>
            <w:r>
              <w:rPr>
                <w:rFonts w:hint="eastAsia" w:cs="Times New Roman"/>
                <w:color w:val="auto"/>
                <w:sz w:val="24"/>
                <w:highlight w:val="none"/>
                <w:lang w:val="en-US" w:eastAsia="zh-CN"/>
              </w:rPr>
              <w:t>15.0527</w:t>
            </w:r>
            <w:r>
              <w:rPr>
                <w:rFonts w:hint="eastAsia" w:ascii="Times New Roman" w:hAnsi="Times New Roman" w:eastAsia="宋体" w:cs="Times New Roman"/>
                <w:color w:val="auto"/>
                <w:sz w:val="24"/>
                <w:highlight w:val="none"/>
                <w:lang w:val="en-US" w:eastAsia="zh-CN"/>
              </w:rPr>
              <w:t>t/a，产生速率为</w:t>
            </w:r>
            <w:r>
              <w:rPr>
                <w:rFonts w:hint="eastAsia" w:cs="Times New Roman"/>
                <w:color w:val="auto"/>
                <w:sz w:val="24"/>
                <w:highlight w:val="none"/>
                <w:lang w:val="en-US" w:eastAsia="zh-CN"/>
              </w:rPr>
              <w:t>2.2400</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303.19</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eastAsia="Times New Roman"/>
                <w:color w:val="auto"/>
                <w:sz w:val="24"/>
                <w:highlight w:val="none"/>
                <w:lang w:val="zh-CN"/>
              </w:rPr>
              <w:t>有组织</w:t>
            </w:r>
            <w:r>
              <w:rPr>
                <w:rFonts w:hint="eastAsia" w:ascii="Times New Roman" w:hAnsi="Times New Roman" w:eastAsia="宋体" w:cs="Times New Roman"/>
                <w:color w:val="auto"/>
                <w:sz w:val="24"/>
                <w:highlight w:val="none"/>
                <w:lang w:eastAsia="zh-CN"/>
              </w:rPr>
              <w:t>粉尘排放量为</w:t>
            </w:r>
            <w:r>
              <w:rPr>
                <w:rFonts w:hint="eastAsia" w:cs="Times New Roman"/>
                <w:color w:val="auto"/>
                <w:sz w:val="24"/>
                <w:highlight w:val="none"/>
                <w:lang w:val="en-US" w:eastAsia="zh-CN"/>
              </w:rPr>
              <w:t>0.0602</w:t>
            </w:r>
            <w:r>
              <w:rPr>
                <w:rFonts w:hint="eastAsia" w:ascii="Times New Roman" w:hAnsi="Times New Roman" w:eastAsia="宋体" w:cs="Times New Roman"/>
                <w:color w:val="auto"/>
                <w:sz w:val="24"/>
                <w:highlight w:val="none"/>
                <w:lang w:val="en-US" w:eastAsia="zh-CN"/>
              </w:rPr>
              <w:t>t/a，排放速率为0.</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090</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1.22</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color w:val="auto"/>
                <w:sz w:val="24"/>
                <w:highlight w:val="none"/>
              </w:rPr>
              <w:t>无组织</w:t>
            </w:r>
            <w:r>
              <w:rPr>
                <w:rFonts w:hint="eastAsia"/>
                <w:color w:val="auto"/>
                <w:sz w:val="24"/>
                <w:highlight w:val="none"/>
                <w:lang w:eastAsia="zh-CN"/>
              </w:rPr>
              <w:t>产生</w:t>
            </w:r>
            <w:r>
              <w:rPr>
                <w:rFonts w:hint="eastAsia"/>
                <w:color w:val="auto"/>
                <w:sz w:val="24"/>
                <w:highlight w:val="none"/>
              </w:rPr>
              <w:t>量为</w:t>
            </w:r>
            <w:r>
              <w:rPr>
                <w:rFonts w:hint="eastAsia"/>
                <w:color w:val="auto"/>
                <w:sz w:val="24"/>
                <w:highlight w:val="none"/>
                <w:lang w:val="en-US" w:eastAsia="zh-CN"/>
              </w:rPr>
              <w:t>2.6564</w:t>
            </w:r>
            <w:r>
              <w:rPr>
                <w:rFonts w:hint="eastAsia"/>
                <w:color w:val="auto"/>
                <w:sz w:val="24"/>
                <w:highlight w:val="none"/>
              </w:rPr>
              <w:t>t/a，</w:t>
            </w:r>
            <w:r>
              <w:rPr>
                <w:rFonts w:hint="eastAsia"/>
                <w:color w:val="auto"/>
                <w:sz w:val="24"/>
                <w:highlight w:val="none"/>
                <w:lang w:eastAsia="zh-CN"/>
              </w:rPr>
              <w:t>产生</w:t>
            </w:r>
            <w:r>
              <w:rPr>
                <w:rFonts w:hint="eastAsia"/>
                <w:color w:val="auto"/>
                <w:sz w:val="24"/>
                <w:highlight w:val="none"/>
              </w:rPr>
              <w:t>速率为</w:t>
            </w:r>
            <w:r>
              <w:rPr>
                <w:rFonts w:hint="eastAsia"/>
                <w:color w:val="auto"/>
                <w:sz w:val="24"/>
                <w:highlight w:val="none"/>
                <w:lang w:val="en-US" w:eastAsia="zh-CN"/>
              </w:rPr>
              <w:t>0.3953</w:t>
            </w:r>
            <w:r>
              <w:rPr>
                <w:rFonts w:hint="eastAsia"/>
                <w:color w:val="auto"/>
                <w:sz w:val="24"/>
                <w:highlight w:val="none"/>
              </w:rPr>
              <w:t>kg/h。</w:t>
            </w:r>
          </w:p>
          <w:p w14:paraId="0DB009B7">
            <w:pPr>
              <w:adjustRightInd w:val="0"/>
              <w:snapToGrid w:val="0"/>
              <w:spacing w:line="360" w:lineRule="auto"/>
              <w:ind w:firstLine="480" w:firstLineChars="200"/>
              <w:rPr>
                <w:rFonts w:hint="eastAsia"/>
                <w:b/>
                <w:bCs/>
                <w:color w:val="auto"/>
                <w:sz w:val="24"/>
                <w:szCs w:val="24"/>
                <w:highlight w:val="none"/>
              </w:rPr>
            </w:pPr>
            <w:r>
              <w:rPr>
                <w:rFonts w:hint="eastAsia"/>
                <w:color w:val="auto"/>
                <w:sz w:val="24"/>
                <w:highlight w:val="none"/>
              </w:rPr>
              <w:t>项目</w:t>
            </w:r>
            <w:r>
              <w:rPr>
                <w:rFonts w:hint="eastAsia"/>
                <w:color w:val="auto"/>
                <w:sz w:val="24"/>
                <w:highlight w:val="none"/>
                <w:lang w:eastAsia="zh-CN"/>
              </w:rPr>
              <w:t>转载站为全封闭式</w:t>
            </w:r>
            <w:r>
              <w:rPr>
                <w:rFonts w:hint="eastAsia"/>
                <w:color w:val="auto"/>
                <w:sz w:val="24"/>
                <w:highlight w:val="none"/>
              </w:rPr>
              <w:t>，粉尘经阻隔后，大部分在</w:t>
            </w:r>
            <w:r>
              <w:rPr>
                <w:rFonts w:hint="eastAsia"/>
                <w:color w:val="auto"/>
                <w:sz w:val="24"/>
                <w:highlight w:val="none"/>
                <w:lang w:eastAsia="zh-CN"/>
              </w:rPr>
              <w:t>转载站内</w:t>
            </w:r>
            <w:r>
              <w:rPr>
                <w:rFonts w:hint="eastAsia"/>
                <w:color w:val="auto"/>
                <w:sz w:val="24"/>
                <w:highlight w:val="none"/>
              </w:rPr>
              <w:t>沉降，少部分</w:t>
            </w:r>
            <w:r>
              <w:rPr>
                <w:rFonts w:hint="eastAsia"/>
                <w:color w:val="auto"/>
                <w:sz w:val="24"/>
                <w:highlight w:val="none"/>
                <w:lang w:eastAsia="zh-CN"/>
              </w:rPr>
              <w:t>溢出，</w:t>
            </w:r>
            <w:r>
              <w:rPr>
                <w:rFonts w:hint="eastAsia"/>
                <w:color w:val="auto"/>
                <w:sz w:val="24"/>
                <w:highlight w:val="none"/>
              </w:rPr>
              <w:t>阻隔降尘效率约</w:t>
            </w:r>
            <w:r>
              <w:rPr>
                <w:rFonts w:hint="eastAsia"/>
                <w:color w:val="auto"/>
                <w:sz w:val="24"/>
                <w:highlight w:val="none"/>
                <w:lang w:val="en-US" w:eastAsia="zh-CN"/>
              </w:rPr>
              <w:t>8</w:t>
            </w:r>
            <w:r>
              <w:rPr>
                <w:rFonts w:hint="eastAsia"/>
                <w:color w:val="auto"/>
                <w:sz w:val="24"/>
                <w:highlight w:val="none"/>
              </w:rPr>
              <w:t>0%，则无组织粉尘排放量为</w:t>
            </w:r>
            <w:r>
              <w:rPr>
                <w:rFonts w:hint="eastAsia"/>
                <w:color w:val="auto"/>
                <w:sz w:val="24"/>
                <w:highlight w:val="none"/>
                <w:lang w:val="en-US" w:eastAsia="zh-CN"/>
              </w:rPr>
              <w:t>0.5313</w:t>
            </w:r>
            <w:r>
              <w:rPr>
                <w:rFonts w:hint="eastAsia"/>
                <w:color w:val="auto"/>
                <w:sz w:val="24"/>
                <w:highlight w:val="none"/>
              </w:rPr>
              <w:t>t/a，排放速率为</w:t>
            </w:r>
            <w:r>
              <w:rPr>
                <w:rFonts w:hint="eastAsia"/>
                <w:color w:val="auto"/>
                <w:sz w:val="24"/>
                <w:highlight w:val="none"/>
                <w:lang w:val="en-US" w:eastAsia="zh-CN"/>
              </w:rPr>
              <w:t>0.0791</w:t>
            </w:r>
            <w:r>
              <w:rPr>
                <w:rFonts w:hint="eastAsia"/>
                <w:color w:val="auto"/>
                <w:sz w:val="24"/>
                <w:highlight w:val="none"/>
              </w:rPr>
              <w:t>kg/h。</w:t>
            </w:r>
          </w:p>
          <w:p w14:paraId="1B2F353B">
            <w:pPr>
              <w:adjustRightInd w:val="0"/>
              <w:snapToGrid w:val="0"/>
              <w:spacing w:line="360" w:lineRule="auto"/>
              <w:ind w:firstLine="482" w:firstLineChars="200"/>
              <w:rPr>
                <w:rFonts w:hint="default"/>
                <w:b/>
                <w:bCs/>
                <w:color w:val="auto"/>
                <w:sz w:val="24"/>
                <w:lang w:val="en-US" w:eastAsia="zh-CN"/>
              </w:rPr>
            </w:pPr>
            <w:r>
              <w:rPr>
                <w:rFonts w:hint="eastAsia"/>
                <w:b/>
                <w:bCs/>
                <w:color w:val="auto"/>
                <w:sz w:val="24"/>
                <w:lang w:val="en-US" w:eastAsia="zh-CN"/>
              </w:rPr>
              <w:t>D：</w:t>
            </w:r>
            <w:r>
              <w:rPr>
                <w:rFonts w:hint="eastAsia"/>
                <w:b/>
                <w:bCs/>
                <w:color w:val="auto"/>
                <w:sz w:val="24"/>
                <w:lang w:eastAsia="zh-CN"/>
              </w:rPr>
              <w:t>成品装车车间皮带转运站落</w:t>
            </w:r>
            <w:r>
              <w:rPr>
                <w:rFonts w:hint="eastAsia" w:ascii="Times New Roman" w:hAnsi="Times New Roman" w:eastAsia="宋体" w:cs="Times New Roman"/>
                <w:b/>
                <w:bCs/>
                <w:color w:val="auto"/>
                <w:sz w:val="24"/>
                <w:szCs w:val="24"/>
                <w:highlight w:val="none"/>
                <w:lang w:val="en-US" w:eastAsia="zh-CN"/>
              </w:rPr>
              <w:t>料粉尘</w:t>
            </w:r>
          </w:p>
          <w:p w14:paraId="578A8893">
            <w:pPr>
              <w:adjustRightInd w:val="0"/>
              <w:snapToGrid w:val="0"/>
              <w:spacing w:line="360" w:lineRule="auto"/>
              <w:ind w:firstLine="480" w:firstLineChars="200"/>
              <w:rPr>
                <w:rFonts w:eastAsia="Times New Roman"/>
                <w:color w:val="auto"/>
                <w:sz w:val="24"/>
                <w:lang w:val="zh-CN"/>
              </w:rPr>
            </w:pPr>
            <w:r>
              <w:rPr>
                <w:rFonts w:hint="eastAsia"/>
                <w:color w:val="auto"/>
                <w:sz w:val="24"/>
                <w:lang w:eastAsia="zh-CN"/>
              </w:rPr>
              <w:t>项目</w:t>
            </w:r>
            <w:r>
              <w:rPr>
                <w:rFonts w:hint="eastAsia" w:ascii="Times New Roman" w:hAnsi="Times New Roman" w:eastAsia="宋体" w:cs="Times New Roman"/>
                <w:color w:val="auto"/>
                <w:sz w:val="24"/>
                <w:szCs w:val="24"/>
                <w:highlight w:val="none"/>
                <w:lang w:val="en-US" w:eastAsia="zh-CN"/>
              </w:rPr>
              <w:t>出成品装车车间皮带转运站</w:t>
            </w:r>
            <w:r>
              <w:rPr>
                <w:rFonts w:hint="eastAsia" w:cs="Times New Roman"/>
                <w:color w:val="auto"/>
                <w:sz w:val="24"/>
                <w:szCs w:val="24"/>
                <w:highlight w:val="none"/>
                <w:lang w:val="en-US" w:eastAsia="zh-CN"/>
              </w:rPr>
              <w:t>（设两个转运点）</w:t>
            </w:r>
            <w:r>
              <w:rPr>
                <w:rFonts w:hint="eastAsia"/>
                <w:color w:val="auto"/>
                <w:sz w:val="24"/>
                <w:lang w:eastAsia="zh-CN"/>
              </w:rPr>
              <w:t>落</w:t>
            </w:r>
            <w:r>
              <w:rPr>
                <w:rFonts w:hint="eastAsia" w:ascii="Times New Roman" w:hAnsi="Times New Roman" w:eastAsia="宋体" w:cs="Times New Roman"/>
                <w:color w:val="auto"/>
                <w:sz w:val="24"/>
                <w:szCs w:val="24"/>
                <w:highlight w:val="none"/>
                <w:lang w:val="en-US" w:eastAsia="zh-CN"/>
              </w:rPr>
              <w:t>料粉尘</w:t>
            </w:r>
            <w:r>
              <w:rPr>
                <w:rFonts w:hint="eastAsia"/>
                <w:color w:val="auto"/>
                <w:sz w:val="24"/>
                <w:lang w:eastAsia="zh-CN"/>
              </w:rPr>
              <w:t>经集气罩</w:t>
            </w:r>
            <w:r>
              <w:rPr>
                <w:rFonts w:hint="eastAsia"/>
                <w:color w:val="auto"/>
                <w:sz w:val="24"/>
                <w:lang w:val="en-US" w:eastAsia="zh-CN"/>
              </w:rPr>
              <w:t>+</w:t>
            </w:r>
            <w:r>
              <w:rPr>
                <w:rFonts w:hint="eastAsia"/>
                <w:color w:val="auto"/>
                <w:sz w:val="24"/>
                <w:lang w:eastAsia="zh-CN"/>
              </w:rPr>
              <w:t>风管</w:t>
            </w:r>
            <w:r>
              <w:rPr>
                <w:rFonts w:hint="eastAsia"/>
                <w:color w:val="auto"/>
                <w:sz w:val="24"/>
              </w:rPr>
              <w:t>（</w:t>
            </w:r>
            <w:r>
              <w:rPr>
                <w:rFonts w:hint="eastAsia" w:eastAsia="Times New Roman"/>
                <w:color w:val="auto"/>
                <w:sz w:val="24"/>
                <w:lang w:val="zh-CN"/>
              </w:rPr>
              <w:t>集气效率为</w:t>
            </w:r>
            <w:r>
              <w:rPr>
                <w:rFonts w:hint="eastAsia" w:eastAsia="宋体"/>
                <w:color w:val="auto"/>
                <w:sz w:val="24"/>
                <w:lang w:val="en-US" w:eastAsia="zh-CN"/>
              </w:rPr>
              <w:t>8</w:t>
            </w:r>
            <w:r>
              <w:rPr>
                <w:rFonts w:hint="eastAsia"/>
                <w:color w:val="auto"/>
                <w:sz w:val="24"/>
                <w:lang w:val="en-US" w:eastAsia="zh-CN"/>
              </w:rPr>
              <w:t>5</w:t>
            </w:r>
            <w:r>
              <w:rPr>
                <w:rFonts w:hint="eastAsia"/>
                <w:color w:val="auto"/>
                <w:sz w:val="24"/>
              </w:rPr>
              <w:t>%）</w:t>
            </w:r>
            <w:r>
              <w:rPr>
                <w:rFonts w:hint="eastAsia"/>
                <w:color w:val="auto"/>
                <w:sz w:val="24"/>
                <w:lang w:eastAsia="zh-CN"/>
              </w:rPr>
              <w:t>收集</w:t>
            </w:r>
            <w:r>
              <w:rPr>
                <w:rFonts w:hint="eastAsia"/>
                <w:color w:val="auto"/>
                <w:sz w:val="24"/>
              </w:rPr>
              <w:t>后</w:t>
            </w:r>
            <w:r>
              <w:rPr>
                <w:rFonts w:eastAsia="Times New Roman"/>
                <w:color w:val="auto"/>
                <w:sz w:val="24"/>
                <w:lang w:val="zh-CN"/>
              </w:rPr>
              <w:t>通过</w:t>
            </w:r>
            <w:r>
              <w:rPr>
                <w:rFonts w:hint="eastAsia" w:eastAsia="宋体"/>
                <w:color w:val="auto"/>
                <w:sz w:val="24"/>
                <w:lang w:val="en-US" w:eastAsia="zh-CN"/>
              </w:rPr>
              <w:t>2台</w:t>
            </w:r>
            <w:r>
              <w:rPr>
                <w:rFonts w:hint="eastAsia" w:eastAsia="Times New Roman"/>
                <w:color w:val="auto"/>
                <w:sz w:val="24"/>
                <w:lang w:val="zh-CN"/>
              </w:rPr>
              <w:t>引风机（单台风机风量</w:t>
            </w:r>
            <w:r>
              <w:rPr>
                <w:rFonts w:hint="eastAsia"/>
                <w:color w:val="auto"/>
                <w:sz w:val="24"/>
                <w:lang w:val="en-US" w:eastAsia="zh-CN"/>
              </w:rPr>
              <w:t>7388</w:t>
            </w:r>
            <w:r>
              <w:rPr>
                <w:rFonts w:hint="eastAsia"/>
                <w:color w:val="auto"/>
                <w:sz w:val="24"/>
              </w:rPr>
              <w:t>m</w:t>
            </w:r>
            <w:r>
              <w:rPr>
                <w:rFonts w:hint="eastAsia"/>
                <w:color w:val="auto"/>
                <w:sz w:val="24"/>
                <w:vertAlign w:val="superscript"/>
              </w:rPr>
              <w:t>3</w:t>
            </w:r>
            <w:r>
              <w:rPr>
                <w:rFonts w:hint="eastAsia"/>
                <w:color w:val="auto"/>
                <w:sz w:val="24"/>
              </w:rPr>
              <w:t>/h</w:t>
            </w:r>
            <w:r>
              <w:rPr>
                <w:rFonts w:hint="eastAsia" w:eastAsia="Times New Roman"/>
                <w:color w:val="auto"/>
                <w:sz w:val="24"/>
                <w:lang w:val="zh-CN"/>
              </w:rPr>
              <w:t>）引至</w:t>
            </w:r>
            <w:r>
              <w:rPr>
                <w:rFonts w:eastAsia="Times New Roman"/>
                <w:color w:val="auto"/>
                <w:sz w:val="24"/>
                <w:lang w:val="zh-CN"/>
              </w:rPr>
              <w:t>处理效率为</w:t>
            </w:r>
            <w:r>
              <w:rPr>
                <w:rFonts w:hint="eastAsia" w:eastAsia="宋体"/>
                <w:color w:val="auto"/>
                <w:sz w:val="24"/>
                <w:lang w:val="en-US" w:eastAsia="zh-CN"/>
              </w:rPr>
              <w:t>99.6</w:t>
            </w:r>
            <w:r>
              <w:rPr>
                <w:rFonts w:eastAsia="Times New Roman"/>
                <w:color w:val="auto"/>
                <w:sz w:val="24"/>
                <w:lang w:val="zh-CN"/>
              </w:rPr>
              <w:t>%的</w:t>
            </w:r>
            <w:r>
              <w:rPr>
                <w:rFonts w:hint="eastAsia" w:eastAsia="Times New Roman"/>
                <w:color w:val="auto"/>
                <w:sz w:val="24"/>
                <w:lang w:val="zh-CN"/>
              </w:rPr>
              <w:t>袋式</w:t>
            </w:r>
            <w:r>
              <w:rPr>
                <w:rFonts w:eastAsia="Times New Roman"/>
                <w:color w:val="auto"/>
                <w:sz w:val="24"/>
                <w:lang w:val="zh-CN"/>
              </w:rPr>
              <w:t>除尘器处理</w:t>
            </w:r>
            <w:r>
              <w:rPr>
                <w:rFonts w:hint="eastAsia" w:eastAsia="Times New Roman"/>
                <w:color w:val="auto"/>
                <w:sz w:val="24"/>
                <w:lang w:val="zh-CN"/>
              </w:rPr>
              <w:t>达标</w:t>
            </w:r>
            <w:r>
              <w:rPr>
                <w:rFonts w:eastAsia="Times New Roman"/>
                <w:color w:val="auto"/>
                <w:sz w:val="24"/>
                <w:lang w:val="zh-CN"/>
              </w:rPr>
              <w:t>后，由一根</w:t>
            </w:r>
            <w:r>
              <w:rPr>
                <w:rFonts w:hint="eastAsia" w:eastAsia="Times New Roman"/>
                <w:color w:val="auto"/>
                <w:sz w:val="24"/>
                <w:lang w:val="zh-CN"/>
              </w:rPr>
              <w:t>内径</w:t>
            </w:r>
            <w:r>
              <w:rPr>
                <w:rFonts w:hint="eastAsia" w:eastAsia="宋体"/>
                <w:color w:val="auto"/>
                <w:sz w:val="24"/>
                <w:lang w:val="en-US" w:eastAsia="zh-CN"/>
              </w:rPr>
              <w:t>0.</w:t>
            </w:r>
            <w:r>
              <w:rPr>
                <w:rFonts w:hint="eastAsia"/>
                <w:color w:val="auto"/>
                <w:sz w:val="24"/>
                <w:lang w:val="en-US" w:eastAsia="zh-CN"/>
              </w:rPr>
              <w:t>6</w:t>
            </w:r>
            <w:r>
              <w:rPr>
                <w:rFonts w:hint="eastAsia" w:eastAsia="宋体"/>
                <w:color w:val="auto"/>
                <w:sz w:val="24"/>
                <w:lang w:val="en-US" w:eastAsia="zh-CN"/>
              </w:rPr>
              <w:t>m，</w:t>
            </w:r>
            <w:r>
              <w:rPr>
                <w:rFonts w:hint="eastAsia"/>
                <w:color w:val="auto"/>
                <w:sz w:val="24"/>
                <w:lang w:val="en-US" w:eastAsia="zh-CN"/>
              </w:rPr>
              <w:t>35</w:t>
            </w:r>
            <w:r>
              <w:rPr>
                <w:rFonts w:eastAsia="Times New Roman"/>
                <w:color w:val="auto"/>
                <w:sz w:val="24"/>
                <w:lang w:val="zh-CN"/>
              </w:rPr>
              <w:t>m高的排气筒</w:t>
            </w:r>
            <w:r>
              <w:rPr>
                <w:rFonts w:hint="eastAsia" w:eastAsia="Times New Roman"/>
                <w:color w:val="auto"/>
                <w:sz w:val="24"/>
                <w:lang w:val="zh-CN"/>
              </w:rPr>
              <w:t>（</w:t>
            </w:r>
            <w:r>
              <w:rPr>
                <w:rFonts w:hint="eastAsia"/>
                <w:color w:val="auto"/>
                <w:sz w:val="24"/>
              </w:rPr>
              <w:t>DA0</w:t>
            </w:r>
            <w:r>
              <w:rPr>
                <w:rFonts w:hint="eastAsia"/>
                <w:color w:val="auto"/>
                <w:sz w:val="24"/>
                <w:lang w:val="en-US" w:eastAsia="zh-CN"/>
              </w:rPr>
              <w:t>14</w:t>
            </w:r>
            <w:r>
              <w:rPr>
                <w:rFonts w:hint="eastAsia" w:eastAsia="Times New Roman"/>
                <w:color w:val="auto"/>
                <w:sz w:val="24"/>
                <w:lang w:val="zh-CN"/>
              </w:rPr>
              <w:t>）</w:t>
            </w:r>
            <w:r>
              <w:rPr>
                <w:rFonts w:eastAsia="Times New Roman"/>
                <w:color w:val="auto"/>
                <w:sz w:val="24"/>
                <w:lang w:val="zh-CN"/>
              </w:rPr>
              <w:t>排放。</w:t>
            </w:r>
          </w:p>
          <w:p w14:paraId="6E02F724">
            <w:pPr>
              <w:adjustRightInd w:val="0"/>
              <w:snapToGrid w:val="0"/>
              <w:spacing w:line="360" w:lineRule="auto"/>
              <w:ind w:firstLine="480" w:firstLineChars="200"/>
              <w:rPr>
                <w:rFonts w:hint="eastAsia"/>
                <w:color w:val="auto"/>
                <w:sz w:val="24"/>
                <w:highlight w:val="yellow"/>
              </w:rPr>
            </w:pPr>
            <w:r>
              <w:rPr>
                <w:rFonts w:hint="eastAsia"/>
                <w:color w:val="auto"/>
                <w:sz w:val="24"/>
                <w:lang w:val="en-US" w:eastAsia="zh-CN"/>
              </w:rPr>
              <w:t>项目工程建设完成后DA014排气筒有组织粉尘</w:t>
            </w:r>
            <w:r>
              <w:rPr>
                <w:rFonts w:hint="eastAsia" w:ascii="Times New Roman" w:hAnsi="Times New Roman" w:eastAsia="宋体" w:cs="Times New Roman"/>
                <w:color w:val="auto"/>
                <w:sz w:val="24"/>
                <w:highlight w:val="none"/>
                <w:lang w:eastAsia="zh-CN"/>
              </w:rPr>
              <w:t>产生量为</w:t>
            </w:r>
            <w:r>
              <w:rPr>
                <w:rFonts w:hint="eastAsia" w:cs="Times New Roman"/>
                <w:color w:val="auto"/>
                <w:sz w:val="24"/>
                <w:highlight w:val="none"/>
                <w:lang w:val="en-US" w:eastAsia="zh-CN"/>
              </w:rPr>
              <w:t>22.9432</w:t>
            </w:r>
            <w:r>
              <w:rPr>
                <w:rFonts w:hint="eastAsia" w:ascii="Times New Roman" w:hAnsi="Times New Roman" w:eastAsia="宋体" w:cs="Times New Roman"/>
                <w:color w:val="auto"/>
                <w:sz w:val="24"/>
                <w:highlight w:val="none"/>
                <w:lang w:val="en-US" w:eastAsia="zh-CN"/>
              </w:rPr>
              <w:t>t/a，产生速率为</w:t>
            </w:r>
            <w:r>
              <w:rPr>
                <w:rFonts w:hint="eastAsia" w:cs="Times New Roman"/>
                <w:color w:val="auto"/>
                <w:sz w:val="24"/>
                <w:highlight w:val="none"/>
                <w:lang w:val="en-US" w:eastAsia="zh-CN"/>
              </w:rPr>
              <w:t>3.4142</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231.06</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eastAsia="Times New Roman"/>
                <w:color w:val="auto"/>
                <w:sz w:val="24"/>
                <w:highlight w:val="none"/>
                <w:lang w:val="zh-CN"/>
              </w:rPr>
              <w:t>有组织</w:t>
            </w:r>
            <w:r>
              <w:rPr>
                <w:rFonts w:hint="eastAsia" w:ascii="Times New Roman" w:hAnsi="Times New Roman" w:eastAsia="宋体" w:cs="Times New Roman"/>
                <w:color w:val="auto"/>
                <w:sz w:val="24"/>
                <w:highlight w:val="none"/>
                <w:lang w:eastAsia="zh-CN"/>
              </w:rPr>
              <w:t>粉尘排放量为</w:t>
            </w:r>
            <w:r>
              <w:rPr>
                <w:rFonts w:hint="eastAsia" w:cs="Times New Roman"/>
                <w:color w:val="auto"/>
                <w:sz w:val="24"/>
                <w:highlight w:val="none"/>
                <w:lang w:val="en-US" w:eastAsia="zh-CN"/>
              </w:rPr>
              <w:t>0.0918</w:t>
            </w:r>
            <w:r>
              <w:rPr>
                <w:rFonts w:hint="eastAsia" w:ascii="Times New Roman" w:hAnsi="Times New Roman" w:eastAsia="宋体" w:cs="Times New Roman"/>
                <w:color w:val="auto"/>
                <w:sz w:val="24"/>
                <w:highlight w:val="none"/>
                <w:lang w:val="en-US" w:eastAsia="zh-CN"/>
              </w:rPr>
              <w:t>t/a，排放速率为0.</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137</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0.93</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color w:val="auto"/>
                <w:sz w:val="24"/>
                <w:highlight w:val="none"/>
              </w:rPr>
              <w:t>无组织</w:t>
            </w:r>
            <w:r>
              <w:rPr>
                <w:rFonts w:hint="eastAsia"/>
                <w:color w:val="auto"/>
                <w:sz w:val="24"/>
                <w:highlight w:val="none"/>
                <w:lang w:eastAsia="zh-CN"/>
              </w:rPr>
              <w:t>产生</w:t>
            </w:r>
            <w:r>
              <w:rPr>
                <w:rFonts w:hint="eastAsia"/>
                <w:color w:val="auto"/>
                <w:sz w:val="24"/>
                <w:highlight w:val="none"/>
              </w:rPr>
              <w:t>量为</w:t>
            </w:r>
            <w:r>
              <w:rPr>
                <w:rFonts w:hint="eastAsia"/>
                <w:color w:val="auto"/>
                <w:sz w:val="24"/>
                <w:highlight w:val="none"/>
                <w:lang w:val="en-US" w:eastAsia="zh-CN"/>
              </w:rPr>
              <w:t>4.0488</w:t>
            </w:r>
            <w:r>
              <w:rPr>
                <w:rFonts w:hint="eastAsia"/>
                <w:color w:val="auto"/>
                <w:sz w:val="24"/>
                <w:highlight w:val="none"/>
              </w:rPr>
              <w:t>t/a，</w:t>
            </w:r>
            <w:r>
              <w:rPr>
                <w:rFonts w:hint="eastAsia"/>
                <w:color w:val="auto"/>
                <w:sz w:val="24"/>
                <w:highlight w:val="none"/>
                <w:lang w:eastAsia="zh-CN"/>
              </w:rPr>
              <w:t>产生</w:t>
            </w:r>
            <w:r>
              <w:rPr>
                <w:rFonts w:hint="eastAsia"/>
                <w:color w:val="auto"/>
                <w:sz w:val="24"/>
                <w:highlight w:val="none"/>
              </w:rPr>
              <w:t>速率为</w:t>
            </w:r>
            <w:r>
              <w:rPr>
                <w:rFonts w:hint="eastAsia"/>
                <w:color w:val="auto"/>
                <w:sz w:val="24"/>
                <w:highlight w:val="none"/>
                <w:lang w:val="en-US" w:eastAsia="zh-CN"/>
              </w:rPr>
              <w:t>0.6025</w:t>
            </w:r>
            <w:r>
              <w:rPr>
                <w:rFonts w:hint="eastAsia"/>
                <w:color w:val="auto"/>
                <w:sz w:val="24"/>
                <w:highlight w:val="none"/>
              </w:rPr>
              <w:t>kg/h。</w:t>
            </w:r>
          </w:p>
          <w:p w14:paraId="09EDCC0A">
            <w:pPr>
              <w:adjustRightInd w:val="0"/>
              <w:snapToGrid w:val="0"/>
              <w:spacing w:line="360" w:lineRule="auto"/>
              <w:ind w:firstLine="480" w:firstLineChars="200"/>
              <w:rPr>
                <w:rFonts w:hint="eastAsia"/>
                <w:b/>
                <w:bCs/>
                <w:color w:val="auto"/>
                <w:sz w:val="24"/>
                <w:szCs w:val="24"/>
                <w:highlight w:val="none"/>
              </w:rPr>
            </w:pPr>
            <w:r>
              <w:rPr>
                <w:rFonts w:hint="eastAsia"/>
                <w:color w:val="auto"/>
                <w:sz w:val="24"/>
                <w:highlight w:val="none"/>
              </w:rPr>
              <w:t>项目</w:t>
            </w:r>
            <w:r>
              <w:rPr>
                <w:rFonts w:hint="eastAsia"/>
                <w:color w:val="auto"/>
                <w:sz w:val="24"/>
                <w:highlight w:val="none"/>
                <w:lang w:eastAsia="zh-CN"/>
              </w:rPr>
              <w:t>转载站为全封闭式</w:t>
            </w:r>
            <w:r>
              <w:rPr>
                <w:rFonts w:hint="eastAsia"/>
                <w:color w:val="auto"/>
                <w:sz w:val="24"/>
                <w:highlight w:val="none"/>
              </w:rPr>
              <w:t>，粉尘经阻隔后，大部分在</w:t>
            </w:r>
            <w:r>
              <w:rPr>
                <w:rFonts w:hint="eastAsia"/>
                <w:color w:val="auto"/>
                <w:sz w:val="24"/>
                <w:highlight w:val="none"/>
                <w:lang w:eastAsia="zh-CN"/>
              </w:rPr>
              <w:t>转载站内</w:t>
            </w:r>
            <w:r>
              <w:rPr>
                <w:rFonts w:hint="eastAsia"/>
                <w:color w:val="auto"/>
                <w:sz w:val="24"/>
                <w:highlight w:val="none"/>
              </w:rPr>
              <w:t>沉降，少部分</w:t>
            </w:r>
            <w:r>
              <w:rPr>
                <w:rFonts w:hint="eastAsia"/>
                <w:color w:val="auto"/>
                <w:sz w:val="24"/>
                <w:highlight w:val="none"/>
                <w:lang w:eastAsia="zh-CN"/>
              </w:rPr>
              <w:t>溢出，</w:t>
            </w:r>
            <w:r>
              <w:rPr>
                <w:rFonts w:hint="eastAsia"/>
                <w:color w:val="auto"/>
                <w:sz w:val="24"/>
                <w:highlight w:val="none"/>
              </w:rPr>
              <w:t>阻隔降尘效率约</w:t>
            </w:r>
            <w:r>
              <w:rPr>
                <w:rFonts w:hint="eastAsia"/>
                <w:color w:val="auto"/>
                <w:sz w:val="24"/>
                <w:highlight w:val="none"/>
                <w:lang w:val="en-US" w:eastAsia="zh-CN"/>
              </w:rPr>
              <w:t>8</w:t>
            </w:r>
            <w:r>
              <w:rPr>
                <w:rFonts w:hint="eastAsia"/>
                <w:color w:val="auto"/>
                <w:sz w:val="24"/>
                <w:highlight w:val="none"/>
              </w:rPr>
              <w:t>0%，则无组织粉尘排放量为</w:t>
            </w:r>
            <w:r>
              <w:rPr>
                <w:rFonts w:hint="eastAsia"/>
                <w:color w:val="auto"/>
                <w:sz w:val="24"/>
                <w:highlight w:val="none"/>
                <w:lang w:val="en-US" w:eastAsia="zh-CN"/>
              </w:rPr>
              <w:t>0.8098</w:t>
            </w:r>
            <w:r>
              <w:rPr>
                <w:rFonts w:hint="eastAsia"/>
                <w:color w:val="auto"/>
                <w:sz w:val="24"/>
                <w:highlight w:val="none"/>
              </w:rPr>
              <w:t>t/a，排放速率为</w:t>
            </w:r>
            <w:r>
              <w:rPr>
                <w:rFonts w:hint="eastAsia"/>
                <w:color w:val="auto"/>
                <w:sz w:val="24"/>
                <w:highlight w:val="none"/>
                <w:lang w:val="en-US" w:eastAsia="zh-CN"/>
              </w:rPr>
              <w:t>0.1205</w:t>
            </w:r>
            <w:r>
              <w:rPr>
                <w:rFonts w:hint="eastAsia"/>
                <w:color w:val="auto"/>
                <w:sz w:val="24"/>
                <w:highlight w:val="none"/>
              </w:rPr>
              <w:t>kg/h。</w:t>
            </w:r>
          </w:p>
          <w:p w14:paraId="22A5C4E3">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color w:val="auto"/>
                <w:sz w:val="24"/>
              </w:rPr>
            </w:pPr>
            <w:r>
              <w:rPr>
                <w:rFonts w:hint="eastAsia"/>
                <w:color w:val="auto"/>
                <w:sz w:val="24"/>
                <w:lang w:eastAsia="zh-CN"/>
              </w:rPr>
              <w:t>各成品转运点落料粉尘排放浓度</w:t>
            </w:r>
            <w:r>
              <w:rPr>
                <w:color w:val="auto"/>
                <w:sz w:val="24"/>
              </w:rPr>
              <w:t>满足</w:t>
            </w:r>
            <w:r>
              <w:rPr>
                <w:rFonts w:hint="default" w:ascii="Times New Roman" w:hAnsi="Times New Roman" w:cs="Times New Roman"/>
                <w:color w:val="auto"/>
                <w:sz w:val="24"/>
                <w:szCs w:val="24"/>
                <w:shd w:val="clear" w:color="auto" w:fill="auto"/>
                <w:lang w:val="zh-CN" w:eastAsia="zh-CN"/>
              </w:rPr>
              <w:t>《大气污染物综合排放标准》（GB16297-1996）表2中二级标准</w:t>
            </w:r>
            <w:r>
              <w:rPr>
                <w:color w:val="auto"/>
                <w:sz w:val="24"/>
              </w:rPr>
              <w:t>要求（</w:t>
            </w:r>
            <w:r>
              <w:rPr>
                <w:rFonts w:hint="eastAsia"/>
                <w:color w:val="auto"/>
                <w:sz w:val="24"/>
              </w:rPr>
              <w:t>颗粒物</w:t>
            </w:r>
            <w:r>
              <w:rPr>
                <w:color w:val="auto"/>
                <w:sz w:val="24"/>
              </w:rPr>
              <w:t>≤</w:t>
            </w:r>
            <w:r>
              <w:rPr>
                <w:rFonts w:hint="eastAsia"/>
                <w:color w:val="auto"/>
                <w:sz w:val="24"/>
                <w:lang w:val="en-US" w:eastAsia="zh-CN"/>
              </w:rPr>
              <w:t>120</w:t>
            </w:r>
            <w:r>
              <w:rPr>
                <w:color w:val="auto"/>
                <w:sz w:val="24"/>
              </w:rPr>
              <w:t>mg/m</w:t>
            </w:r>
            <w:r>
              <w:rPr>
                <w:color w:val="auto"/>
                <w:sz w:val="24"/>
                <w:vertAlign w:val="superscript"/>
              </w:rPr>
              <w:t>3</w:t>
            </w:r>
            <w:r>
              <w:rPr>
                <w:color w:val="auto"/>
                <w:sz w:val="24"/>
              </w:rPr>
              <w:t>）。</w:t>
            </w:r>
          </w:p>
          <w:p w14:paraId="7D610733">
            <w:pPr>
              <w:pStyle w:val="4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pacing w:val="0"/>
                <w:kern w:val="2"/>
                <w:sz w:val="24"/>
                <w:szCs w:val="24"/>
                <w:shd w:val="clear" w:color="auto" w:fill="auto"/>
                <w:lang w:val="en-US" w:eastAsia="zh-CN" w:bidi="ar-SA"/>
              </w:rPr>
            </w:pPr>
            <w:r>
              <w:rPr>
                <w:rFonts w:hint="eastAsia" w:ascii="Times New Roman" w:hAnsi="Times New Roman" w:eastAsia="宋体" w:cs="Times New Roman"/>
                <w:color w:val="auto"/>
                <w:spacing w:val="0"/>
                <w:kern w:val="2"/>
                <w:sz w:val="24"/>
                <w:szCs w:val="24"/>
                <w:shd w:val="clear" w:color="auto" w:fill="auto"/>
                <w:lang w:val="zh-CN" w:eastAsia="zh-CN" w:bidi="ar-SA"/>
              </w:rPr>
              <w:t>成品装车车间内设置</w:t>
            </w:r>
            <w:r>
              <w:rPr>
                <w:rFonts w:hint="eastAsia" w:eastAsia="宋体" w:cs="Times New Roman"/>
                <w:color w:val="auto"/>
                <w:spacing w:val="0"/>
                <w:kern w:val="2"/>
                <w:sz w:val="24"/>
                <w:szCs w:val="24"/>
                <w:shd w:val="clear" w:color="auto" w:fill="auto"/>
                <w:lang w:val="zh-CN" w:eastAsia="zh-CN" w:bidi="ar-SA"/>
              </w:rPr>
              <w:t>两个装车煤块仓，用于成品转运时作为临时贮存，平时为空置，因此不单独计算粉尘量。</w:t>
            </w:r>
          </w:p>
          <w:p w14:paraId="62EC3B7C">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项目运营</w:t>
            </w:r>
            <w:r>
              <w:rPr>
                <w:rFonts w:hint="default" w:ascii="Times New Roman" w:hAnsi="Times New Roman" w:cs="Times New Roman"/>
                <w:b/>
                <w:bCs/>
                <w:color w:val="auto"/>
                <w:sz w:val="21"/>
                <w:szCs w:val="21"/>
                <w:highlight w:val="none"/>
                <w:lang w:val="en-US" w:eastAsia="zh-CN"/>
              </w:rPr>
              <w:t>期</w:t>
            </w:r>
            <w:r>
              <w:rPr>
                <w:rFonts w:hint="eastAsia" w:ascii="Times New Roman" w:hAnsi="Times New Roman" w:eastAsia="宋体" w:cs="Times New Roman"/>
                <w:b/>
                <w:bCs/>
                <w:color w:val="auto"/>
                <w:sz w:val="21"/>
                <w:szCs w:val="21"/>
                <w:highlight w:val="none"/>
                <w:lang w:val="en-US" w:eastAsia="zh-CN"/>
              </w:rPr>
              <w:t>出成品堆棚皮带转运站和成品装车车间皮带转运站落料粉尘废</w:t>
            </w:r>
            <w:r>
              <w:rPr>
                <w:rFonts w:hint="eastAsia" w:ascii="Times New Roman" w:hAnsi="Times New Roman" w:cs="Times New Roman"/>
                <w:b/>
                <w:bCs/>
                <w:color w:val="auto"/>
                <w:sz w:val="21"/>
                <w:szCs w:val="21"/>
                <w:highlight w:val="none"/>
                <w:lang w:val="en-US" w:eastAsia="zh-CN"/>
              </w:rPr>
              <w:t>气</w:t>
            </w:r>
            <w:r>
              <w:rPr>
                <w:rFonts w:hint="default" w:ascii="Times New Roman" w:hAnsi="Times New Roman" w:eastAsia="宋体" w:cs="Times New Roman"/>
                <w:b/>
                <w:bCs/>
                <w:color w:val="auto"/>
                <w:sz w:val="21"/>
                <w:szCs w:val="21"/>
                <w:highlight w:val="none"/>
                <w:lang w:val="en-US" w:eastAsia="zh-CN"/>
              </w:rPr>
              <w:t>排放源一览表</w:t>
            </w:r>
          </w:p>
          <w:tbl>
            <w:tblPr>
              <w:tblStyle w:val="28"/>
              <w:tblW w:w="846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54"/>
              <w:gridCol w:w="1720"/>
              <w:gridCol w:w="1733"/>
              <w:gridCol w:w="91"/>
              <w:gridCol w:w="1185"/>
              <w:gridCol w:w="1391"/>
              <w:gridCol w:w="202"/>
              <w:gridCol w:w="1250"/>
            </w:tblGrid>
            <w:tr w14:paraId="2E456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0" w:type="dxa"/>
                  <w:gridSpan w:val="3"/>
                  <w:vAlign w:val="center"/>
                </w:tcPr>
                <w:p w14:paraId="2E95475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3009" w:type="dxa"/>
                  <w:gridSpan w:val="3"/>
                  <w:vAlign w:val="center"/>
                </w:tcPr>
                <w:p w14:paraId="76407FF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b w:val="0"/>
                      <w:bCs w:val="0"/>
                      <w:color w:val="auto"/>
                      <w:sz w:val="21"/>
                      <w:szCs w:val="21"/>
                      <w:lang w:val="en-US" w:eastAsia="zh-CN"/>
                    </w:rPr>
                  </w:pPr>
                  <w:r>
                    <w:rPr>
                      <w:rFonts w:hint="eastAsia"/>
                      <w:b w:val="0"/>
                      <w:bCs w:val="0"/>
                      <w:color w:val="auto"/>
                      <w:sz w:val="21"/>
                      <w:szCs w:val="21"/>
                      <w:lang w:val="en-US" w:eastAsia="zh-CN"/>
                    </w:rPr>
                    <w:t>出成品堆棚皮带转运站</w:t>
                  </w:r>
                  <w:r>
                    <w:rPr>
                      <w:rFonts w:hint="eastAsia"/>
                      <w:b w:val="0"/>
                      <w:bCs w:val="0"/>
                      <w:color w:val="auto"/>
                      <w:sz w:val="21"/>
                      <w:szCs w:val="21"/>
                      <w:lang w:eastAsia="zh-CN"/>
                    </w:rPr>
                    <w:t>落</w:t>
                  </w:r>
                  <w:r>
                    <w:rPr>
                      <w:rFonts w:hint="eastAsia"/>
                      <w:b w:val="0"/>
                      <w:bCs w:val="0"/>
                      <w:color w:val="auto"/>
                      <w:sz w:val="21"/>
                      <w:szCs w:val="21"/>
                      <w:lang w:val="en-US" w:eastAsia="zh-CN"/>
                    </w:rPr>
                    <w:t>料粉尘</w:t>
                  </w:r>
                </w:p>
              </w:tc>
              <w:tc>
                <w:tcPr>
                  <w:tcW w:w="2843" w:type="dxa"/>
                  <w:gridSpan w:val="3"/>
                  <w:vAlign w:val="center"/>
                </w:tcPr>
                <w:p w14:paraId="799EE97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b w:val="0"/>
                      <w:bCs w:val="0"/>
                      <w:color w:val="auto"/>
                      <w:sz w:val="21"/>
                      <w:szCs w:val="21"/>
                      <w:lang w:val="en-US" w:eastAsia="zh-CN"/>
                    </w:rPr>
                  </w:pPr>
                  <w:r>
                    <w:rPr>
                      <w:rFonts w:hint="eastAsia"/>
                      <w:b w:val="0"/>
                      <w:bCs w:val="0"/>
                      <w:color w:val="auto"/>
                      <w:sz w:val="21"/>
                      <w:szCs w:val="21"/>
                      <w:lang w:eastAsia="zh-CN"/>
                    </w:rPr>
                    <w:t>成品装车车间皮带转运站落</w:t>
                  </w:r>
                  <w:r>
                    <w:rPr>
                      <w:rFonts w:hint="eastAsia"/>
                      <w:b w:val="0"/>
                      <w:bCs w:val="0"/>
                      <w:color w:val="auto"/>
                      <w:sz w:val="21"/>
                      <w:szCs w:val="21"/>
                      <w:lang w:val="en-US" w:eastAsia="zh-CN"/>
                    </w:rPr>
                    <w:t>料粉尘</w:t>
                  </w:r>
                </w:p>
              </w:tc>
            </w:tr>
            <w:tr w14:paraId="4602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0" w:type="dxa"/>
                  <w:gridSpan w:val="3"/>
                  <w:vAlign w:val="center"/>
                </w:tcPr>
                <w:p w14:paraId="6612632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3009" w:type="dxa"/>
                  <w:gridSpan w:val="3"/>
                  <w:vAlign w:val="center"/>
                </w:tcPr>
                <w:p w14:paraId="31291DB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2843" w:type="dxa"/>
                  <w:gridSpan w:val="3"/>
                  <w:vAlign w:val="center"/>
                </w:tcPr>
                <w:p w14:paraId="6CF6DE9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r>
            <w:tr w14:paraId="5F8A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0" w:type="dxa"/>
                  <w:gridSpan w:val="3"/>
                  <w:vAlign w:val="center"/>
                </w:tcPr>
                <w:p w14:paraId="02BE169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1733" w:type="dxa"/>
                  <w:vAlign w:val="center"/>
                </w:tcPr>
                <w:p w14:paraId="60605BB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15.0527</w:t>
                  </w:r>
                </w:p>
              </w:tc>
              <w:tc>
                <w:tcPr>
                  <w:tcW w:w="1276" w:type="dxa"/>
                  <w:gridSpan w:val="2"/>
                  <w:vAlign w:val="center"/>
                </w:tcPr>
                <w:p w14:paraId="269D2C5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2.6564</w:t>
                  </w:r>
                </w:p>
              </w:tc>
              <w:tc>
                <w:tcPr>
                  <w:tcW w:w="1391" w:type="dxa"/>
                  <w:vAlign w:val="center"/>
                </w:tcPr>
                <w:p w14:paraId="1B4C710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22.9432</w:t>
                  </w:r>
                </w:p>
              </w:tc>
              <w:tc>
                <w:tcPr>
                  <w:tcW w:w="1452" w:type="dxa"/>
                  <w:gridSpan w:val="2"/>
                  <w:vAlign w:val="center"/>
                </w:tcPr>
                <w:p w14:paraId="6BD71AF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4.0488</w:t>
                  </w:r>
                </w:p>
              </w:tc>
            </w:tr>
            <w:tr w14:paraId="3EA1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61FF59F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1733" w:type="dxa"/>
                  <w:vAlign w:val="center"/>
                </w:tcPr>
                <w:p w14:paraId="3901ECC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303.19</w:t>
                  </w:r>
                </w:p>
              </w:tc>
              <w:tc>
                <w:tcPr>
                  <w:tcW w:w="1276" w:type="dxa"/>
                  <w:gridSpan w:val="2"/>
                  <w:vAlign w:val="center"/>
                </w:tcPr>
                <w:p w14:paraId="347AED7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20C646C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231.06</w:t>
                  </w:r>
                </w:p>
              </w:tc>
              <w:tc>
                <w:tcPr>
                  <w:tcW w:w="1452" w:type="dxa"/>
                  <w:gridSpan w:val="2"/>
                  <w:vAlign w:val="center"/>
                </w:tcPr>
                <w:p w14:paraId="3BC539B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733B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17ABED6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1733" w:type="dxa"/>
                  <w:vAlign w:val="center"/>
                </w:tcPr>
                <w:p w14:paraId="4880E5A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276" w:type="dxa"/>
                  <w:gridSpan w:val="2"/>
                  <w:vAlign w:val="center"/>
                </w:tcPr>
                <w:p w14:paraId="46E0026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c>
                <w:tcPr>
                  <w:tcW w:w="1391" w:type="dxa"/>
                  <w:vAlign w:val="center"/>
                </w:tcPr>
                <w:p w14:paraId="4A34CDF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452" w:type="dxa"/>
                  <w:gridSpan w:val="2"/>
                  <w:vAlign w:val="center"/>
                </w:tcPr>
                <w:p w14:paraId="27A9258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r>
            <w:tr w14:paraId="2DF5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636" w:type="dxa"/>
                  <w:vMerge w:val="restart"/>
                  <w:vAlign w:val="center"/>
                </w:tcPr>
                <w:p w14:paraId="62806F3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974" w:type="dxa"/>
                  <w:gridSpan w:val="2"/>
                  <w:vAlign w:val="center"/>
                </w:tcPr>
                <w:p w14:paraId="3115132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1733" w:type="dxa"/>
                  <w:vAlign w:val="center"/>
                </w:tcPr>
                <w:p w14:paraId="0A9934E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7388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276" w:type="dxa"/>
                  <w:gridSpan w:val="2"/>
                  <w:vAlign w:val="center"/>
                </w:tcPr>
                <w:p w14:paraId="06A6939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91" w:type="dxa"/>
                  <w:vAlign w:val="center"/>
                </w:tcPr>
                <w:p w14:paraId="6DF8D58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14776</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452" w:type="dxa"/>
                  <w:gridSpan w:val="2"/>
                  <w:vAlign w:val="center"/>
                </w:tcPr>
                <w:p w14:paraId="1D91BF2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3210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46030E4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550D243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1733" w:type="dxa"/>
                  <w:vAlign w:val="center"/>
                </w:tcPr>
                <w:p w14:paraId="5E76E73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r>
                    <w:rPr>
                      <w:rFonts w:hint="eastAsia" w:cs="Times New Roman"/>
                      <w:b w:val="0"/>
                      <w:bCs/>
                      <w:color w:val="auto"/>
                      <w:spacing w:val="-10"/>
                      <w:sz w:val="21"/>
                      <w:szCs w:val="21"/>
                      <w:highlight w:val="none"/>
                      <w:vertAlign w:val="baseline"/>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276" w:type="dxa"/>
                  <w:gridSpan w:val="2"/>
                  <w:vAlign w:val="center"/>
                </w:tcPr>
                <w:p w14:paraId="1C9A72C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7D62BB1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r>
                    <w:rPr>
                      <w:rFonts w:hint="eastAsia" w:cs="Times New Roman"/>
                      <w:b w:val="0"/>
                      <w:bCs/>
                      <w:color w:val="auto"/>
                      <w:spacing w:val="-10"/>
                      <w:sz w:val="21"/>
                      <w:szCs w:val="21"/>
                      <w:highlight w:val="none"/>
                      <w:vertAlign w:val="baseline"/>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452" w:type="dxa"/>
                  <w:gridSpan w:val="2"/>
                  <w:vAlign w:val="center"/>
                </w:tcPr>
                <w:p w14:paraId="03B7EBC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549A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7CD8C62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51390F8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1733" w:type="dxa"/>
                  <w:vAlign w:val="center"/>
                </w:tcPr>
                <w:p w14:paraId="115EB68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p>
              </w:tc>
              <w:tc>
                <w:tcPr>
                  <w:tcW w:w="1276" w:type="dxa"/>
                  <w:gridSpan w:val="2"/>
                  <w:vAlign w:val="center"/>
                </w:tcPr>
                <w:p w14:paraId="09F7B93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厂房阻隔、自然沉降</w:t>
                  </w:r>
                </w:p>
              </w:tc>
              <w:tc>
                <w:tcPr>
                  <w:tcW w:w="1391" w:type="dxa"/>
                  <w:vAlign w:val="center"/>
                </w:tcPr>
                <w:p w14:paraId="2E465E2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布袋除尘器</w:t>
                  </w:r>
                </w:p>
              </w:tc>
              <w:tc>
                <w:tcPr>
                  <w:tcW w:w="1452" w:type="dxa"/>
                  <w:gridSpan w:val="2"/>
                  <w:vAlign w:val="center"/>
                </w:tcPr>
                <w:p w14:paraId="25618B6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厂房阻隔、自然沉降</w:t>
                  </w:r>
                </w:p>
              </w:tc>
            </w:tr>
            <w:tr w14:paraId="5BFB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36" w:type="dxa"/>
                  <w:vMerge w:val="continue"/>
                  <w:vAlign w:val="center"/>
                </w:tcPr>
                <w:p w14:paraId="3187377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74809DD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1733" w:type="dxa"/>
                  <w:vAlign w:val="center"/>
                </w:tcPr>
                <w:p w14:paraId="2B3AB1B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276" w:type="dxa"/>
                  <w:gridSpan w:val="2"/>
                  <w:vAlign w:val="center"/>
                </w:tcPr>
                <w:p w14:paraId="5ACFE8F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w:t>
                  </w: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1391" w:type="dxa"/>
                  <w:vAlign w:val="center"/>
                </w:tcPr>
                <w:p w14:paraId="32A6143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452" w:type="dxa"/>
                  <w:gridSpan w:val="2"/>
                  <w:vAlign w:val="center"/>
                </w:tcPr>
                <w:p w14:paraId="6A61D87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w:t>
                  </w:r>
                  <w:r>
                    <w:rPr>
                      <w:rFonts w:hint="default" w:ascii="Times New Roman" w:hAnsi="Times New Roman" w:eastAsia="宋体" w:cs="Times New Roman"/>
                      <w:b w:val="0"/>
                      <w:bCs/>
                      <w:color w:val="auto"/>
                      <w:spacing w:val="-10"/>
                      <w:sz w:val="21"/>
                      <w:szCs w:val="21"/>
                      <w:highlight w:val="none"/>
                      <w:vertAlign w:val="baseline"/>
                      <w:lang w:val="en-US" w:eastAsia="zh-CN"/>
                    </w:rPr>
                    <w:t>0%</w:t>
                  </w:r>
                </w:p>
              </w:tc>
            </w:tr>
            <w:tr w14:paraId="2C6A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69B7BCE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1D898EC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1733" w:type="dxa"/>
                  <w:vAlign w:val="center"/>
                </w:tcPr>
                <w:p w14:paraId="54F3AFB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276" w:type="dxa"/>
                  <w:gridSpan w:val="2"/>
                  <w:vAlign w:val="center"/>
                </w:tcPr>
                <w:p w14:paraId="092D90B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001B316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452" w:type="dxa"/>
                  <w:gridSpan w:val="2"/>
                  <w:vAlign w:val="center"/>
                </w:tcPr>
                <w:p w14:paraId="5364872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5EA1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700D8BB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1733" w:type="dxa"/>
                  <w:vAlign w:val="center"/>
                </w:tcPr>
                <w:p w14:paraId="0E6C9ED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1.22</w:t>
                  </w:r>
                </w:p>
              </w:tc>
              <w:tc>
                <w:tcPr>
                  <w:tcW w:w="1276" w:type="dxa"/>
                  <w:gridSpan w:val="2"/>
                  <w:vAlign w:val="center"/>
                </w:tcPr>
                <w:p w14:paraId="08CF59F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5ADD488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0.93</w:t>
                  </w:r>
                </w:p>
              </w:tc>
              <w:tc>
                <w:tcPr>
                  <w:tcW w:w="1452" w:type="dxa"/>
                  <w:gridSpan w:val="2"/>
                  <w:vAlign w:val="center"/>
                </w:tcPr>
                <w:p w14:paraId="5D00F4C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2A86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610" w:type="dxa"/>
                  <w:gridSpan w:val="3"/>
                  <w:vAlign w:val="center"/>
                </w:tcPr>
                <w:p w14:paraId="0E3A733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1733" w:type="dxa"/>
                  <w:vAlign w:val="center"/>
                </w:tcPr>
                <w:p w14:paraId="4AE7979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0.0090</w:t>
                  </w:r>
                </w:p>
              </w:tc>
              <w:tc>
                <w:tcPr>
                  <w:tcW w:w="1276" w:type="dxa"/>
                  <w:gridSpan w:val="2"/>
                  <w:vAlign w:val="center"/>
                </w:tcPr>
                <w:p w14:paraId="77E4F60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0.0791</w:t>
                  </w:r>
                </w:p>
              </w:tc>
              <w:tc>
                <w:tcPr>
                  <w:tcW w:w="1391" w:type="dxa"/>
                  <w:vAlign w:val="center"/>
                </w:tcPr>
                <w:p w14:paraId="124C6D6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0.0137</w:t>
                  </w:r>
                </w:p>
              </w:tc>
              <w:tc>
                <w:tcPr>
                  <w:tcW w:w="1452" w:type="dxa"/>
                  <w:gridSpan w:val="2"/>
                  <w:vAlign w:val="center"/>
                </w:tcPr>
                <w:p w14:paraId="40F36FB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0.1205</w:t>
                  </w:r>
                </w:p>
              </w:tc>
            </w:tr>
            <w:tr w14:paraId="7AD8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7CB71E7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1733" w:type="dxa"/>
                  <w:vAlign w:val="center"/>
                </w:tcPr>
                <w:p w14:paraId="037AFA3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0.0602</w:t>
                  </w:r>
                </w:p>
              </w:tc>
              <w:tc>
                <w:tcPr>
                  <w:tcW w:w="1276" w:type="dxa"/>
                  <w:gridSpan w:val="2"/>
                  <w:vAlign w:val="center"/>
                </w:tcPr>
                <w:p w14:paraId="74A859E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0.5313</w:t>
                  </w:r>
                </w:p>
              </w:tc>
              <w:tc>
                <w:tcPr>
                  <w:tcW w:w="1391" w:type="dxa"/>
                  <w:vAlign w:val="center"/>
                </w:tcPr>
                <w:p w14:paraId="712FCF3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0.0918</w:t>
                  </w:r>
                </w:p>
              </w:tc>
              <w:tc>
                <w:tcPr>
                  <w:tcW w:w="1452" w:type="dxa"/>
                  <w:gridSpan w:val="2"/>
                  <w:vAlign w:val="center"/>
                </w:tcPr>
                <w:p w14:paraId="302AD56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0.8098</w:t>
                  </w:r>
                </w:p>
              </w:tc>
            </w:tr>
            <w:tr w14:paraId="6966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restart"/>
                  <w:vAlign w:val="center"/>
                </w:tcPr>
                <w:p w14:paraId="21E5EFC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974" w:type="dxa"/>
                  <w:gridSpan w:val="2"/>
                  <w:vAlign w:val="center"/>
                </w:tcPr>
                <w:p w14:paraId="21B349C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1733" w:type="dxa"/>
                  <w:vAlign w:val="center"/>
                </w:tcPr>
                <w:p w14:paraId="536A20C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32.5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276" w:type="dxa"/>
                  <w:gridSpan w:val="2"/>
                  <w:vAlign w:val="center"/>
                </w:tcPr>
                <w:p w14:paraId="2E99718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47CAB11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452" w:type="dxa"/>
                  <w:gridSpan w:val="2"/>
                  <w:vAlign w:val="center"/>
                </w:tcPr>
                <w:p w14:paraId="189E689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05D0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13348F5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19A92B2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1733" w:type="dxa"/>
                  <w:vAlign w:val="center"/>
                </w:tcPr>
                <w:p w14:paraId="4662200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45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276" w:type="dxa"/>
                  <w:gridSpan w:val="2"/>
                  <w:vAlign w:val="center"/>
                </w:tcPr>
                <w:p w14:paraId="5B40923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186B0D0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6</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452" w:type="dxa"/>
                  <w:gridSpan w:val="2"/>
                  <w:vAlign w:val="center"/>
                </w:tcPr>
                <w:p w14:paraId="7CC0107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4309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0BFD313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66C3F59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1733" w:type="dxa"/>
                  <w:vAlign w:val="center"/>
                </w:tcPr>
                <w:p w14:paraId="5A473DB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1276" w:type="dxa"/>
                  <w:gridSpan w:val="2"/>
                  <w:vAlign w:val="center"/>
                </w:tcPr>
                <w:p w14:paraId="00BD8B2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677FA08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1452" w:type="dxa"/>
                  <w:gridSpan w:val="2"/>
                  <w:vAlign w:val="center"/>
                </w:tcPr>
                <w:p w14:paraId="2D92C1D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3C32E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0B300BC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01807FC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1733" w:type="dxa"/>
                  <w:vAlign w:val="center"/>
                </w:tcPr>
                <w:p w14:paraId="0ED7821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w:t>
                  </w:r>
                  <w:r>
                    <w:rPr>
                      <w:rFonts w:hint="eastAsia" w:cs="Times New Roman"/>
                      <w:b w:val="0"/>
                      <w:bCs/>
                      <w:color w:val="auto"/>
                      <w:spacing w:val="-10"/>
                      <w:sz w:val="21"/>
                      <w:szCs w:val="21"/>
                      <w:highlight w:val="none"/>
                      <w:vertAlign w:val="baseline"/>
                      <w:lang w:val="en-US" w:eastAsia="zh-CN"/>
                    </w:rPr>
                    <w:t>13</w:t>
                  </w:r>
                </w:p>
              </w:tc>
              <w:tc>
                <w:tcPr>
                  <w:tcW w:w="1276" w:type="dxa"/>
                  <w:gridSpan w:val="2"/>
                  <w:vAlign w:val="center"/>
                </w:tcPr>
                <w:p w14:paraId="6416234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64F2F64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w:t>
                  </w:r>
                  <w:r>
                    <w:rPr>
                      <w:rFonts w:hint="eastAsia" w:cs="Times New Roman"/>
                      <w:b w:val="0"/>
                      <w:bCs/>
                      <w:color w:val="auto"/>
                      <w:spacing w:val="-10"/>
                      <w:sz w:val="21"/>
                      <w:szCs w:val="21"/>
                      <w:highlight w:val="none"/>
                      <w:vertAlign w:val="baseline"/>
                      <w:lang w:val="en-US" w:eastAsia="zh-CN"/>
                    </w:rPr>
                    <w:t>14</w:t>
                  </w:r>
                </w:p>
              </w:tc>
              <w:tc>
                <w:tcPr>
                  <w:tcW w:w="1452" w:type="dxa"/>
                  <w:gridSpan w:val="2"/>
                  <w:vAlign w:val="center"/>
                </w:tcPr>
                <w:p w14:paraId="733A4BA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5784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05ED421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5A15A84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1733" w:type="dxa"/>
                  <w:vAlign w:val="center"/>
                </w:tcPr>
                <w:p w14:paraId="58DD05E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276" w:type="dxa"/>
                  <w:gridSpan w:val="2"/>
                  <w:vAlign w:val="center"/>
                </w:tcPr>
                <w:p w14:paraId="0581A01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3E5D1AD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452" w:type="dxa"/>
                  <w:gridSpan w:val="2"/>
                  <w:vAlign w:val="center"/>
                </w:tcPr>
                <w:p w14:paraId="01164CA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6E72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77FF7BE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5C7A650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3009" w:type="dxa"/>
                  <w:gridSpan w:val="3"/>
                  <w:vAlign w:val="center"/>
                </w:tcPr>
                <w:p w14:paraId="5466BD5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DA013：</w:t>
                  </w:r>
                  <w:r>
                    <w:rPr>
                      <w:rFonts w:hint="default" w:ascii="Times New Roman" w:hAnsi="Times New Roman" w:eastAsia="宋体" w:cs="Times New Roman"/>
                      <w:b w:val="0"/>
                      <w:bCs/>
                      <w:color w:val="auto"/>
                      <w:spacing w:val="-10"/>
                      <w:sz w:val="21"/>
                      <w:szCs w:val="21"/>
                      <w:highlight w:val="none"/>
                      <w:vertAlign w:val="baseline"/>
                      <w:lang w:val="en-US" w:eastAsia="zh-CN"/>
                    </w:rPr>
                    <w:t>E：103°11′46.0</w:t>
                  </w:r>
                  <w:r>
                    <w:rPr>
                      <w:rFonts w:hint="eastAsia" w:cs="Times New Roman"/>
                      <w:b w:val="0"/>
                      <w:bCs/>
                      <w:color w:val="auto"/>
                      <w:spacing w:val="-10"/>
                      <w:sz w:val="21"/>
                      <w:szCs w:val="21"/>
                      <w:highlight w:val="none"/>
                      <w:vertAlign w:val="baseline"/>
                      <w:lang w:val="en-US" w:eastAsia="zh-CN"/>
                    </w:rPr>
                    <w:t>30</w:t>
                  </w:r>
                  <w:r>
                    <w:rPr>
                      <w:rFonts w:hint="default" w:ascii="Times New Roman" w:hAnsi="Times New Roman" w:eastAsia="宋体" w:cs="Times New Roman"/>
                      <w:b w:val="0"/>
                      <w:bCs/>
                      <w:color w:val="auto"/>
                      <w:spacing w:val="-10"/>
                      <w:sz w:val="21"/>
                      <w:szCs w:val="21"/>
                      <w:highlight w:val="none"/>
                      <w:vertAlign w:val="baseline"/>
                      <w:lang w:val="en-US" w:eastAsia="zh-CN"/>
                    </w:rPr>
                    <w:t>″，N：25°33′</w:t>
                  </w:r>
                  <w:r>
                    <w:rPr>
                      <w:rFonts w:hint="eastAsia" w:cs="Times New Roman"/>
                      <w:b w:val="0"/>
                      <w:bCs/>
                      <w:color w:val="auto"/>
                      <w:spacing w:val="-10"/>
                      <w:sz w:val="21"/>
                      <w:szCs w:val="21"/>
                      <w:highlight w:val="none"/>
                      <w:vertAlign w:val="baseline"/>
                      <w:lang w:val="en-US" w:eastAsia="zh-CN"/>
                    </w:rPr>
                    <w:t>38.459</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843" w:type="dxa"/>
                  <w:gridSpan w:val="3"/>
                  <w:vAlign w:val="center"/>
                </w:tcPr>
                <w:p w14:paraId="1422F5A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DA014：</w:t>
                  </w:r>
                  <w:r>
                    <w:rPr>
                      <w:rFonts w:hint="default" w:ascii="Times New Roman" w:hAnsi="Times New Roman" w:eastAsia="宋体" w:cs="Times New Roman"/>
                      <w:b w:val="0"/>
                      <w:bCs/>
                      <w:color w:val="auto"/>
                      <w:spacing w:val="-10"/>
                      <w:sz w:val="21"/>
                      <w:szCs w:val="21"/>
                      <w:highlight w:val="none"/>
                      <w:vertAlign w:val="baseline"/>
                      <w:lang w:val="en-US" w:eastAsia="zh-CN"/>
                    </w:rPr>
                    <w:t>E：103°11′45.</w:t>
                  </w:r>
                  <w:r>
                    <w:rPr>
                      <w:rFonts w:hint="eastAsia" w:cs="Times New Roman"/>
                      <w:b w:val="0"/>
                      <w:bCs/>
                      <w:color w:val="auto"/>
                      <w:spacing w:val="-10"/>
                      <w:sz w:val="21"/>
                      <w:szCs w:val="21"/>
                      <w:highlight w:val="none"/>
                      <w:vertAlign w:val="baseline"/>
                      <w:lang w:val="en-US" w:eastAsia="zh-CN"/>
                    </w:rPr>
                    <w:t>083</w:t>
                  </w:r>
                  <w:r>
                    <w:rPr>
                      <w:rFonts w:hint="default" w:ascii="Times New Roman" w:hAnsi="Times New Roman" w:eastAsia="宋体" w:cs="Times New Roman"/>
                      <w:b w:val="0"/>
                      <w:bCs/>
                      <w:color w:val="auto"/>
                      <w:spacing w:val="-10"/>
                      <w:sz w:val="21"/>
                      <w:szCs w:val="21"/>
                      <w:highlight w:val="none"/>
                      <w:vertAlign w:val="baseline"/>
                      <w:lang w:val="en-US" w:eastAsia="zh-CN"/>
                    </w:rPr>
                    <w:t>″，N：25°33′38.</w:t>
                  </w:r>
                  <w:r>
                    <w:rPr>
                      <w:rFonts w:hint="eastAsia" w:cs="Times New Roman"/>
                      <w:b w:val="0"/>
                      <w:bCs/>
                      <w:color w:val="auto"/>
                      <w:spacing w:val="-10"/>
                      <w:sz w:val="21"/>
                      <w:szCs w:val="21"/>
                      <w:highlight w:val="none"/>
                      <w:vertAlign w:val="baseline"/>
                      <w:lang w:val="en-US" w:eastAsia="zh-CN"/>
                    </w:rPr>
                    <w:t>208</w:t>
                  </w: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6375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0F90DB8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5852" w:type="dxa"/>
                  <w:gridSpan w:val="6"/>
                  <w:vAlign w:val="center"/>
                </w:tcPr>
                <w:p w14:paraId="6175A45B">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shd w:val="clear" w:color="auto" w:fill="auto"/>
                      <w:lang w:val="zh-CN" w:eastAsia="zh-CN"/>
                    </w:rPr>
                    <w:t>执行</w:t>
                  </w:r>
                  <w:r>
                    <w:rPr>
                      <w:rFonts w:hint="default" w:ascii="Times New Roman" w:hAnsi="Times New Roman" w:cs="Times New Roman"/>
                      <w:color w:val="auto"/>
                      <w:sz w:val="21"/>
                      <w:szCs w:val="21"/>
                      <w:shd w:val="clear" w:color="auto" w:fill="auto"/>
                      <w:lang w:val="zh-CN" w:eastAsia="zh-CN"/>
                    </w:rPr>
                    <w:t>《大气污染物综合排放标准》（GB16297-1996）表2中二级标准</w:t>
                  </w:r>
                  <w:r>
                    <w:rPr>
                      <w:color w:val="auto"/>
                      <w:sz w:val="21"/>
                      <w:szCs w:val="21"/>
                    </w:rPr>
                    <w:t>要求</w:t>
                  </w:r>
                  <w:r>
                    <w:rPr>
                      <w:rFonts w:hint="eastAsia"/>
                      <w:color w:val="auto"/>
                      <w:sz w:val="21"/>
                      <w:szCs w:val="21"/>
                      <w:lang w:eastAsia="zh-CN"/>
                    </w:rPr>
                    <w:t>。</w:t>
                  </w:r>
                </w:p>
              </w:tc>
            </w:tr>
            <w:tr w14:paraId="1107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gridSpan w:val="2"/>
                  <w:vMerge w:val="restart"/>
                  <w:vAlign w:val="center"/>
                </w:tcPr>
                <w:p w14:paraId="477C3D8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720" w:type="dxa"/>
                  <w:vAlign w:val="center"/>
                </w:tcPr>
                <w:p w14:paraId="1FC4011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1824" w:type="dxa"/>
                  <w:gridSpan w:val="2"/>
                  <w:vAlign w:val="center"/>
                </w:tcPr>
                <w:p w14:paraId="529B33C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w:t>
                  </w:r>
                  <w:r>
                    <w:rPr>
                      <w:rFonts w:hint="eastAsia" w:cs="Times New Roman"/>
                      <w:b w:val="0"/>
                      <w:bCs w:val="0"/>
                      <w:color w:val="auto"/>
                      <w:spacing w:val="-10"/>
                      <w:sz w:val="21"/>
                      <w:szCs w:val="21"/>
                      <w:highlight w:val="none"/>
                      <w:vertAlign w:val="baseline"/>
                      <w:lang w:val="en-US" w:eastAsia="zh-CN"/>
                    </w:rPr>
                    <w:t>13</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c>
                <w:tcPr>
                  <w:tcW w:w="1185" w:type="dxa"/>
                  <w:vAlign w:val="center"/>
                </w:tcPr>
                <w:p w14:paraId="3A559AD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c>
                <w:tcPr>
                  <w:tcW w:w="1593" w:type="dxa"/>
                  <w:gridSpan w:val="2"/>
                  <w:vAlign w:val="center"/>
                </w:tcPr>
                <w:p w14:paraId="2E52D95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w:t>
                  </w:r>
                  <w:r>
                    <w:rPr>
                      <w:rFonts w:hint="eastAsia" w:cs="Times New Roman"/>
                      <w:b w:val="0"/>
                      <w:bCs w:val="0"/>
                      <w:color w:val="auto"/>
                      <w:spacing w:val="-10"/>
                      <w:sz w:val="21"/>
                      <w:szCs w:val="21"/>
                      <w:highlight w:val="none"/>
                      <w:vertAlign w:val="baseline"/>
                      <w:lang w:val="en-US" w:eastAsia="zh-CN"/>
                    </w:rPr>
                    <w:t>14</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c>
                <w:tcPr>
                  <w:tcW w:w="1250" w:type="dxa"/>
                  <w:vAlign w:val="center"/>
                </w:tcPr>
                <w:p w14:paraId="4FAA28F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r>
            <w:tr w14:paraId="46CB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gridSpan w:val="2"/>
                  <w:vMerge w:val="continue"/>
                  <w:vAlign w:val="center"/>
                </w:tcPr>
                <w:p w14:paraId="4FB69A1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20" w:type="dxa"/>
                  <w:vAlign w:val="center"/>
                </w:tcPr>
                <w:p w14:paraId="6A441A7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3009" w:type="dxa"/>
                  <w:gridSpan w:val="3"/>
                  <w:vAlign w:val="center"/>
                </w:tcPr>
                <w:p w14:paraId="494F343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c>
                <w:tcPr>
                  <w:tcW w:w="2843" w:type="dxa"/>
                  <w:gridSpan w:val="3"/>
                  <w:vAlign w:val="center"/>
                </w:tcPr>
                <w:p w14:paraId="78B7E74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r>
            <w:tr w14:paraId="1AF4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gridSpan w:val="2"/>
                  <w:vMerge w:val="continue"/>
                  <w:vAlign w:val="center"/>
                </w:tcPr>
                <w:p w14:paraId="17520D6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20" w:type="dxa"/>
                  <w:vAlign w:val="center"/>
                </w:tcPr>
                <w:p w14:paraId="1BAAB83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1824" w:type="dxa"/>
                  <w:gridSpan w:val="2"/>
                  <w:vAlign w:val="center"/>
                </w:tcPr>
                <w:p w14:paraId="4CF6DFD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c>
                <w:tcPr>
                  <w:tcW w:w="1185" w:type="dxa"/>
                  <w:vAlign w:val="center"/>
                </w:tcPr>
                <w:p w14:paraId="490B8F5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c>
                <w:tcPr>
                  <w:tcW w:w="1593" w:type="dxa"/>
                  <w:gridSpan w:val="2"/>
                  <w:vAlign w:val="center"/>
                </w:tcPr>
                <w:p w14:paraId="30D071A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c>
                <w:tcPr>
                  <w:tcW w:w="1250" w:type="dxa"/>
                  <w:vAlign w:val="center"/>
                </w:tcPr>
                <w:p w14:paraId="3FEAA00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r>
          </w:tbl>
          <w:p w14:paraId="1B8C6033">
            <w:pPr>
              <w:keepNext w:val="0"/>
              <w:keepLines w:val="0"/>
              <w:pageBreakBefore w:val="0"/>
              <w:widowControl w:val="0"/>
              <w:kinsoku/>
              <w:wordWrap/>
              <w:overflowPunct/>
              <w:topLinePunct w:val="0"/>
              <w:autoSpaceDE/>
              <w:autoSpaceDN/>
              <w:bidi w:val="0"/>
              <w:adjustRightInd/>
              <w:snapToGrid/>
              <w:spacing w:line="348" w:lineRule="auto"/>
              <w:ind w:firstLine="506" w:firstLineChars="200"/>
              <w:textAlignment w:val="auto"/>
              <w:outlineLvl w:val="9"/>
              <w:rPr>
                <w:rFonts w:hint="eastAsia" w:cs="Times New Roman"/>
                <w:b/>
                <w:bCs/>
                <w:color w:val="auto"/>
                <w:spacing w:val="6"/>
                <w:kern w:val="2"/>
                <w:sz w:val="24"/>
                <w:szCs w:val="24"/>
                <w:highlight w:val="none"/>
                <w:lang w:val="en-US" w:eastAsia="zh-CN" w:bidi="ar-SA"/>
              </w:rPr>
            </w:pPr>
            <w:r>
              <w:rPr>
                <w:rFonts w:hint="eastAsia" w:cs="Times New Roman"/>
                <w:b/>
                <w:bCs/>
                <w:color w:val="auto"/>
                <w:spacing w:val="6"/>
                <w:kern w:val="2"/>
                <w:sz w:val="24"/>
                <w:szCs w:val="24"/>
                <w:highlight w:val="none"/>
                <w:lang w:val="en-US" w:eastAsia="zh-CN" w:bidi="ar-SA"/>
              </w:rPr>
              <w:t>⑩成品散装粉尘</w:t>
            </w:r>
          </w:p>
          <w:p w14:paraId="0CC4B308">
            <w:pPr>
              <w:pStyle w:val="4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pacing w:val="-3"/>
                <w:kern w:val="2"/>
                <w:sz w:val="24"/>
                <w:szCs w:val="24"/>
                <w:highlight w:val="none"/>
                <w:lang w:val="en-US" w:eastAsia="zh-CN" w:bidi="ar-SA"/>
              </w:rPr>
            </w:pPr>
            <w:r>
              <w:rPr>
                <w:rFonts w:hint="eastAsia" w:ascii="Times New Roman" w:hAnsi="Times New Roman" w:eastAsia="宋体" w:cs="Times New Roman"/>
                <w:color w:val="auto"/>
                <w:spacing w:val="-3"/>
                <w:kern w:val="2"/>
                <w:sz w:val="24"/>
                <w:szCs w:val="24"/>
                <w:highlight w:val="none"/>
                <w:lang w:val="en-US" w:eastAsia="zh-CN" w:bidi="ar-SA"/>
              </w:rPr>
              <w:t>本项目</w:t>
            </w:r>
            <w:r>
              <w:rPr>
                <w:rFonts w:hint="eastAsia" w:eastAsia="宋体" w:cs="Times New Roman"/>
                <w:color w:val="auto"/>
                <w:spacing w:val="-3"/>
                <w:kern w:val="2"/>
                <w:sz w:val="24"/>
                <w:szCs w:val="24"/>
                <w:highlight w:val="none"/>
                <w:lang w:val="en-US" w:eastAsia="zh-CN" w:bidi="ar-SA"/>
              </w:rPr>
              <w:t>产品外售时采用散装机进行装车，块煤采用厢体式卡车运输，煤粉采用罐车运输，块煤和煤粉均分别使用两台散装机。装车过程产生落料粉尘。</w:t>
            </w:r>
          </w:p>
          <w:p w14:paraId="1E9EFB91">
            <w:pPr>
              <w:adjustRightInd w:val="0"/>
              <w:snapToGrid w:val="0"/>
              <w:spacing w:line="360" w:lineRule="auto"/>
              <w:ind w:firstLine="480" w:firstLineChars="200"/>
              <w:rPr>
                <w:rFonts w:hint="eastAsia" w:eastAsia="宋体"/>
                <w:color w:val="auto"/>
                <w:sz w:val="24"/>
                <w:lang w:eastAsia="zh-CN"/>
              </w:rPr>
            </w:pPr>
            <w:r>
              <w:rPr>
                <w:rFonts w:hint="eastAsia"/>
                <w:color w:val="auto"/>
                <w:sz w:val="24"/>
                <w:lang w:eastAsia="zh-CN"/>
              </w:rPr>
              <w:t>块煤散装过程</w:t>
            </w:r>
            <w:r>
              <w:rPr>
                <w:rFonts w:hint="eastAsia"/>
                <w:color w:val="auto"/>
                <w:sz w:val="24"/>
              </w:rPr>
              <w:t>落煤高度约</w:t>
            </w:r>
            <w:r>
              <w:rPr>
                <w:rFonts w:hint="eastAsia"/>
                <w:color w:val="auto"/>
                <w:sz w:val="24"/>
                <w:lang w:val="en-US" w:eastAsia="zh-CN"/>
              </w:rPr>
              <w:t>4</w:t>
            </w:r>
            <w:r>
              <w:rPr>
                <w:rFonts w:hint="eastAsia"/>
                <w:color w:val="auto"/>
                <w:sz w:val="24"/>
              </w:rPr>
              <w:t>m</w:t>
            </w:r>
            <w:r>
              <w:rPr>
                <w:rFonts w:hint="eastAsia"/>
                <w:color w:val="auto"/>
                <w:sz w:val="24"/>
                <w:lang w:eastAsia="zh-CN"/>
              </w:rPr>
              <w:t>，煤粉散装过程落煤</w:t>
            </w:r>
            <w:r>
              <w:rPr>
                <w:rFonts w:hint="eastAsia"/>
                <w:color w:val="auto"/>
                <w:sz w:val="24"/>
              </w:rPr>
              <w:t>高度约</w:t>
            </w:r>
            <w:r>
              <w:rPr>
                <w:rFonts w:hint="eastAsia"/>
                <w:color w:val="auto"/>
                <w:sz w:val="24"/>
                <w:lang w:val="en-US" w:eastAsia="zh-CN"/>
              </w:rPr>
              <w:t>1</w:t>
            </w:r>
            <w:r>
              <w:rPr>
                <w:rFonts w:hint="eastAsia"/>
                <w:color w:val="auto"/>
                <w:sz w:val="24"/>
              </w:rPr>
              <w:t>m</w:t>
            </w:r>
            <w:r>
              <w:rPr>
                <w:rFonts w:hint="eastAsia"/>
                <w:color w:val="auto"/>
                <w:sz w:val="24"/>
                <w:lang w:eastAsia="zh-CN"/>
              </w:rPr>
              <w:t>。</w:t>
            </w:r>
          </w:p>
          <w:p w14:paraId="1E8109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color w:val="auto"/>
                <w:sz w:val="24"/>
                <w:highlight w:val="none"/>
                <w:lang w:val="en-US"/>
              </w:rPr>
              <w:t>采用“秦皇岛港口煤炭装卸起尘及其扩散规律研究”得出的公式计算，计算公式如下：</w:t>
            </w:r>
          </w:p>
          <w:p w14:paraId="7645757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Q=0.03V</w:t>
            </w:r>
            <w:r>
              <w:rPr>
                <w:rFonts w:hint="default" w:ascii="Times New Roman" w:hAnsi="Times New Roman" w:eastAsia="宋体" w:cs="Times New Roman"/>
                <w:b w:val="0"/>
                <w:bCs w:val="0"/>
                <w:color w:val="auto"/>
                <w:sz w:val="24"/>
                <w:highlight w:val="none"/>
                <w:vertAlign w:val="superscript"/>
                <w:lang w:val="en-US" w:eastAsia="zh-CN"/>
              </w:rPr>
              <w:t>1.8</w:t>
            </w:r>
            <w:r>
              <w:rPr>
                <w:rFonts w:hint="default" w:ascii="Times New Roman" w:hAnsi="Times New Roman" w:eastAsia="宋体" w:cs="Times New Roman"/>
                <w:b w:val="0"/>
                <w:bCs w:val="0"/>
                <w:color w:val="auto"/>
                <w:sz w:val="24"/>
                <w:highlight w:val="none"/>
                <w:vertAlign w:val="baseline"/>
                <w:lang w:val="en-US" w:eastAsia="zh-CN"/>
              </w:rPr>
              <w:t>·H</w:t>
            </w:r>
            <w:r>
              <w:rPr>
                <w:rFonts w:hint="default" w:ascii="Times New Roman" w:hAnsi="Times New Roman" w:eastAsia="宋体" w:cs="Times New Roman"/>
                <w:b w:val="0"/>
                <w:bCs w:val="0"/>
                <w:color w:val="auto"/>
                <w:sz w:val="24"/>
                <w:highlight w:val="none"/>
                <w:vertAlign w:val="superscript"/>
                <w:lang w:val="en-US" w:eastAsia="zh-CN"/>
              </w:rPr>
              <w:t>1.23</w:t>
            </w:r>
            <w:r>
              <w:rPr>
                <w:rFonts w:hint="default" w:ascii="Times New Roman" w:hAnsi="Times New Roman" w:eastAsia="宋体" w:cs="Times New Roman"/>
                <w:b w:val="0"/>
                <w:bCs w:val="0"/>
                <w:color w:val="auto"/>
                <w:sz w:val="24"/>
                <w:highlight w:val="none"/>
                <w:vertAlign w:val="baseline"/>
                <w:lang w:val="en-US" w:eastAsia="zh-CN"/>
              </w:rPr>
              <w:t>·e</w:t>
            </w:r>
            <w:r>
              <w:rPr>
                <w:rFonts w:hint="default" w:ascii="Times New Roman" w:hAnsi="Times New Roman" w:eastAsia="宋体" w:cs="Times New Roman"/>
                <w:b w:val="0"/>
                <w:bCs w:val="0"/>
                <w:color w:val="auto"/>
                <w:sz w:val="24"/>
                <w:highlight w:val="none"/>
                <w:vertAlign w:val="superscript"/>
                <w:lang w:val="en-US" w:eastAsia="zh-CN"/>
              </w:rPr>
              <w:t>-0.23w</w:t>
            </w:r>
          </w:p>
          <w:p w14:paraId="523A116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式中：Q</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煤炭装卸起尘量，kg/t；</w:t>
            </w:r>
          </w:p>
          <w:p w14:paraId="23CC9C7F">
            <w:pPr>
              <w:keepNext w:val="0"/>
              <w:keepLines w:val="0"/>
              <w:pageBreakBefore w:val="0"/>
              <w:widowControl w:val="0"/>
              <w:kinsoku/>
              <w:wordWrap/>
              <w:overflowPunct/>
              <w:topLinePunct w:val="0"/>
              <w:autoSpaceDE/>
              <w:autoSpaceDN/>
              <w:bidi w:val="0"/>
              <w:adjustRightInd w:val="0"/>
              <w:snapToGrid w:val="0"/>
              <w:spacing w:line="360" w:lineRule="auto"/>
              <w:ind w:firstLine="1262" w:firstLineChars="526"/>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V</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风速，m/s，取</w:t>
            </w:r>
            <w:r>
              <w:rPr>
                <w:rFonts w:hint="eastAsia" w:ascii="Times New Roman" w:hAnsi="Times New Roman" w:eastAsia="宋体" w:cs="Times New Roman"/>
                <w:color w:val="auto"/>
                <w:sz w:val="24"/>
                <w:highlight w:val="none"/>
                <w:lang w:val="en-US" w:eastAsia="zh-CN"/>
              </w:rPr>
              <w:t>0.5</w:t>
            </w:r>
            <w:r>
              <w:rPr>
                <w:rFonts w:hint="default" w:ascii="Times New Roman" w:hAnsi="Times New Roman" w:eastAsia="宋体" w:cs="Times New Roman"/>
                <w:color w:val="auto"/>
                <w:sz w:val="24"/>
                <w:highlight w:val="none"/>
                <w:lang w:val="en-US"/>
              </w:rPr>
              <w:t>m/s</w:t>
            </w:r>
            <w:r>
              <w:rPr>
                <w:rFonts w:hint="eastAsia"/>
                <w:color w:val="auto"/>
                <w:sz w:val="24"/>
              </w:rPr>
              <w:t>（</w:t>
            </w:r>
            <w:r>
              <w:rPr>
                <w:rFonts w:hint="eastAsia"/>
                <w:color w:val="auto"/>
                <w:sz w:val="24"/>
                <w:lang w:eastAsia="zh-CN"/>
              </w:rPr>
              <w:t>转载站</w:t>
            </w:r>
            <w:r>
              <w:rPr>
                <w:rFonts w:hint="eastAsia"/>
                <w:color w:val="auto"/>
                <w:sz w:val="24"/>
              </w:rPr>
              <w:t>封闭式设置，考虑扰动风速取0.5</w:t>
            </w:r>
            <w:r>
              <w:rPr>
                <w:color w:val="auto"/>
                <w:sz w:val="24"/>
              </w:rPr>
              <w:t>m/s</w:t>
            </w:r>
            <w:r>
              <w:rPr>
                <w:rFonts w:hint="eastAsia"/>
                <w:color w:val="auto"/>
                <w:sz w:val="24"/>
              </w:rPr>
              <w:t>）</w:t>
            </w:r>
            <w:r>
              <w:rPr>
                <w:rFonts w:hint="default" w:ascii="Times New Roman" w:hAnsi="Times New Roman" w:eastAsia="宋体" w:cs="Times New Roman"/>
                <w:color w:val="auto"/>
                <w:sz w:val="24"/>
                <w:highlight w:val="none"/>
                <w:lang w:val="en-US"/>
              </w:rPr>
              <w:t>；</w:t>
            </w:r>
          </w:p>
          <w:p w14:paraId="404139AD">
            <w:pPr>
              <w:keepNext w:val="0"/>
              <w:keepLines w:val="0"/>
              <w:pageBreakBefore w:val="0"/>
              <w:widowControl w:val="0"/>
              <w:kinsoku/>
              <w:wordWrap/>
              <w:overflowPunct/>
              <w:topLinePunct w:val="0"/>
              <w:autoSpaceDE/>
              <w:autoSpaceDN/>
              <w:bidi w:val="0"/>
              <w:adjustRightInd w:val="0"/>
              <w:snapToGrid w:val="0"/>
              <w:spacing w:line="360" w:lineRule="auto"/>
              <w:ind w:firstLine="1262" w:firstLineChars="526"/>
              <w:textAlignment w:val="auto"/>
              <w:outlineLvl w:val="9"/>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rPr>
              <w:t>W</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含水率，%，取</w:t>
            </w:r>
            <w:r>
              <w:rPr>
                <w:rFonts w:hint="eastAsia" w:cs="Times New Roman"/>
                <w:color w:val="auto"/>
                <w:sz w:val="24"/>
                <w:highlight w:val="none"/>
                <w:lang w:val="en-US" w:eastAsia="zh-CN"/>
              </w:rPr>
              <w:t>30</w:t>
            </w:r>
            <w:r>
              <w:rPr>
                <w:rFonts w:hint="default" w:ascii="Times New Roman" w:hAnsi="Times New Roman" w:eastAsia="宋体" w:cs="Times New Roman"/>
                <w:color w:val="auto"/>
                <w:sz w:val="24"/>
                <w:highlight w:val="none"/>
                <w:lang w:val="en-US"/>
              </w:rPr>
              <w:t>%</w:t>
            </w:r>
          </w:p>
          <w:p w14:paraId="2447067A">
            <w:pPr>
              <w:keepNext w:val="0"/>
              <w:keepLines w:val="0"/>
              <w:pageBreakBefore w:val="0"/>
              <w:widowControl w:val="0"/>
              <w:kinsoku/>
              <w:wordWrap/>
              <w:overflowPunct/>
              <w:topLinePunct w:val="0"/>
              <w:autoSpaceDE/>
              <w:autoSpaceDN/>
              <w:bidi w:val="0"/>
              <w:adjustRightInd w:val="0"/>
              <w:snapToGrid w:val="0"/>
              <w:spacing w:line="360" w:lineRule="auto"/>
              <w:ind w:firstLine="1262" w:firstLineChars="526"/>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H</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装卸落差高度，</w:t>
            </w:r>
            <w:r>
              <w:rPr>
                <w:rFonts w:hint="default" w:ascii="Times New Roman" w:hAnsi="Times New Roman" w:eastAsia="宋体" w:cs="Times New Roman"/>
                <w:color w:val="auto"/>
                <w:sz w:val="24"/>
                <w:highlight w:val="none"/>
                <w:lang w:val="en-US" w:eastAsia="zh-CN"/>
              </w:rPr>
              <w:t>取</w:t>
            </w:r>
            <w:r>
              <w:rPr>
                <w:rFonts w:hint="eastAsia" w:cs="Times New Roman"/>
                <w:color w:val="auto"/>
                <w:sz w:val="24"/>
                <w:highlight w:val="none"/>
                <w:lang w:val="en-US" w:eastAsia="zh-CN"/>
              </w:rPr>
              <w:t>1m</w:t>
            </w:r>
            <w:r>
              <w:rPr>
                <w:rFonts w:hint="eastAsia" w:ascii="Times New Roman" w:hAnsi="Times New Roman" w:eastAsia="宋体" w:cs="Times New Roman"/>
                <w:color w:val="auto"/>
                <w:sz w:val="24"/>
                <w:highlight w:val="none"/>
                <w:lang w:val="en-US" w:eastAsia="zh-CN"/>
              </w:rPr>
              <w:t>及</w:t>
            </w:r>
            <w:r>
              <w:rPr>
                <w:rFonts w:hint="eastAsia"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lang w:val="en-US"/>
              </w:rPr>
              <w:t>。</w:t>
            </w:r>
          </w:p>
          <w:p w14:paraId="2C07C2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eastAsia="宋体"/>
                <w:color w:val="auto"/>
                <w:sz w:val="24"/>
                <w:highlight w:val="yellow"/>
                <w:lang w:val="en-US" w:eastAsia="zh-CN"/>
              </w:rPr>
            </w:pPr>
            <w:r>
              <w:rPr>
                <w:rFonts w:hint="default" w:ascii="Times New Roman" w:hAnsi="Times New Roman" w:eastAsia="宋体" w:cs="Times New Roman"/>
                <w:color w:val="auto"/>
                <w:sz w:val="24"/>
                <w:highlight w:val="none"/>
                <w:lang w:val="en-US"/>
              </w:rPr>
              <w:t>根据公式计</w:t>
            </w:r>
            <w:r>
              <w:rPr>
                <w:rFonts w:hint="default" w:ascii="Times New Roman" w:hAnsi="Times New Roman" w:eastAsia="宋体" w:cs="Times New Roman"/>
                <w:color w:val="auto"/>
                <w:sz w:val="24"/>
                <w:szCs w:val="24"/>
                <w:highlight w:val="none"/>
                <w:lang w:val="en-US"/>
              </w:rPr>
              <w:t>算得本项目</w:t>
            </w:r>
            <w:r>
              <w:rPr>
                <w:rFonts w:hint="eastAsia"/>
                <w:color w:val="auto"/>
                <w:sz w:val="24"/>
                <w:lang w:eastAsia="zh-CN"/>
              </w:rPr>
              <w:t>块煤散装落</w:t>
            </w:r>
            <w:r>
              <w:rPr>
                <w:rFonts w:hint="eastAsia" w:ascii="Times New Roman" w:hAnsi="Times New Roman" w:eastAsia="宋体" w:cs="Times New Roman"/>
                <w:color w:val="auto"/>
                <w:sz w:val="24"/>
                <w:szCs w:val="24"/>
                <w:highlight w:val="none"/>
                <w:lang w:val="en-US" w:eastAsia="zh-CN"/>
              </w:rPr>
              <w:t>料粉尘</w:t>
            </w:r>
            <w:r>
              <w:rPr>
                <w:rFonts w:hint="default" w:ascii="Times New Roman" w:hAnsi="Times New Roman" w:eastAsia="宋体" w:cs="Times New Roman"/>
                <w:color w:val="auto"/>
                <w:sz w:val="24"/>
                <w:szCs w:val="24"/>
                <w:highlight w:val="none"/>
                <w:lang w:val="en-US"/>
              </w:rPr>
              <w:t>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080</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t，</w:t>
            </w:r>
            <w:r>
              <w:rPr>
                <w:rFonts w:hint="eastAsia"/>
                <w:color w:val="auto"/>
                <w:sz w:val="24"/>
                <w:lang w:eastAsia="zh-CN"/>
              </w:rPr>
              <w:t>煤粉散装落</w:t>
            </w:r>
            <w:r>
              <w:rPr>
                <w:rFonts w:hint="eastAsia" w:ascii="Times New Roman" w:hAnsi="Times New Roman" w:eastAsia="宋体" w:cs="Times New Roman"/>
                <w:color w:val="auto"/>
                <w:sz w:val="24"/>
                <w:szCs w:val="24"/>
                <w:highlight w:val="none"/>
                <w:lang w:val="en-US" w:eastAsia="zh-CN"/>
              </w:rPr>
              <w:t>料粉尘</w:t>
            </w:r>
            <w:r>
              <w:rPr>
                <w:rFonts w:hint="default" w:ascii="Times New Roman" w:hAnsi="Times New Roman" w:eastAsia="宋体" w:cs="Times New Roman"/>
                <w:color w:val="auto"/>
                <w:sz w:val="24"/>
                <w:szCs w:val="24"/>
                <w:highlight w:val="none"/>
                <w:lang w:val="en-US"/>
              </w:rPr>
              <w:t>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442</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t，</w:t>
            </w:r>
            <w:r>
              <w:rPr>
                <w:rFonts w:hint="eastAsia" w:cs="Times New Roman"/>
                <w:color w:val="auto"/>
                <w:sz w:val="24"/>
                <w:szCs w:val="24"/>
                <w:highlight w:val="none"/>
                <w:lang w:val="en-US" w:eastAsia="zh-CN"/>
              </w:rPr>
              <w:t>本项目散装成品煤量为</w:t>
            </w:r>
            <w:r>
              <w:rPr>
                <w:rFonts w:hint="eastAsia" w:cs="Times New Roman"/>
                <w:i w:val="0"/>
                <w:iCs w:val="0"/>
                <w:color w:val="auto"/>
                <w:kern w:val="2"/>
                <w:sz w:val="24"/>
                <w:szCs w:val="24"/>
                <w:highlight w:val="none"/>
                <w:u w:val="none"/>
                <w:lang w:val="en-US" w:eastAsia="zh-CN" w:bidi="ar-SA"/>
              </w:rPr>
              <w:t>714074.1223</w:t>
            </w:r>
            <w:r>
              <w:rPr>
                <w:rFonts w:hint="eastAsia" w:cs="Times New Roman"/>
                <w:color w:val="auto"/>
                <w:sz w:val="24"/>
                <w:szCs w:val="24"/>
                <w:highlight w:val="none"/>
                <w:lang w:val="en-US" w:eastAsia="zh-CN"/>
              </w:rPr>
              <w:t>t/a，散装煤块量为691174.1223t/a，则</w:t>
            </w:r>
            <w:r>
              <w:rPr>
                <w:rFonts w:hint="eastAsia"/>
                <w:color w:val="auto"/>
                <w:sz w:val="24"/>
                <w:lang w:eastAsia="zh-CN"/>
              </w:rPr>
              <w:t>块煤散装落</w:t>
            </w:r>
            <w:r>
              <w:rPr>
                <w:rFonts w:hint="eastAsia" w:ascii="Times New Roman" w:hAnsi="Times New Roman" w:eastAsia="宋体" w:cs="Times New Roman"/>
                <w:color w:val="auto"/>
                <w:sz w:val="24"/>
                <w:szCs w:val="24"/>
                <w:highlight w:val="none"/>
                <w:lang w:val="en-US" w:eastAsia="zh-CN"/>
              </w:rPr>
              <w:t>料粉尘</w:t>
            </w:r>
            <w:r>
              <w:rPr>
                <w:rFonts w:hint="default" w:ascii="Times New Roman" w:hAnsi="Times New Roman" w:eastAsia="宋体" w:cs="Times New Roman"/>
                <w:color w:val="auto"/>
                <w:sz w:val="24"/>
                <w:szCs w:val="24"/>
                <w:highlight w:val="none"/>
                <w:lang w:val="en-US"/>
              </w:rPr>
              <w:t>量</w:t>
            </w:r>
            <w:r>
              <w:rPr>
                <w:rFonts w:hint="eastAsia"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5.5294</w:t>
            </w:r>
            <w:r>
              <w:rPr>
                <w:rFonts w:hint="eastAsia"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散装成品煤粉量为22900t/a，</w:t>
            </w:r>
            <w:r>
              <w:rPr>
                <w:rFonts w:hint="eastAsia"/>
                <w:color w:val="auto"/>
                <w:sz w:val="24"/>
                <w:lang w:eastAsia="zh-CN"/>
              </w:rPr>
              <w:t>煤粉散装落</w:t>
            </w:r>
            <w:r>
              <w:rPr>
                <w:rFonts w:hint="eastAsia" w:ascii="Times New Roman" w:hAnsi="Times New Roman" w:eastAsia="宋体" w:cs="Times New Roman"/>
                <w:color w:val="auto"/>
                <w:sz w:val="24"/>
                <w:szCs w:val="24"/>
                <w:highlight w:val="none"/>
                <w:lang w:val="en-US" w:eastAsia="zh-CN"/>
              </w:rPr>
              <w:t>料粉尘</w:t>
            </w:r>
            <w:r>
              <w:rPr>
                <w:rFonts w:hint="default" w:ascii="Times New Roman" w:hAnsi="Times New Roman" w:eastAsia="宋体" w:cs="Times New Roman"/>
                <w:color w:val="auto"/>
                <w:sz w:val="24"/>
                <w:szCs w:val="24"/>
                <w:highlight w:val="none"/>
                <w:lang w:val="en-US"/>
              </w:rPr>
              <w:t>量</w:t>
            </w:r>
            <w:r>
              <w:rPr>
                <w:rFonts w:hint="eastAsia"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1.0122</w:t>
            </w:r>
            <w:r>
              <w:rPr>
                <w:rFonts w:hint="eastAsia" w:ascii="Times New Roman" w:hAnsi="Times New Roman" w:eastAsia="宋体" w:cs="Times New Roman"/>
                <w:color w:val="auto"/>
                <w:sz w:val="24"/>
                <w:szCs w:val="24"/>
                <w:highlight w:val="none"/>
                <w:lang w:val="en-US" w:eastAsia="zh-CN"/>
              </w:rPr>
              <w:t>t/a，</w:t>
            </w:r>
            <w:r>
              <w:rPr>
                <w:rFonts w:hint="eastAsia"/>
                <w:color w:val="auto"/>
                <w:sz w:val="24"/>
              </w:rPr>
              <w:t>则</w:t>
            </w:r>
            <w:r>
              <w:rPr>
                <w:rFonts w:hint="eastAsia"/>
                <w:color w:val="auto"/>
                <w:sz w:val="24"/>
                <w:lang w:eastAsia="zh-CN"/>
              </w:rPr>
              <w:t>成品散装共产生粉尘</w:t>
            </w:r>
            <w:r>
              <w:rPr>
                <w:rFonts w:hint="eastAsia"/>
                <w:color w:val="auto"/>
                <w:sz w:val="24"/>
                <w:highlight w:val="none"/>
                <w:lang w:val="en-US" w:eastAsia="zh-CN"/>
              </w:rPr>
              <w:t>6.5416t/a。</w:t>
            </w:r>
          </w:p>
          <w:p w14:paraId="2792C2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eastAsia="宋体"/>
                <w:color w:val="auto"/>
                <w:sz w:val="24"/>
                <w:lang w:val="en-US" w:eastAsia="zh-CN"/>
              </w:rPr>
            </w:pPr>
            <w:r>
              <w:rPr>
                <w:rFonts w:hint="default" w:ascii="Times New Roman" w:hAnsi="Times New Roman" w:eastAsia="宋体" w:cs="Times New Roman"/>
                <w:color w:val="auto"/>
                <w:kern w:val="2"/>
                <w:sz w:val="24"/>
                <w:szCs w:val="24"/>
                <w:highlight w:val="none"/>
                <w:lang w:val="en-US" w:eastAsia="zh-CN" w:bidi="ar-SA"/>
              </w:rPr>
              <w:t>根据建设单位提供资料，</w:t>
            </w:r>
            <w:r>
              <w:rPr>
                <w:rFonts w:hint="eastAsia" w:cs="Times New Roman"/>
                <w:color w:val="auto"/>
                <w:sz w:val="24"/>
                <w:szCs w:val="24"/>
                <w:lang w:val="zh-CN"/>
              </w:rPr>
              <w:t>散装机顶部设置一个布袋除尘器，</w:t>
            </w:r>
            <w:r>
              <w:rPr>
                <w:rFonts w:hint="eastAsia"/>
                <w:color w:val="auto"/>
                <w:sz w:val="24"/>
                <w:lang w:eastAsia="zh-CN"/>
              </w:rPr>
              <w:t>粉尘经集气罩</w:t>
            </w:r>
            <w:r>
              <w:rPr>
                <w:rFonts w:hint="eastAsia"/>
                <w:color w:val="auto"/>
                <w:sz w:val="24"/>
                <w:lang w:val="en-US" w:eastAsia="zh-CN"/>
              </w:rPr>
              <w:t>+</w:t>
            </w:r>
            <w:r>
              <w:rPr>
                <w:rFonts w:hint="eastAsia"/>
                <w:color w:val="auto"/>
                <w:sz w:val="24"/>
                <w:lang w:eastAsia="zh-CN"/>
              </w:rPr>
              <w:t>风管</w:t>
            </w:r>
            <w:r>
              <w:rPr>
                <w:rFonts w:hint="eastAsia"/>
                <w:color w:val="auto"/>
                <w:sz w:val="24"/>
              </w:rPr>
              <w:t>（</w:t>
            </w:r>
            <w:r>
              <w:rPr>
                <w:rFonts w:hint="eastAsia" w:eastAsia="Times New Roman"/>
                <w:color w:val="auto"/>
                <w:sz w:val="24"/>
                <w:lang w:val="zh-CN"/>
              </w:rPr>
              <w:t>集气效率为</w:t>
            </w:r>
            <w:r>
              <w:rPr>
                <w:rFonts w:hint="eastAsia" w:eastAsia="宋体"/>
                <w:color w:val="auto"/>
                <w:sz w:val="24"/>
                <w:lang w:val="en-US" w:eastAsia="zh-CN"/>
              </w:rPr>
              <w:t>8</w:t>
            </w:r>
            <w:r>
              <w:rPr>
                <w:rFonts w:hint="eastAsia"/>
                <w:color w:val="auto"/>
                <w:sz w:val="24"/>
                <w:lang w:val="en-US" w:eastAsia="zh-CN"/>
              </w:rPr>
              <w:t>5</w:t>
            </w:r>
            <w:r>
              <w:rPr>
                <w:rFonts w:hint="eastAsia"/>
                <w:color w:val="auto"/>
                <w:sz w:val="24"/>
              </w:rPr>
              <w:t>%）</w:t>
            </w:r>
            <w:r>
              <w:rPr>
                <w:rFonts w:hint="eastAsia"/>
                <w:color w:val="auto"/>
                <w:sz w:val="24"/>
                <w:lang w:eastAsia="zh-CN"/>
              </w:rPr>
              <w:t>收集</w:t>
            </w:r>
            <w:r>
              <w:rPr>
                <w:rFonts w:hint="eastAsia"/>
                <w:color w:val="auto"/>
                <w:sz w:val="24"/>
              </w:rPr>
              <w:t>后</w:t>
            </w:r>
            <w:r>
              <w:rPr>
                <w:rFonts w:eastAsia="Times New Roman"/>
                <w:color w:val="auto"/>
                <w:sz w:val="24"/>
                <w:lang w:val="zh-CN"/>
              </w:rPr>
              <w:t>通过</w:t>
            </w:r>
            <w:r>
              <w:rPr>
                <w:rFonts w:hint="eastAsia" w:eastAsia="Times New Roman"/>
                <w:color w:val="auto"/>
                <w:sz w:val="24"/>
                <w:lang w:val="zh-CN"/>
              </w:rPr>
              <w:t>引风机（块煤风机风量</w:t>
            </w:r>
            <w:r>
              <w:rPr>
                <w:rFonts w:hint="eastAsia"/>
                <w:color w:val="auto"/>
                <w:sz w:val="24"/>
                <w:lang w:val="en-US" w:eastAsia="zh-CN"/>
              </w:rPr>
              <w:t>6171</w:t>
            </w:r>
            <w:r>
              <w:rPr>
                <w:rFonts w:hint="eastAsia"/>
                <w:color w:val="auto"/>
                <w:sz w:val="24"/>
              </w:rPr>
              <w:t>m</w:t>
            </w:r>
            <w:r>
              <w:rPr>
                <w:rFonts w:hint="eastAsia"/>
                <w:color w:val="auto"/>
                <w:sz w:val="24"/>
                <w:vertAlign w:val="superscript"/>
              </w:rPr>
              <w:t>3</w:t>
            </w:r>
            <w:r>
              <w:rPr>
                <w:rFonts w:hint="eastAsia"/>
                <w:color w:val="auto"/>
                <w:sz w:val="24"/>
              </w:rPr>
              <w:t>/h</w:t>
            </w:r>
            <w:r>
              <w:rPr>
                <w:rFonts w:hint="eastAsia"/>
                <w:color w:val="auto"/>
                <w:sz w:val="24"/>
                <w:lang w:eastAsia="zh-CN"/>
              </w:rPr>
              <w:t>，煤粉风机风量为</w:t>
            </w:r>
            <w:r>
              <w:rPr>
                <w:rFonts w:hint="eastAsia"/>
                <w:color w:val="auto"/>
                <w:sz w:val="24"/>
                <w:lang w:val="en-US" w:eastAsia="zh-CN"/>
              </w:rPr>
              <w:t>3284</w:t>
            </w:r>
            <w:r>
              <w:rPr>
                <w:rFonts w:hint="eastAsia"/>
                <w:color w:val="auto"/>
                <w:sz w:val="24"/>
              </w:rPr>
              <w:t>m</w:t>
            </w:r>
            <w:r>
              <w:rPr>
                <w:rFonts w:hint="eastAsia"/>
                <w:color w:val="auto"/>
                <w:sz w:val="24"/>
                <w:vertAlign w:val="superscript"/>
              </w:rPr>
              <w:t>3</w:t>
            </w:r>
            <w:r>
              <w:rPr>
                <w:rFonts w:hint="eastAsia"/>
                <w:color w:val="auto"/>
                <w:sz w:val="24"/>
              </w:rPr>
              <w:t>/h</w:t>
            </w:r>
            <w:r>
              <w:rPr>
                <w:rFonts w:hint="eastAsia" w:eastAsia="Times New Roman"/>
                <w:color w:val="auto"/>
                <w:sz w:val="24"/>
                <w:lang w:val="zh-CN"/>
              </w:rPr>
              <w:t>）引至</w:t>
            </w:r>
            <w:r>
              <w:rPr>
                <w:rFonts w:eastAsia="Times New Roman"/>
                <w:color w:val="auto"/>
                <w:sz w:val="24"/>
                <w:lang w:val="zh-CN"/>
              </w:rPr>
              <w:t>处理效率为9</w:t>
            </w:r>
            <w:r>
              <w:rPr>
                <w:rFonts w:hint="eastAsia" w:eastAsia="宋体"/>
                <w:color w:val="auto"/>
                <w:sz w:val="24"/>
                <w:lang w:val="en-US" w:eastAsia="zh-CN"/>
              </w:rPr>
              <w:t>9</w:t>
            </w:r>
            <w:r>
              <w:rPr>
                <w:rFonts w:hint="eastAsia"/>
                <w:color w:val="auto"/>
                <w:sz w:val="24"/>
                <w:lang w:val="en-US" w:eastAsia="zh-CN"/>
              </w:rPr>
              <w:t>.6</w:t>
            </w:r>
            <w:r>
              <w:rPr>
                <w:rFonts w:eastAsia="Times New Roman"/>
                <w:color w:val="auto"/>
                <w:sz w:val="24"/>
                <w:lang w:val="zh-CN"/>
              </w:rPr>
              <w:t>%的</w:t>
            </w:r>
            <w:r>
              <w:rPr>
                <w:rFonts w:hint="eastAsia" w:eastAsia="Times New Roman"/>
                <w:color w:val="auto"/>
                <w:sz w:val="24"/>
                <w:lang w:val="zh-CN"/>
              </w:rPr>
              <w:t>袋式</w:t>
            </w:r>
            <w:r>
              <w:rPr>
                <w:rFonts w:eastAsia="Times New Roman"/>
                <w:color w:val="auto"/>
                <w:sz w:val="24"/>
                <w:lang w:val="zh-CN"/>
              </w:rPr>
              <w:t>除尘器处理</w:t>
            </w:r>
            <w:r>
              <w:rPr>
                <w:rFonts w:hint="eastAsia" w:eastAsia="Times New Roman"/>
                <w:color w:val="auto"/>
                <w:sz w:val="24"/>
                <w:lang w:val="zh-CN"/>
              </w:rPr>
              <w:t>达标</w:t>
            </w:r>
            <w:r>
              <w:rPr>
                <w:rFonts w:eastAsia="Times New Roman"/>
                <w:color w:val="auto"/>
                <w:sz w:val="24"/>
                <w:lang w:val="zh-CN"/>
              </w:rPr>
              <w:t>后，</w:t>
            </w:r>
            <w:r>
              <w:rPr>
                <w:rFonts w:hint="eastAsia" w:eastAsia="宋体"/>
                <w:color w:val="auto"/>
                <w:sz w:val="24"/>
                <w:lang w:val="en-US" w:eastAsia="zh-CN"/>
              </w:rPr>
              <w:t>1#块煤散装机粉尘</w:t>
            </w:r>
            <w:r>
              <w:rPr>
                <w:rFonts w:eastAsia="Times New Roman"/>
                <w:color w:val="auto"/>
                <w:sz w:val="24"/>
                <w:lang w:val="zh-CN"/>
              </w:rPr>
              <w:t>由一根</w:t>
            </w:r>
            <w:r>
              <w:rPr>
                <w:rFonts w:hint="eastAsia" w:eastAsia="Times New Roman"/>
                <w:color w:val="auto"/>
                <w:sz w:val="24"/>
                <w:lang w:val="zh-CN"/>
              </w:rPr>
              <w:t>内径为</w:t>
            </w:r>
            <w:r>
              <w:rPr>
                <w:rFonts w:hint="eastAsia" w:eastAsia="宋体"/>
                <w:color w:val="auto"/>
                <w:sz w:val="24"/>
                <w:lang w:val="en-US" w:eastAsia="zh-CN"/>
              </w:rPr>
              <w:t>0.</w:t>
            </w:r>
            <w:r>
              <w:rPr>
                <w:rFonts w:hint="eastAsia"/>
                <w:color w:val="auto"/>
                <w:sz w:val="24"/>
                <w:lang w:val="en-US" w:eastAsia="zh-CN"/>
              </w:rPr>
              <w:t>4</w:t>
            </w:r>
            <w:r>
              <w:rPr>
                <w:rFonts w:hint="eastAsia" w:eastAsia="宋体"/>
                <w:color w:val="auto"/>
                <w:sz w:val="24"/>
                <w:lang w:val="en-US" w:eastAsia="zh-CN"/>
              </w:rPr>
              <w:t>m，</w:t>
            </w:r>
            <w:r>
              <w:rPr>
                <w:rFonts w:hint="eastAsia"/>
                <w:color w:val="auto"/>
                <w:sz w:val="24"/>
                <w:lang w:val="en-US" w:eastAsia="zh-CN"/>
              </w:rPr>
              <w:t>1</w:t>
            </w:r>
            <w:r>
              <w:rPr>
                <w:rFonts w:hint="eastAsia" w:eastAsia="宋体"/>
                <w:color w:val="auto"/>
                <w:sz w:val="24"/>
                <w:lang w:val="en-US" w:eastAsia="zh-CN"/>
              </w:rPr>
              <w:t>6</w:t>
            </w:r>
            <w:r>
              <w:rPr>
                <w:rFonts w:eastAsia="Times New Roman"/>
                <w:color w:val="auto"/>
                <w:sz w:val="24"/>
                <w:lang w:val="zh-CN"/>
              </w:rPr>
              <w:t>m高的排气筒</w:t>
            </w:r>
            <w:r>
              <w:rPr>
                <w:rFonts w:hint="eastAsia" w:eastAsia="Times New Roman"/>
                <w:color w:val="auto"/>
                <w:sz w:val="24"/>
                <w:lang w:val="zh-CN"/>
              </w:rPr>
              <w:t>（</w:t>
            </w:r>
            <w:r>
              <w:rPr>
                <w:rFonts w:hint="eastAsia"/>
                <w:color w:val="auto"/>
                <w:sz w:val="24"/>
              </w:rPr>
              <w:t>DA0</w:t>
            </w:r>
            <w:r>
              <w:rPr>
                <w:rFonts w:hint="eastAsia"/>
                <w:color w:val="auto"/>
                <w:sz w:val="24"/>
                <w:lang w:val="en-US" w:eastAsia="zh-CN"/>
              </w:rPr>
              <w:t>15）</w:t>
            </w:r>
            <w:r>
              <w:rPr>
                <w:rFonts w:eastAsia="Times New Roman"/>
                <w:color w:val="auto"/>
                <w:sz w:val="24"/>
                <w:lang w:val="zh-CN"/>
              </w:rPr>
              <w:t>排放</w:t>
            </w:r>
            <w:r>
              <w:rPr>
                <w:rFonts w:hint="eastAsia" w:eastAsia="Times New Roman"/>
                <w:color w:val="auto"/>
                <w:sz w:val="24"/>
                <w:lang w:val="zh-CN"/>
              </w:rPr>
              <w:t>；</w:t>
            </w:r>
            <w:r>
              <w:rPr>
                <w:rFonts w:hint="eastAsia"/>
                <w:color w:val="auto"/>
                <w:sz w:val="24"/>
                <w:lang w:val="en-US" w:eastAsia="zh-CN"/>
              </w:rPr>
              <w:t>2</w:t>
            </w:r>
            <w:r>
              <w:rPr>
                <w:rFonts w:hint="eastAsia" w:eastAsia="宋体"/>
                <w:color w:val="auto"/>
                <w:sz w:val="24"/>
                <w:lang w:val="en-US" w:eastAsia="zh-CN"/>
              </w:rPr>
              <w:t>#块煤散装机粉尘</w:t>
            </w:r>
            <w:r>
              <w:rPr>
                <w:rFonts w:eastAsia="Times New Roman"/>
                <w:color w:val="auto"/>
                <w:sz w:val="24"/>
                <w:lang w:val="zh-CN"/>
              </w:rPr>
              <w:t>由一根</w:t>
            </w:r>
            <w:r>
              <w:rPr>
                <w:rFonts w:hint="eastAsia" w:eastAsia="Times New Roman"/>
                <w:color w:val="auto"/>
                <w:sz w:val="24"/>
                <w:lang w:val="zh-CN"/>
              </w:rPr>
              <w:t>内径为</w:t>
            </w:r>
            <w:r>
              <w:rPr>
                <w:rFonts w:hint="eastAsia" w:eastAsia="宋体"/>
                <w:color w:val="auto"/>
                <w:sz w:val="24"/>
                <w:lang w:val="en-US" w:eastAsia="zh-CN"/>
              </w:rPr>
              <w:t>0.</w:t>
            </w:r>
            <w:r>
              <w:rPr>
                <w:rFonts w:hint="eastAsia"/>
                <w:color w:val="auto"/>
                <w:sz w:val="24"/>
                <w:lang w:val="en-US" w:eastAsia="zh-CN"/>
              </w:rPr>
              <w:t>4</w:t>
            </w:r>
            <w:r>
              <w:rPr>
                <w:rFonts w:hint="eastAsia" w:eastAsia="宋体"/>
                <w:color w:val="auto"/>
                <w:sz w:val="24"/>
                <w:lang w:val="en-US" w:eastAsia="zh-CN"/>
              </w:rPr>
              <w:t>m，</w:t>
            </w:r>
            <w:r>
              <w:rPr>
                <w:rFonts w:hint="eastAsia"/>
                <w:color w:val="auto"/>
                <w:sz w:val="24"/>
                <w:lang w:val="en-US" w:eastAsia="zh-CN"/>
              </w:rPr>
              <w:t>1</w:t>
            </w:r>
            <w:r>
              <w:rPr>
                <w:rFonts w:hint="eastAsia" w:eastAsia="宋体"/>
                <w:color w:val="auto"/>
                <w:sz w:val="24"/>
                <w:lang w:val="en-US" w:eastAsia="zh-CN"/>
              </w:rPr>
              <w:t>6</w:t>
            </w:r>
            <w:r>
              <w:rPr>
                <w:rFonts w:eastAsia="Times New Roman"/>
                <w:color w:val="auto"/>
                <w:sz w:val="24"/>
                <w:lang w:val="zh-CN"/>
              </w:rPr>
              <w:t>m高的排气筒</w:t>
            </w:r>
            <w:r>
              <w:rPr>
                <w:rFonts w:hint="eastAsia" w:eastAsia="Times New Roman"/>
                <w:color w:val="auto"/>
                <w:sz w:val="24"/>
                <w:lang w:val="zh-CN"/>
              </w:rPr>
              <w:t>（</w:t>
            </w:r>
            <w:r>
              <w:rPr>
                <w:rFonts w:hint="eastAsia"/>
                <w:color w:val="auto"/>
                <w:sz w:val="24"/>
              </w:rPr>
              <w:t>DA0</w:t>
            </w:r>
            <w:r>
              <w:rPr>
                <w:rFonts w:hint="eastAsia"/>
                <w:color w:val="auto"/>
                <w:sz w:val="24"/>
                <w:lang w:val="en-US" w:eastAsia="zh-CN"/>
              </w:rPr>
              <w:t>16）</w:t>
            </w:r>
            <w:r>
              <w:rPr>
                <w:rFonts w:eastAsia="Times New Roman"/>
                <w:color w:val="auto"/>
                <w:sz w:val="24"/>
                <w:lang w:val="zh-CN"/>
              </w:rPr>
              <w:t>排放</w:t>
            </w:r>
            <w:r>
              <w:rPr>
                <w:rFonts w:hint="eastAsia" w:eastAsia="Times New Roman"/>
                <w:color w:val="auto"/>
                <w:sz w:val="24"/>
                <w:lang w:val="zh-CN"/>
              </w:rPr>
              <w:t>；</w:t>
            </w:r>
            <w:r>
              <w:rPr>
                <w:rFonts w:hint="eastAsia" w:eastAsia="宋体"/>
                <w:color w:val="auto"/>
                <w:sz w:val="24"/>
                <w:lang w:val="en-US" w:eastAsia="zh-CN"/>
              </w:rPr>
              <w:t>1#</w:t>
            </w:r>
            <w:r>
              <w:rPr>
                <w:rFonts w:hint="eastAsia"/>
                <w:color w:val="auto"/>
                <w:sz w:val="24"/>
                <w:lang w:val="en-US" w:eastAsia="zh-CN"/>
              </w:rPr>
              <w:t>煤粉</w:t>
            </w:r>
            <w:r>
              <w:rPr>
                <w:rFonts w:hint="eastAsia" w:eastAsia="宋体"/>
                <w:color w:val="auto"/>
                <w:sz w:val="24"/>
                <w:lang w:val="en-US" w:eastAsia="zh-CN"/>
              </w:rPr>
              <w:t>散装机粉尘</w:t>
            </w:r>
            <w:r>
              <w:rPr>
                <w:rFonts w:eastAsia="Times New Roman"/>
                <w:color w:val="auto"/>
                <w:sz w:val="24"/>
                <w:lang w:val="zh-CN"/>
              </w:rPr>
              <w:t>由一根</w:t>
            </w:r>
            <w:r>
              <w:rPr>
                <w:rFonts w:hint="eastAsia" w:eastAsia="Times New Roman"/>
                <w:color w:val="auto"/>
                <w:sz w:val="24"/>
                <w:lang w:val="zh-CN"/>
              </w:rPr>
              <w:t>内径为</w:t>
            </w:r>
            <w:r>
              <w:rPr>
                <w:rFonts w:hint="eastAsia" w:eastAsia="宋体"/>
                <w:color w:val="auto"/>
                <w:sz w:val="24"/>
                <w:lang w:val="en-US" w:eastAsia="zh-CN"/>
              </w:rPr>
              <w:t>0.</w:t>
            </w:r>
            <w:r>
              <w:rPr>
                <w:rFonts w:hint="eastAsia"/>
                <w:color w:val="auto"/>
                <w:sz w:val="24"/>
                <w:lang w:val="en-US" w:eastAsia="zh-CN"/>
              </w:rPr>
              <w:t>3</w:t>
            </w:r>
            <w:r>
              <w:rPr>
                <w:rFonts w:hint="eastAsia" w:eastAsia="宋体"/>
                <w:color w:val="auto"/>
                <w:sz w:val="24"/>
                <w:lang w:val="en-US" w:eastAsia="zh-CN"/>
              </w:rPr>
              <w:t>m，</w:t>
            </w:r>
            <w:r>
              <w:rPr>
                <w:rFonts w:hint="eastAsia"/>
                <w:color w:val="auto"/>
                <w:sz w:val="24"/>
                <w:lang w:val="en-US" w:eastAsia="zh-CN"/>
              </w:rPr>
              <w:t>1</w:t>
            </w:r>
            <w:r>
              <w:rPr>
                <w:rFonts w:hint="eastAsia" w:eastAsia="宋体"/>
                <w:color w:val="auto"/>
                <w:sz w:val="24"/>
                <w:lang w:val="en-US" w:eastAsia="zh-CN"/>
              </w:rPr>
              <w:t>6</w:t>
            </w:r>
            <w:r>
              <w:rPr>
                <w:rFonts w:eastAsia="Times New Roman"/>
                <w:color w:val="auto"/>
                <w:sz w:val="24"/>
                <w:lang w:val="zh-CN"/>
              </w:rPr>
              <w:t>m高的排气筒</w:t>
            </w:r>
            <w:r>
              <w:rPr>
                <w:rFonts w:hint="eastAsia" w:eastAsia="Times New Roman"/>
                <w:color w:val="auto"/>
                <w:sz w:val="24"/>
                <w:lang w:val="zh-CN"/>
              </w:rPr>
              <w:t>（</w:t>
            </w:r>
            <w:r>
              <w:rPr>
                <w:rFonts w:hint="eastAsia"/>
                <w:color w:val="auto"/>
                <w:sz w:val="24"/>
              </w:rPr>
              <w:t>DA0</w:t>
            </w:r>
            <w:r>
              <w:rPr>
                <w:rFonts w:hint="eastAsia"/>
                <w:color w:val="auto"/>
                <w:sz w:val="24"/>
                <w:lang w:val="en-US" w:eastAsia="zh-CN"/>
              </w:rPr>
              <w:t>17）</w:t>
            </w:r>
            <w:r>
              <w:rPr>
                <w:rFonts w:eastAsia="Times New Roman"/>
                <w:color w:val="auto"/>
                <w:sz w:val="24"/>
                <w:lang w:val="zh-CN"/>
              </w:rPr>
              <w:t>排放</w:t>
            </w:r>
            <w:r>
              <w:rPr>
                <w:rFonts w:hint="eastAsia" w:eastAsia="Times New Roman"/>
                <w:color w:val="auto"/>
                <w:sz w:val="24"/>
                <w:lang w:val="zh-CN"/>
              </w:rPr>
              <w:t>；</w:t>
            </w:r>
            <w:r>
              <w:rPr>
                <w:rFonts w:hint="eastAsia"/>
                <w:color w:val="auto"/>
                <w:sz w:val="24"/>
                <w:lang w:val="en-US" w:eastAsia="zh-CN"/>
              </w:rPr>
              <w:t>2</w:t>
            </w:r>
            <w:r>
              <w:rPr>
                <w:rFonts w:hint="eastAsia" w:eastAsia="宋体"/>
                <w:color w:val="auto"/>
                <w:sz w:val="24"/>
                <w:lang w:val="en-US" w:eastAsia="zh-CN"/>
              </w:rPr>
              <w:t>#</w:t>
            </w:r>
            <w:r>
              <w:rPr>
                <w:rFonts w:hint="eastAsia"/>
                <w:color w:val="auto"/>
                <w:sz w:val="24"/>
                <w:lang w:val="en-US" w:eastAsia="zh-CN"/>
              </w:rPr>
              <w:t>煤粉</w:t>
            </w:r>
            <w:r>
              <w:rPr>
                <w:rFonts w:hint="eastAsia" w:eastAsia="宋体"/>
                <w:color w:val="auto"/>
                <w:sz w:val="24"/>
                <w:lang w:val="en-US" w:eastAsia="zh-CN"/>
              </w:rPr>
              <w:t>散装机粉尘</w:t>
            </w:r>
            <w:r>
              <w:rPr>
                <w:rFonts w:eastAsia="Times New Roman"/>
                <w:color w:val="auto"/>
                <w:sz w:val="24"/>
                <w:lang w:val="zh-CN"/>
              </w:rPr>
              <w:t>由一根</w:t>
            </w:r>
            <w:r>
              <w:rPr>
                <w:rFonts w:hint="eastAsia" w:eastAsia="Times New Roman"/>
                <w:color w:val="auto"/>
                <w:sz w:val="24"/>
                <w:lang w:val="zh-CN"/>
              </w:rPr>
              <w:t>内径为</w:t>
            </w:r>
            <w:r>
              <w:rPr>
                <w:rFonts w:hint="eastAsia" w:eastAsia="宋体"/>
                <w:color w:val="auto"/>
                <w:sz w:val="24"/>
                <w:lang w:val="en-US" w:eastAsia="zh-CN"/>
              </w:rPr>
              <w:t>0.</w:t>
            </w:r>
            <w:r>
              <w:rPr>
                <w:rFonts w:hint="eastAsia"/>
                <w:color w:val="auto"/>
                <w:sz w:val="24"/>
                <w:lang w:val="en-US" w:eastAsia="zh-CN"/>
              </w:rPr>
              <w:t>3</w:t>
            </w:r>
            <w:r>
              <w:rPr>
                <w:rFonts w:hint="eastAsia" w:eastAsia="宋体"/>
                <w:color w:val="auto"/>
                <w:sz w:val="24"/>
                <w:lang w:val="en-US" w:eastAsia="zh-CN"/>
              </w:rPr>
              <w:t>m，</w:t>
            </w:r>
            <w:r>
              <w:rPr>
                <w:rFonts w:hint="eastAsia"/>
                <w:color w:val="auto"/>
                <w:sz w:val="24"/>
                <w:lang w:val="en-US" w:eastAsia="zh-CN"/>
              </w:rPr>
              <w:t>1</w:t>
            </w:r>
            <w:r>
              <w:rPr>
                <w:rFonts w:hint="eastAsia" w:eastAsia="宋体"/>
                <w:color w:val="auto"/>
                <w:sz w:val="24"/>
                <w:lang w:val="en-US" w:eastAsia="zh-CN"/>
              </w:rPr>
              <w:t>6</w:t>
            </w:r>
            <w:r>
              <w:rPr>
                <w:rFonts w:eastAsia="Times New Roman"/>
                <w:color w:val="auto"/>
                <w:sz w:val="24"/>
                <w:lang w:val="zh-CN"/>
              </w:rPr>
              <w:t>m高的排气筒</w:t>
            </w:r>
            <w:r>
              <w:rPr>
                <w:rFonts w:hint="eastAsia" w:eastAsia="Times New Roman"/>
                <w:color w:val="auto"/>
                <w:sz w:val="24"/>
                <w:lang w:val="zh-CN"/>
              </w:rPr>
              <w:t>（</w:t>
            </w:r>
            <w:r>
              <w:rPr>
                <w:rFonts w:hint="eastAsia"/>
                <w:color w:val="auto"/>
                <w:sz w:val="24"/>
              </w:rPr>
              <w:t>DA0</w:t>
            </w:r>
            <w:r>
              <w:rPr>
                <w:rFonts w:hint="eastAsia"/>
                <w:color w:val="auto"/>
                <w:sz w:val="24"/>
                <w:lang w:val="en-US" w:eastAsia="zh-CN"/>
              </w:rPr>
              <w:t>18）</w:t>
            </w:r>
            <w:r>
              <w:rPr>
                <w:rFonts w:eastAsia="Times New Roman"/>
                <w:color w:val="auto"/>
                <w:sz w:val="24"/>
                <w:lang w:val="zh-CN"/>
              </w:rPr>
              <w:t>排放</w:t>
            </w:r>
            <w:r>
              <w:rPr>
                <w:rFonts w:hint="eastAsia" w:eastAsia="Times New Roman"/>
                <w:color w:val="auto"/>
                <w:sz w:val="24"/>
                <w:lang w:val="zh-CN"/>
              </w:rPr>
              <w:t>；</w:t>
            </w:r>
          </w:p>
          <w:p w14:paraId="683C6389">
            <w:pPr>
              <w:adjustRightInd w:val="0"/>
              <w:snapToGrid w:val="0"/>
              <w:spacing w:line="360" w:lineRule="auto"/>
              <w:ind w:firstLine="480" w:firstLineChars="200"/>
              <w:rPr>
                <w:rFonts w:hint="eastAsia"/>
                <w:color w:val="auto"/>
                <w:sz w:val="24"/>
                <w:highlight w:val="yellow"/>
              </w:rPr>
            </w:pPr>
            <w:r>
              <w:rPr>
                <w:rFonts w:hint="eastAsia"/>
                <w:color w:val="auto"/>
                <w:sz w:val="24"/>
                <w:lang w:val="en-US" w:eastAsia="zh-CN"/>
              </w:rPr>
              <w:t>项目工程建设完成后DA015排气</w:t>
            </w:r>
            <w:r>
              <w:rPr>
                <w:rFonts w:hint="eastAsia"/>
                <w:color w:val="auto"/>
                <w:sz w:val="24"/>
                <w:highlight w:val="none"/>
                <w:lang w:val="en-US" w:eastAsia="zh-CN"/>
              </w:rPr>
              <w:t>筒有组织粉尘</w:t>
            </w:r>
            <w:r>
              <w:rPr>
                <w:rFonts w:hint="eastAsia" w:ascii="Times New Roman" w:hAnsi="Times New Roman" w:eastAsia="宋体" w:cs="Times New Roman"/>
                <w:color w:val="auto"/>
                <w:sz w:val="24"/>
                <w:highlight w:val="none"/>
                <w:lang w:eastAsia="zh-CN"/>
              </w:rPr>
              <w:t>产生量为</w:t>
            </w:r>
            <w:r>
              <w:rPr>
                <w:rFonts w:hint="eastAsia" w:cs="Times New Roman"/>
                <w:color w:val="auto"/>
                <w:sz w:val="24"/>
                <w:highlight w:val="none"/>
                <w:lang w:val="en-US" w:eastAsia="zh-CN"/>
              </w:rPr>
              <w:t>2.3500</w:t>
            </w:r>
            <w:r>
              <w:rPr>
                <w:rFonts w:hint="eastAsia" w:ascii="Times New Roman" w:hAnsi="Times New Roman" w:eastAsia="宋体" w:cs="Times New Roman"/>
                <w:color w:val="auto"/>
                <w:sz w:val="24"/>
                <w:highlight w:val="none"/>
                <w:lang w:val="en-US" w:eastAsia="zh-CN"/>
              </w:rPr>
              <w:t>t/a，产生速率为</w:t>
            </w:r>
            <w:r>
              <w:rPr>
                <w:rFonts w:hint="eastAsia" w:cs="Times New Roman"/>
                <w:color w:val="auto"/>
                <w:sz w:val="24"/>
                <w:highlight w:val="none"/>
                <w:lang w:val="en-US" w:eastAsia="zh-CN"/>
              </w:rPr>
              <w:t>0.3497</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56.67</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eastAsia="Times New Roman"/>
                <w:color w:val="auto"/>
                <w:sz w:val="24"/>
                <w:highlight w:val="none"/>
                <w:lang w:val="zh-CN"/>
              </w:rPr>
              <w:t>有组织</w:t>
            </w:r>
            <w:r>
              <w:rPr>
                <w:rFonts w:hint="eastAsia" w:ascii="Times New Roman" w:hAnsi="Times New Roman" w:eastAsia="宋体" w:cs="Times New Roman"/>
                <w:color w:val="auto"/>
                <w:sz w:val="24"/>
                <w:highlight w:val="none"/>
                <w:lang w:eastAsia="zh-CN"/>
              </w:rPr>
              <w:t>粉尘排放量为</w:t>
            </w:r>
            <w:r>
              <w:rPr>
                <w:rFonts w:hint="eastAsia" w:cs="Times New Roman"/>
                <w:color w:val="auto"/>
                <w:sz w:val="24"/>
                <w:highlight w:val="none"/>
                <w:lang w:val="en-US" w:eastAsia="zh-CN"/>
              </w:rPr>
              <w:t>0.0094</w:t>
            </w:r>
            <w:r>
              <w:rPr>
                <w:rFonts w:hint="eastAsia" w:ascii="Times New Roman" w:hAnsi="Times New Roman" w:eastAsia="宋体" w:cs="Times New Roman"/>
                <w:color w:val="auto"/>
                <w:sz w:val="24"/>
                <w:highlight w:val="none"/>
                <w:lang w:val="en-US" w:eastAsia="zh-CN"/>
              </w:rPr>
              <w:t>t/a，排放速率为0.</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014</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0.23</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color w:val="auto"/>
                <w:sz w:val="24"/>
                <w:highlight w:val="none"/>
              </w:rPr>
              <w:t>无组织</w:t>
            </w:r>
            <w:r>
              <w:rPr>
                <w:rFonts w:hint="eastAsia"/>
                <w:color w:val="auto"/>
                <w:sz w:val="24"/>
                <w:highlight w:val="none"/>
                <w:lang w:eastAsia="zh-CN"/>
              </w:rPr>
              <w:t>产生</w:t>
            </w:r>
            <w:r>
              <w:rPr>
                <w:rFonts w:hint="eastAsia"/>
                <w:color w:val="auto"/>
                <w:sz w:val="24"/>
                <w:highlight w:val="none"/>
              </w:rPr>
              <w:t>量为</w:t>
            </w:r>
            <w:r>
              <w:rPr>
                <w:rFonts w:hint="eastAsia"/>
                <w:color w:val="auto"/>
                <w:sz w:val="24"/>
                <w:highlight w:val="none"/>
                <w:lang w:val="en-US" w:eastAsia="zh-CN"/>
              </w:rPr>
              <w:t>0.4147</w:t>
            </w:r>
            <w:r>
              <w:rPr>
                <w:rFonts w:hint="eastAsia"/>
                <w:color w:val="auto"/>
                <w:sz w:val="24"/>
                <w:highlight w:val="none"/>
              </w:rPr>
              <w:t>t/a，</w:t>
            </w:r>
            <w:r>
              <w:rPr>
                <w:rFonts w:hint="eastAsia"/>
                <w:color w:val="auto"/>
                <w:sz w:val="24"/>
                <w:highlight w:val="none"/>
                <w:lang w:eastAsia="zh-CN"/>
              </w:rPr>
              <w:t>产生</w:t>
            </w:r>
            <w:r>
              <w:rPr>
                <w:rFonts w:hint="eastAsia"/>
                <w:color w:val="auto"/>
                <w:sz w:val="24"/>
                <w:highlight w:val="none"/>
              </w:rPr>
              <w:t>速率为</w:t>
            </w:r>
            <w:r>
              <w:rPr>
                <w:rFonts w:hint="eastAsia"/>
                <w:color w:val="auto"/>
                <w:sz w:val="24"/>
                <w:highlight w:val="none"/>
                <w:lang w:val="en-US" w:eastAsia="zh-CN"/>
              </w:rPr>
              <w:t>0.0617</w:t>
            </w:r>
            <w:r>
              <w:rPr>
                <w:rFonts w:hint="eastAsia"/>
                <w:color w:val="auto"/>
                <w:sz w:val="24"/>
                <w:highlight w:val="none"/>
              </w:rPr>
              <w:t>kg/h。</w:t>
            </w:r>
          </w:p>
          <w:p w14:paraId="6419929B">
            <w:pPr>
              <w:adjustRightInd w:val="0"/>
              <w:snapToGrid w:val="0"/>
              <w:spacing w:line="360" w:lineRule="auto"/>
              <w:ind w:firstLine="480" w:firstLineChars="200"/>
              <w:rPr>
                <w:rFonts w:hint="eastAsia"/>
                <w:b/>
                <w:bCs/>
                <w:color w:val="auto"/>
                <w:sz w:val="24"/>
                <w:szCs w:val="24"/>
                <w:highlight w:val="none"/>
              </w:rPr>
            </w:pPr>
            <w:r>
              <w:rPr>
                <w:rFonts w:hint="eastAsia"/>
                <w:color w:val="auto"/>
                <w:sz w:val="24"/>
                <w:highlight w:val="none"/>
              </w:rPr>
              <w:t>项目</w:t>
            </w:r>
            <w:r>
              <w:rPr>
                <w:rFonts w:hint="eastAsia"/>
                <w:color w:val="auto"/>
                <w:sz w:val="24"/>
                <w:highlight w:val="none"/>
                <w:lang w:eastAsia="zh-CN"/>
              </w:rPr>
              <w:t>在成品棚内装车</w:t>
            </w:r>
            <w:r>
              <w:rPr>
                <w:rFonts w:hint="eastAsia"/>
                <w:color w:val="auto"/>
                <w:sz w:val="24"/>
                <w:highlight w:val="none"/>
              </w:rPr>
              <w:t>，粉尘经阻隔后，大部分在沉降，少部分</w:t>
            </w:r>
            <w:r>
              <w:rPr>
                <w:rFonts w:hint="eastAsia"/>
                <w:color w:val="auto"/>
                <w:sz w:val="24"/>
                <w:highlight w:val="none"/>
                <w:lang w:eastAsia="zh-CN"/>
              </w:rPr>
              <w:t>溢出，</w:t>
            </w:r>
            <w:r>
              <w:rPr>
                <w:rFonts w:hint="eastAsia"/>
                <w:color w:val="auto"/>
                <w:sz w:val="24"/>
                <w:highlight w:val="none"/>
              </w:rPr>
              <w:t>阻隔降尘效率约</w:t>
            </w:r>
            <w:r>
              <w:rPr>
                <w:rFonts w:hint="eastAsia"/>
                <w:color w:val="auto"/>
                <w:sz w:val="24"/>
                <w:highlight w:val="none"/>
                <w:lang w:val="en-US" w:eastAsia="zh-CN"/>
              </w:rPr>
              <w:t>8</w:t>
            </w:r>
            <w:r>
              <w:rPr>
                <w:rFonts w:hint="eastAsia"/>
                <w:color w:val="auto"/>
                <w:sz w:val="24"/>
                <w:highlight w:val="none"/>
              </w:rPr>
              <w:t>0%，则无组织粉尘排放量为</w:t>
            </w:r>
            <w:r>
              <w:rPr>
                <w:rFonts w:hint="eastAsia"/>
                <w:color w:val="auto"/>
                <w:sz w:val="24"/>
                <w:highlight w:val="none"/>
                <w:lang w:val="en-US" w:eastAsia="zh-CN"/>
              </w:rPr>
              <w:t>0.0829</w:t>
            </w:r>
            <w:r>
              <w:rPr>
                <w:rFonts w:hint="eastAsia"/>
                <w:color w:val="auto"/>
                <w:sz w:val="24"/>
                <w:highlight w:val="none"/>
              </w:rPr>
              <w:t>t/a，排放速率为</w:t>
            </w:r>
            <w:r>
              <w:rPr>
                <w:rFonts w:hint="eastAsia"/>
                <w:color w:val="auto"/>
                <w:sz w:val="24"/>
                <w:highlight w:val="none"/>
                <w:lang w:val="en-US" w:eastAsia="zh-CN"/>
              </w:rPr>
              <w:t>0.0123</w:t>
            </w:r>
            <w:r>
              <w:rPr>
                <w:rFonts w:hint="eastAsia"/>
                <w:color w:val="auto"/>
                <w:sz w:val="24"/>
                <w:highlight w:val="none"/>
              </w:rPr>
              <w:t>kg/h。</w:t>
            </w:r>
          </w:p>
          <w:p w14:paraId="6DF67679">
            <w:pPr>
              <w:adjustRightInd w:val="0"/>
              <w:snapToGrid w:val="0"/>
              <w:spacing w:line="360" w:lineRule="auto"/>
              <w:ind w:firstLine="480" w:firstLineChars="200"/>
              <w:rPr>
                <w:rFonts w:hint="eastAsia"/>
                <w:color w:val="auto"/>
                <w:sz w:val="24"/>
                <w:highlight w:val="yellow"/>
              </w:rPr>
            </w:pPr>
            <w:r>
              <w:rPr>
                <w:rFonts w:hint="eastAsia"/>
                <w:color w:val="auto"/>
                <w:sz w:val="24"/>
                <w:lang w:val="en-US" w:eastAsia="zh-CN"/>
              </w:rPr>
              <w:t>项目工程建设完成后DA016排气筒</w:t>
            </w:r>
            <w:r>
              <w:rPr>
                <w:rFonts w:hint="eastAsia"/>
                <w:color w:val="auto"/>
                <w:sz w:val="24"/>
                <w:highlight w:val="none"/>
                <w:lang w:val="en-US" w:eastAsia="zh-CN"/>
              </w:rPr>
              <w:t>有组织粉尘</w:t>
            </w:r>
            <w:r>
              <w:rPr>
                <w:rFonts w:hint="eastAsia" w:ascii="Times New Roman" w:hAnsi="Times New Roman" w:eastAsia="宋体" w:cs="Times New Roman"/>
                <w:color w:val="auto"/>
                <w:sz w:val="24"/>
                <w:highlight w:val="none"/>
                <w:lang w:eastAsia="zh-CN"/>
              </w:rPr>
              <w:t>产生量为</w:t>
            </w:r>
            <w:r>
              <w:rPr>
                <w:rFonts w:hint="eastAsia" w:cs="Times New Roman"/>
                <w:color w:val="auto"/>
                <w:sz w:val="24"/>
                <w:highlight w:val="none"/>
                <w:lang w:val="en-US" w:eastAsia="zh-CN"/>
              </w:rPr>
              <w:t>2.3500</w:t>
            </w:r>
            <w:r>
              <w:rPr>
                <w:rFonts w:hint="eastAsia" w:ascii="Times New Roman" w:hAnsi="Times New Roman" w:eastAsia="宋体" w:cs="Times New Roman"/>
                <w:color w:val="auto"/>
                <w:sz w:val="24"/>
                <w:highlight w:val="none"/>
                <w:lang w:val="en-US" w:eastAsia="zh-CN"/>
              </w:rPr>
              <w:t>t/a，产生速率为</w:t>
            </w:r>
            <w:r>
              <w:rPr>
                <w:rFonts w:hint="eastAsia" w:cs="Times New Roman"/>
                <w:color w:val="auto"/>
                <w:sz w:val="24"/>
                <w:highlight w:val="none"/>
                <w:lang w:val="en-US" w:eastAsia="zh-CN"/>
              </w:rPr>
              <w:t>0.3497</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56.67</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eastAsia="Times New Roman"/>
                <w:color w:val="auto"/>
                <w:sz w:val="24"/>
                <w:highlight w:val="none"/>
                <w:lang w:val="zh-CN"/>
              </w:rPr>
              <w:t>有组织</w:t>
            </w:r>
            <w:r>
              <w:rPr>
                <w:rFonts w:hint="eastAsia" w:ascii="Times New Roman" w:hAnsi="Times New Roman" w:eastAsia="宋体" w:cs="Times New Roman"/>
                <w:color w:val="auto"/>
                <w:sz w:val="24"/>
                <w:highlight w:val="none"/>
                <w:lang w:eastAsia="zh-CN"/>
              </w:rPr>
              <w:t>粉尘排放量为</w:t>
            </w:r>
            <w:r>
              <w:rPr>
                <w:rFonts w:hint="eastAsia" w:cs="Times New Roman"/>
                <w:color w:val="auto"/>
                <w:sz w:val="24"/>
                <w:highlight w:val="none"/>
                <w:lang w:val="en-US" w:eastAsia="zh-CN"/>
              </w:rPr>
              <w:t>0.0094</w:t>
            </w:r>
            <w:r>
              <w:rPr>
                <w:rFonts w:hint="eastAsia" w:ascii="Times New Roman" w:hAnsi="Times New Roman" w:eastAsia="宋体" w:cs="Times New Roman"/>
                <w:color w:val="auto"/>
                <w:sz w:val="24"/>
                <w:highlight w:val="none"/>
                <w:lang w:val="en-US" w:eastAsia="zh-CN"/>
              </w:rPr>
              <w:t>t/a，排放速率为0.</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014</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0.23</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color w:val="auto"/>
                <w:sz w:val="24"/>
                <w:highlight w:val="none"/>
              </w:rPr>
              <w:t>无组织</w:t>
            </w:r>
            <w:r>
              <w:rPr>
                <w:rFonts w:hint="eastAsia"/>
                <w:color w:val="auto"/>
                <w:sz w:val="24"/>
                <w:highlight w:val="none"/>
                <w:lang w:eastAsia="zh-CN"/>
              </w:rPr>
              <w:t>产生</w:t>
            </w:r>
            <w:r>
              <w:rPr>
                <w:rFonts w:hint="eastAsia"/>
                <w:color w:val="auto"/>
                <w:sz w:val="24"/>
                <w:highlight w:val="none"/>
              </w:rPr>
              <w:t>量为</w:t>
            </w:r>
            <w:r>
              <w:rPr>
                <w:rFonts w:hint="eastAsia"/>
                <w:color w:val="auto"/>
                <w:sz w:val="24"/>
                <w:highlight w:val="none"/>
                <w:lang w:val="en-US" w:eastAsia="zh-CN"/>
              </w:rPr>
              <w:t>0.4147</w:t>
            </w:r>
            <w:r>
              <w:rPr>
                <w:rFonts w:hint="eastAsia"/>
                <w:color w:val="auto"/>
                <w:sz w:val="24"/>
                <w:highlight w:val="none"/>
              </w:rPr>
              <w:t>t/a，</w:t>
            </w:r>
            <w:r>
              <w:rPr>
                <w:rFonts w:hint="eastAsia"/>
                <w:color w:val="auto"/>
                <w:sz w:val="24"/>
                <w:highlight w:val="none"/>
                <w:lang w:eastAsia="zh-CN"/>
              </w:rPr>
              <w:t>产生</w:t>
            </w:r>
            <w:r>
              <w:rPr>
                <w:rFonts w:hint="eastAsia"/>
                <w:color w:val="auto"/>
                <w:sz w:val="24"/>
                <w:highlight w:val="none"/>
              </w:rPr>
              <w:t>速率为</w:t>
            </w:r>
            <w:r>
              <w:rPr>
                <w:rFonts w:hint="eastAsia"/>
                <w:color w:val="auto"/>
                <w:sz w:val="24"/>
                <w:highlight w:val="none"/>
                <w:lang w:val="en-US" w:eastAsia="zh-CN"/>
              </w:rPr>
              <w:t>0.0617</w:t>
            </w:r>
            <w:r>
              <w:rPr>
                <w:rFonts w:hint="eastAsia"/>
                <w:color w:val="auto"/>
                <w:sz w:val="24"/>
                <w:highlight w:val="none"/>
              </w:rPr>
              <w:t>kg/h。</w:t>
            </w:r>
          </w:p>
          <w:p w14:paraId="5302D658">
            <w:pPr>
              <w:adjustRightInd w:val="0"/>
              <w:snapToGrid w:val="0"/>
              <w:spacing w:line="360" w:lineRule="auto"/>
              <w:ind w:firstLine="480" w:firstLineChars="200"/>
              <w:rPr>
                <w:rFonts w:hint="eastAsia"/>
                <w:b/>
                <w:bCs/>
                <w:color w:val="auto"/>
                <w:sz w:val="24"/>
                <w:szCs w:val="24"/>
                <w:highlight w:val="yellow"/>
              </w:rPr>
            </w:pPr>
            <w:r>
              <w:rPr>
                <w:rFonts w:hint="eastAsia"/>
                <w:color w:val="auto"/>
                <w:sz w:val="24"/>
                <w:highlight w:val="none"/>
              </w:rPr>
              <w:t>项目</w:t>
            </w:r>
            <w:r>
              <w:rPr>
                <w:rFonts w:hint="eastAsia"/>
                <w:color w:val="auto"/>
                <w:sz w:val="24"/>
                <w:highlight w:val="none"/>
                <w:lang w:eastAsia="zh-CN"/>
              </w:rPr>
              <w:t>在成品棚内装车</w:t>
            </w:r>
            <w:r>
              <w:rPr>
                <w:rFonts w:hint="eastAsia"/>
                <w:color w:val="auto"/>
                <w:sz w:val="24"/>
                <w:highlight w:val="none"/>
              </w:rPr>
              <w:t>，粉尘经阻隔后，大部分在沉降，少部分</w:t>
            </w:r>
            <w:r>
              <w:rPr>
                <w:rFonts w:hint="eastAsia"/>
                <w:color w:val="auto"/>
                <w:sz w:val="24"/>
                <w:highlight w:val="none"/>
                <w:lang w:eastAsia="zh-CN"/>
              </w:rPr>
              <w:t>溢出，</w:t>
            </w:r>
            <w:r>
              <w:rPr>
                <w:rFonts w:hint="eastAsia"/>
                <w:color w:val="auto"/>
                <w:sz w:val="24"/>
                <w:highlight w:val="none"/>
              </w:rPr>
              <w:t>阻隔降尘效率约</w:t>
            </w:r>
            <w:r>
              <w:rPr>
                <w:rFonts w:hint="eastAsia"/>
                <w:color w:val="auto"/>
                <w:sz w:val="24"/>
                <w:highlight w:val="none"/>
                <w:lang w:val="en-US" w:eastAsia="zh-CN"/>
              </w:rPr>
              <w:t>8</w:t>
            </w:r>
            <w:r>
              <w:rPr>
                <w:rFonts w:hint="eastAsia"/>
                <w:color w:val="auto"/>
                <w:sz w:val="24"/>
                <w:highlight w:val="none"/>
              </w:rPr>
              <w:t>0%，则无组织粉尘排放量为</w:t>
            </w:r>
            <w:r>
              <w:rPr>
                <w:rFonts w:hint="eastAsia"/>
                <w:color w:val="auto"/>
                <w:sz w:val="24"/>
                <w:highlight w:val="none"/>
                <w:lang w:val="en-US" w:eastAsia="zh-CN"/>
              </w:rPr>
              <w:t>0.0829</w:t>
            </w:r>
            <w:r>
              <w:rPr>
                <w:rFonts w:hint="eastAsia"/>
                <w:color w:val="auto"/>
                <w:sz w:val="24"/>
                <w:highlight w:val="none"/>
              </w:rPr>
              <w:t>t/a，排放速率为</w:t>
            </w:r>
            <w:r>
              <w:rPr>
                <w:rFonts w:hint="eastAsia"/>
                <w:color w:val="auto"/>
                <w:sz w:val="24"/>
                <w:highlight w:val="none"/>
                <w:lang w:val="en-US" w:eastAsia="zh-CN"/>
              </w:rPr>
              <w:t>0.0123</w:t>
            </w:r>
            <w:r>
              <w:rPr>
                <w:rFonts w:hint="eastAsia"/>
                <w:color w:val="auto"/>
                <w:sz w:val="24"/>
                <w:highlight w:val="none"/>
              </w:rPr>
              <w:t>kg/h。</w:t>
            </w:r>
          </w:p>
          <w:p w14:paraId="7C6FEADD">
            <w:pPr>
              <w:adjustRightInd w:val="0"/>
              <w:snapToGrid w:val="0"/>
              <w:spacing w:line="360" w:lineRule="auto"/>
              <w:ind w:firstLine="480" w:firstLineChars="200"/>
              <w:rPr>
                <w:rFonts w:hint="eastAsia"/>
                <w:color w:val="auto"/>
                <w:sz w:val="24"/>
                <w:highlight w:val="yellow"/>
              </w:rPr>
            </w:pPr>
            <w:r>
              <w:rPr>
                <w:rFonts w:hint="eastAsia"/>
                <w:color w:val="auto"/>
                <w:sz w:val="24"/>
                <w:lang w:val="en-US" w:eastAsia="zh-CN"/>
              </w:rPr>
              <w:t>项目工程建设完成后DA017排气筒</w:t>
            </w:r>
            <w:r>
              <w:rPr>
                <w:rFonts w:hint="eastAsia"/>
                <w:color w:val="auto"/>
                <w:sz w:val="24"/>
                <w:highlight w:val="none"/>
                <w:lang w:val="en-US" w:eastAsia="zh-CN"/>
              </w:rPr>
              <w:t>有组织粉尘</w:t>
            </w:r>
            <w:r>
              <w:rPr>
                <w:rFonts w:hint="eastAsia" w:ascii="Times New Roman" w:hAnsi="Times New Roman" w:eastAsia="宋体" w:cs="Times New Roman"/>
                <w:color w:val="auto"/>
                <w:sz w:val="24"/>
                <w:highlight w:val="none"/>
                <w:lang w:eastAsia="zh-CN"/>
              </w:rPr>
              <w:t>产生量为</w:t>
            </w:r>
            <w:r>
              <w:rPr>
                <w:rFonts w:hint="eastAsia" w:cs="Times New Roman"/>
                <w:color w:val="auto"/>
                <w:sz w:val="24"/>
                <w:highlight w:val="none"/>
                <w:lang w:val="en-US" w:eastAsia="zh-CN"/>
              </w:rPr>
              <w:t>0.4302</w:t>
            </w:r>
            <w:r>
              <w:rPr>
                <w:rFonts w:hint="eastAsia" w:ascii="Times New Roman" w:hAnsi="Times New Roman" w:eastAsia="宋体" w:cs="Times New Roman"/>
                <w:color w:val="auto"/>
                <w:sz w:val="24"/>
                <w:highlight w:val="none"/>
                <w:lang w:val="en-US" w:eastAsia="zh-CN"/>
              </w:rPr>
              <w:t>t/a，产生速率为</w:t>
            </w:r>
            <w:r>
              <w:rPr>
                <w:rFonts w:hint="eastAsia" w:cs="Times New Roman"/>
                <w:color w:val="auto"/>
                <w:sz w:val="24"/>
                <w:highlight w:val="none"/>
                <w:lang w:val="en-US" w:eastAsia="zh-CN"/>
              </w:rPr>
              <w:t>0.0640</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19.49</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eastAsia="Times New Roman"/>
                <w:color w:val="auto"/>
                <w:sz w:val="24"/>
                <w:highlight w:val="none"/>
                <w:lang w:val="zh-CN"/>
              </w:rPr>
              <w:t>有组织</w:t>
            </w:r>
            <w:r>
              <w:rPr>
                <w:rFonts w:hint="eastAsia" w:ascii="Times New Roman" w:hAnsi="Times New Roman" w:eastAsia="宋体" w:cs="Times New Roman"/>
                <w:color w:val="auto"/>
                <w:sz w:val="24"/>
                <w:highlight w:val="none"/>
                <w:lang w:eastAsia="zh-CN"/>
              </w:rPr>
              <w:t>粉尘排放量为</w:t>
            </w:r>
            <w:r>
              <w:rPr>
                <w:rFonts w:hint="eastAsia" w:cs="Times New Roman"/>
                <w:color w:val="auto"/>
                <w:sz w:val="24"/>
                <w:highlight w:val="none"/>
                <w:lang w:val="en-US" w:eastAsia="zh-CN"/>
              </w:rPr>
              <w:t>0.0017</w:t>
            </w:r>
            <w:r>
              <w:rPr>
                <w:rFonts w:hint="eastAsia" w:ascii="Times New Roman" w:hAnsi="Times New Roman" w:eastAsia="宋体" w:cs="Times New Roman"/>
                <w:color w:val="auto"/>
                <w:sz w:val="24"/>
                <w:highlight w:val="none"/>
                <w:lang w:val="en-US" w:eastAsia="zh-CN"/>
              </w:rPr>
              <w:t>t/a，排放速率为0.</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003</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0.09</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color w:val="auto"/>
                <w:sz w:val="24"/>
                <w:highlight w:val="none"/>
              </w:rPr>
              <w:t>无组织</w:t>
            </w:r>
            <w:r>
              <w:rPr>
                <w:rFonts w:hint="eastAsia"/>
                <w:color w:val="auto"/>
                <w:sz w:val="24"/>
                <w:highlight w:val="none"/>
                <w:lang w:eastAsia="zh-CN"/>
              </w:rPr>
              <w:t>产生</w:t>
            </w:r>
            <w:r>
              <w:rPr>
                <w:rFonts w:hint="eastAsia"/>
                <w:color w:val="auto"/>
                <w:sz w:val="24"/>
                <w:highlight w:val="none"/>
              </w:rPr>
              <w:t>量为</w:t>
            </w:r>
            <w:r>
              <w:rPr>
                <w:rFonts w:hint="eastAsia"/>
                <w:color w:val="auto"/>
                <w:sz w:val="24"/>
                <w:highlight w:val="none"/>
                <w:lang w:val="en-US" w:eastAsia="zh-CN"/>
              </w:rPr>
              <w:t>0.0759</w:t>
            </w:r>
            <w:r>
              <w:rPr>
                <w:rFonts w:hint="eastAsia"/>
                <w:color w:val="auto"/>
                <w:sz w:val="24"/>
                <w:highlight w:val="none"/>
              </w:rPr>
              <w:t>t/a，</w:t>
            </w:r>
            <w:r>
              <w:rPr>
                <w:rFonts w:hint="eastAsia"/>
                <w:color w:val="auto"/>
                <w:sz w:val="24"/>
                <w:highlight w:val="none"/>
                <w:lang w:eastAsia="zh-CN"/>
              </w:rPr>
              <w:t>产生</w:t>
            </w:r>
            <w:r>
              <w:rPr>
                <w:rFonts w:hint="eastAsia"/>
                <w:color w:val="auto"/>
                <w:sz w:val="24"/>
                <w:highlight w:val="none"/>
              </w:rPr>
              <w:t>速率为</w:t>
            </w:r>
            <w:r>
              <w:rPr>
                <w:rFonts w:hint="eastAsia"/>
                <w:color w:val="auto"/>
                <w:sz w:val="24"/>
                <w:highlight w:val="none"/>
                <w:lang w:val="en-US" w:eastAsia="zh-CN"/>
              </w:rPr>
              <w:t>0.0113</w:t>
            </w:r>
            <w:r>
              <w:rPr>
                <w:rFonts w:hint="eastAsia"/>
                <w:color w:val="auto"/>
                <w:sz w:val="24"/>
                <w:highlight w:val="none"/>
              </w:rPr>
              <w:t>kg/h。</w:t>
            </w:r>
          </w:p>
          <w:p w14:paraId="06466DDF">
            <w:pPr>
              <w:adjustRightInd w:val="0"/>
              <w:snapToGrid w:val="0"/>
              <w:spacing w:line="360" w:lineRule="auto"/>
              <w:ind w:firstLine="480" w:firstLineChars="200"/>
              <w:rPr>
                <w:rFonts w:hint="eastAsia"/>
                <w:b/>
                <w:bCs/>
                <w:color w:val="auto"/>
                <w:sz w:val="24"/>
                <w:szCs w:val="24"/>
                <w:highlight w:val="none"/>
              </w:rPr>
            </w:pPr>
            <w:r>
              <w:rPr>
                <w:rFonts w:hint="eastAsia"/>
                <w:color w:val="auto"/>
                <w:sz w:val="24"/>
                <w:highlight w:val="none"/>
              </w:rPr>
              <w:t>项目</w:t>
            </w:r>
            <w:r>
              <w:rPr>
                <w:rFonts w:hint="eastAsia"/>
                <w:color w:val="auto"/>
                <w:sz w:val="24"/>
                <w:highlight w:val="none"/>
                <w:lang w:eastAsia="zh-CN"/>
              </w:rPr>
              <w:t>在成品棚内装车</w:t>
            </w:r>
            <w:r>
              <w:rPr>
                <w:rFonts w:hint="eastAsia"/>
                <w:color w:val="auto"/>
                <w:sz w:val="24"/>
                <w:highlight w:val="none"/>
              </w:rPr>
              <w:t>，粉尘经阻隔后，大部分在沉降，少部分</w:t>
            </w:r>
            <w:r>
              <w:rPr>
                <w:rFonts w:hint="eastAsia"/>
                <w:color w:val="auto"/>
                <w:sz w:val="24"/>
                <w:highlight w:val="none"/>
                <w:lang w:eastAsia="zh-CN"/>
              </w:rPr>
              <w:t>溢出，</w:t>
            </w:r>
            <w:r>
              <w:rPr>
                <w:rFonts w:hint="eastAsia"/>
                <w:color w:val="auto"/>
                <w:sz w:val="24"/>
                <w:highlight w:val="none"/>
              </w:rPr>
              <w:t>阻隔降尘效率约</w:t>
            </w:r>
            <w:r>
              <w:rPr>
                <w:rFonts w:hint="eastAsia"/>
                <w:color w:val="auto"/>
                <w:sz w:val="24"/>
                <w:highlight w:val="none"/>
                <w:lang w:val="en-US" w:eastAsia="zh-CN"/>
              </w:rPr>
              <w:t>8</w:t>
            </w:r>
            <w:r>
              <w:rPr>
                <w:rFonts w:hint="eastAsia"/>
                <w:color w:val="auto"/>
                <w:sz w:val="24"/>
                <w:highlight w:val="none"/>
              </w:rPr>
              <w:t>0%，则无组织粉尘排放量为</w:t>
            </w:r>
            <w:r>
              <w:rPr>
                <w:rFonts w:hint="eastAsia"/>
                <w:color w:val="auto"/>
                <w:sz w:val="24"/>
                <w:highlight w:val="none"/>
                <w:lang w:val="en-US" w:eastAsia="zh-CN"/>
              </w:rPr>
              <w:t>0.0152</w:t>
            </w:r>
            <w:r>
              <w:rPr>
                <w:rFonts w:hint="eastAsia"/>
                <w:color w:val="auto"/>
                <w:sz w:val="24"/>
                <w:highlight w:val="none"/>
              </w:rPr>
              <w:t>t/a，排放速率为</w:t>
            </w:r>
            <w:r>
              <w:rPr>
                <w:rFonts w:hint="eastAsia"/>
                <w:color w:val="auto"/>
                <w:sz w:val="24"/>
                <w:highlight w:val="none"/>
                <w:lang w:val="en-US" w:eastAsia="zh-CN"/>
              </w:rPr>
              <w:t>0.0023</w:t>
            </w:r>
            <w:r>
              <w:rPr>
                <w:rFonts w:hint="eastAsia"/>
                <w:color w:val="auto"/>
                <w:sz w:val="24"/>
                <w:highlight w:val="none"/>
              </w:rPr>
              <w:t>kg/h。</w:t>
            </w:r>
          </w:p>
          <w:p w14:paraId="5A6571C6">
            <w:pPr>
              <w:adjustRightInd w:val="0"/>
              <w:snapToGrid w:val="0"/>
              <w:spacing w:line="360" w:lineRule="auto"/>
              <w:ind w:firstLine="480" w:firstLineChars="200"/>
              <w:rPr>
                <w:rFonts w:hint="eastAsia"/>
                <w:color w:val="auto"/>
                <w:sz w:val="24"/>
                <w:highlight w:val="yellow"/>
              </w:rPr>
            </w:pPr>
            <w:r>
              <w:rPr>
                <w:rFonts w:hint="eastAsia"/>
                <w:color w:val="auto"/>
                <w:sz w:val="24"/>
                <w:lang w:val="en-US" w:eastAsia="zh-CN"/>
              </w:rPr>
              <w:t>项目工程建设完成后DA018排气筒</w:t>
            </w:r>
            <w:r>
              <w:rPr>
                <w:rFonts w:hint="eastAsia"/>
                <w:color w:val="auto"/>
                <w:sz w:val="24"/>
                <w:highlight w:val="none"/>
                <w:lang w:val="en-US" w:eastAsia="zh-CN"/>
              </w:rPr>
              <w:t>有组织粉尘</w:t>
            </w:r>
            <w:r>
              <w:rPr>
                <w:rFonts w:hint="eastAsia" w:ascii="Times New Roman" w:hAnsi="Times New Roman" w:eastAsia="宋体" w:cs="Times New Roman"/>
                <w:color w:val="auto"/>
                <w:sz w:val="24"/>
                <w:highlight w:val="none"/>
                <w:lang w:eastAsia="zh-CN"/>
              </w:rPr>
              <w:t>产生量为</w:t>
            </w:r>
            <w:r>
              <w:rPr>
                <w:rFonts w:hint="eastAsia" w:cs="Times New Roman"/>
                <w:color w:val="auto"/>
                <w:sz w:val="24"/>
                <w:highlight w:val="none"/>
                <w:lang w:val="en-US" w:eastAsia="zh-CN"/>
              </w:rPr>
              <w:t>0.4302</w:t>
            </w:r>
            <w:r>
              <w:rPr>
                <w:rFonts w:hint="eastAsia" w:ascii="Times New Roman" w:hAnsi="Times New Roman" w:eastAsia="宋体" w:cs="Times New Roman"/>
                <w:color w:val="auto"/>
                <w:sz w:val="24"/>
                <w:highlight w:val="none"/>
                <w:lang w:val="en-US" w:eastAsia="zh-CN"/>
              </w:rPr>
              <w:t>t/a，产生速率为</w:t>
            </w:r>
            <w:r>
              <w:rPr>
                <w:rFonts w:hint="eastAsia" w:cs="Times New Roman"/>
                <w:color w:val="auto"/>
                <w:sz w:val="24"/>
                <w:highlight w:val="none"/>
                <w:lang w:val="en-US" w:eastAsia="zh-CN"/>
              </w:rPr>
              <w:t>0.0640</w:t>
            </w:r>
            <w:r>
              <w:rPr>
                <w:rFonts w:hint="eastAsia" w:ascii="Times New Roman" w:hAnsi="Times New Roman" w:eastAsia="宋体" w:cs="Times New Roman"/>
                <w:color w:val="auto"/>
                <w:sz w:val="24"/>
                <w:highlight w:val="none"/>
                <w:lang w:val="en-US" w:eastAsia="zh-CN"/>
              </w:rPr>
              <w:t>kg/h，产生浓度为</w:t>
            </w:r>
            <w:r>
              <w:rPr>
                <w:rFonts w:hint="eastAsia" w:cs="Times New Roman"/>
                <w:color w:val="auto"/>
                <w:sz w:val="24"/>
                <w:highlight w:val="none"/>
                <w:lang w:val="en-US" w:eastAsia="zh-CN"/>
              </w:rPr>
              <w:t>19.49</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eastAsia="Times New Roman"/>
                <w:color w:val="auto"/>
                <w:sz w:val="24"/>
                <w:highlight w:val="none"/>
                <w:lang w:val="zh-CN"/>
              </w:rPr>
              <w:t>有组织</w:t>
            </w:r>
            <w:r>
              <w:rPr>
                <w:rFonts w:hint="eastAsia" w:ascii="Times New Roman" w:hAnsi="Times New Roman" w:eastAsia="宋体" w:cs="Times New Roman"/>
                <w:color w:val="auto"/>
                <w:sz w:val="24"/>
                <w:highlight w:val="none"/>
                <w:lang w:eastAsia="zh-CN"/>
              </w:rPr>
              <w:t>粉尘排放量为</w:t>
            </w:r>
            <w:r>
              <w:rPr>
                <w:rFonts w:hint="eastAsia" w:cs="Times New Roman"/>
                <w:color w:val="auto"/>
                <w:sz w:val="24"/>
                <w:highlight w:val="none"/>
                <w:lang w:val="en-US" w:eastAsia="zh-CN"/>
              </w:rPr>
              <w:t>0.0017</w:t>
            </w:r>
            <w:r>
              <w:rPr>
                <w:rFonts w:hint="eastAsia" w:ascii="Times New Roman" w:hAnsi="Times New Roman" w:eastAsia="宋体" w:cs="Times New Roman"/>
                <w:color w:val="auto"/>
                <w:sz w:val="24"/>
                <w:highlight w:val="none"/>
                <w:lang w:val="en-US" w:eastAsia="zh-CN"/>
              </w:rPr>
              <w:t>t/a，排放速率为0.</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003</w:t>
            </w:r>
            <w:r>
              <w:rPr>
                <w:rFonts w:hint="eastAsia" w:ascii="Times New Roman" w:hAnsi="Times New Roman" w:eastAsia="宋体" w:cs="Times New Roman"/>
                <w:color w:val="auto"/>
                <w:sz w:val="24"/>
                <w:highlight w:val="none"/>
                <w:lang w:val="en-US" w:eastAsia="zh-CN"/>
              </w:rPr>
              <w:t>kg/h，排放浓度为</w:t>
            </w:r>
            <w:r>
              <w:rPr>
                <w:rFonts w:hint="eastAsia" w:cs="Times New Roman"/>
                <w:color w:val="auto"/>
                <w:sz w:val="24"/>
                <w:highlight w:val="none"/>
                <w:lang w:val="en-US" w:eastAsia="zh-CN"/>
              </w:rPr>
              <w:t>0.09</w:t>
            </w:r>
            <w:r>
              <w:rPr>
                <w:bCs/>
                <w:color w:val="auto"/>
                <w:spacing w:val="-10"/>
                <w:szCs w:val="21"/>
                <w:highlight w:val="none"/>
              </w:rPr>
              <w:t>mg/m</w:t>
            </w:r>
            <w:r>
              <w:rPr>
                <w:bCs/>
                <w:color w:val="auto"/>
                <w:spacing w:val="-10"/>
                <w:szCs w:val="21"/>
                <w:highlight w:val="none"/>
                <w:vertAlign w:val="superscript"/>
              </w:rPr>
              <w:t>3</w:t>
            </w:r>
            <w:r>
              <w:rPr>
                <w:rFonts w:hint="eastAsia"/>
                <w:bCs/>
                <w:color w:val="auto"/>
                <w:spacing w:val="-10"/>
                <w:szCs w:val="21"/>
                <w:highlight w:val="none"/>
                <w:vertAlign w:val="baseline"/>
                <w:lang w:eastAsia="zh-CN"/>
              </w:rPr>
              <w:t>；</w:t>
            </w:r>
            <w:r>
              <w:rPr>
                <w:rFonts w:hint="eastAsia"/>
                <w:color w:val="auto"/>
                <w:sz w:val="24"/>
                <w:highlight w:val="none"/>
              </w:rPr>
              <w:t>无组织</w:t>
            </w:r>
            <w:r>
              <w:rPr>
                <w:rFonts w:hint="eastAsia"/>
                <w:color w:val="auto"/>
                <w:sz w:val="24"/>
                <w:highlight w:val="none"/>
                <w:lang w:eastAsia="zh-CN"/>
              </w:rPr>
              <w:t>产生</w:t>
            </w:r>
            <w:r>
              <w:rPr>
                <w:rFonts w:hint="eastAsia"/>
                <w:color w:val="auto"/>
                <w:sz w:val="24"/>
                <w:highlight w:val="none"/>
              </w:rPr>
              <w:t>量为</w:t>
            </w:r>
            <w:r>
              <w:rPr>
                <w:rFonts w:hint="eastAsia"/>
                <w:color w:val="auto"/>
                <w:sz w:val="24"/>
                <w:highlight w:val="none"/>
                <w:lang w:val="en-US" w:eastAsia="zh-CN"/>
              </w:rPr>
              <w:t>0.0759</w:t>
            </w:r>
            <w:r>
              <w:rPr>
                <w:rFonts w:hint="eastAsia"/>
                <w:color w:val="auto"/>
                <w:sz w:val="24"/>
                <w:highlight w:val="none"/>
              </w:rPr>
              <w:t>t/a，</w:t>
            </w:r>
            <w:r>
              <w:rPr>
                <w:rFonts w:hint="eastAsia"/>
                <w:color w:val="auto"/>
                <w:sz w:val="24"/>
                <w:highlight w:val="none"/>
                <w:lang w:eastAsia="zh-CN"/>
              </w:rPr>
              <w:t>产生</w:t>
            </w:r>
            <w:r>
              <w:rPr>
                <w:rFonts w:hint="eastAsia"/>
                <w:color w:val="auto"/>
                <w:sz w:val="24"/>
                <w:highlight w:val="none"/>
              </w:rPr>
              <w:t>速率为</w:t>
            </w:r>
            <w:r>
              <w:rPr>
                <w:rFonts w:hint="eastAsia"/>
                <w:color w:val="auto"/>
                <w:sz w:val="24"/>
                <w:highlight w:val="none"/>
                <w:lang w:val="en-US" w:eastAsia="zh-CN"/>
              </w:rPr>
              <w:t>0.0113</w:t>
            </w:r>
            <w:r>
              <w:rPr>
                <w:rFonts w:hint="eastAsia"/>
                <w:color w:val="auto"/>
                <w:sz w:val="24"/>
                <w:highlight w:val="none"/>
              </w:rPr>
              <w:t>kg/h。</w:t>
            </w:r>
          </w:p>
          <w:p w14:paraId="7990A580">
            <w:pPr>
              <w:adjustRightInd w:val="0"/>
              <w:snapToGrid w:val="0"/>
              <w:spacing w:line="360" w:lineRule="auto"/>
              <w:ind w:firstLine="480" w:firstLineChars="200"/>
              <w:rPr>
                <w:rFonts w:hint="eastAsia" w:cs="Times New Roman"/>
                <w:b/>
                <w:bCs/>
                <w:color w:val="auto"/>
                <w:spacing w:val="6"/>
                <w:kern w:val="2"/>
                <w:sz w:val="24"/>
                <w:szCs w:val="24"/>
                <w:highlight w:val="none"/>
                <w:lang w:val="en-US" w:eastAsia="zh-CN" w:bidi="ar-SA"/>
              </w:rPr>
            </w:pPr>
            <w:r>
              <w:rPr>
                <w:rFonts w:hint="eastAsia"/>
                <w:color w:val="auto"/>
                <w:sz w:val="24"/>
                <w:highlight w:val="none"/>
              </w:rPr>
              <w:t>项目</w:t>
            </w:r>
            <w:r>
              <w:rPr>
                <w:rFonts w:hint="eastAsia"/>
                <w:color w:val="auto"/>
                <w:sz w:val="24"/>
                <w:highlight w:val="none"/>
                <w:lang w:eastAsia="zh-CN"/>
              </w:rPr>
              <w:t>在成品棚内装车</w:t>
            </w:r>
            <w:r>
              <w:rPr>
                <w:rFonts w:hint="eastAsia"/>
                <w:color w:val="auto"/>
                <w:sz w:val="24"/>
                <w:highlight w:val="none"/>
              </w:rPr>
              <w:t>，粉尘经阻隔后，大部分在沉降，少部分</w:t>
            </w:r>
            <w:r>
              <w:rPr>
                <w:rFonts w:hint="eastAsia"/>
                <w:color w:val="auto"/>
                <w:sz w:val="24"/>
                <w:highlight w:val="none"/>
                <w:lang w:eastAsia="zh-CN"/>
              </w:rPr>
              <w:t>溢出，</w:t>
            </w:r>
            <w:r>
              <w:rPr>
                <w:rFonts w:hint="eastAsia"/>
                <w:color w:val="auto"/>
                <w:sz w:val="24"/>
                <w:highlight w:val="none"/>
              </w:rPr>
              <w:t>阻隔降尘效率约</w:t>
            </w:r>
            <w:r>
              <w:rPr>
                <w:rFonts w:hint="eastAsia"/>
                <w:color w:val="auto"/>
                <w:sz w:val="24"/>
                <w:highlight w:val="none"/>
                <w:lang w:val="en-US" w:eastAsia="zh-CN"/>
              </w:rPr>
              <w:t>8</w:t>
            </w:r>
            <w:r>
              <w:rPr>
                <w:rFonts w:hint="eastAsia"/>
                <w:color w:val="auto"/>
                <w:sz w:val="24"/>
                <w:highlight w:val="none"/>
              </w:rPr>
              <w:t>0%，则无组织粉尘排放量为</w:t>
            </w:r>
            <w:r>
              <w:rPr>
                <w:rFonts w:hint="eastAsia"/>
                <w:color w:val="auto"/>
                <w:sz w:val="24"/>
                <w:highlight w:val="none"/>
                <w:lang w:val="en-US" w:eastAsia="zh-CN"/>
              </w:rPr>
              <w:t>0.0152</w:t>
            </w:r>
            <w:r>
              <w:rPr>
                <w:rFonts w:hint="eastAsia"/>
                <w:color w:val="auto"/>
                <w:sz w:val="24"/>
                <w:highlight w:val="none"/>
              </w:rPr>
              <w:t>t/a，排放速率为</w:t>
            </w:r>
            <w:r>
              <w:rPr>
                <w:rFonts w:hint="eastAsia"/>
                <w:color w:val="auto"/>
                <w:sz w:val="24"/>
                <w:highlight w:val="none"/>
                <w:lang w:val="en-US" w:eastAsia="zh-CN"/>
              </w:rPr>
              <w:t>0.0023</w:t>
            </w:r>
            <w:r>
              <w:rPr>
                <w:rFonts w:hint="eastAsia"/>
                <w:color w:val="auto"/>
                <w:sz w:val="24"/>
                <w:highlight w:val="none"/>
              </w:rPr>
              <w:t>kg/h。</w:t>
            </w:r>
          </w:p>
          <w:p w14:paraId="42DAD896">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w:t>
            </w:r>
            <w:r>
              <w:rPr>
                <w:rFonts w:hint="eastAsia" w:ascii="Times New Roman" w:hAnsi="Times New Roman"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 xml:space="preserve">  项目运营</w:t>
            </w:r>
            <w:r>
              <w:rPr>
                <w:rFonts w:hint="default" w:ascii="Times New Roman" w:hAnsi="Times New Roman" w:cs="Times New Roman"/>
                <w:b/>
                <w:bCs/>
                <w:color w:val="auto"/>
                <w:sz w:val="21"/>
                <w:szCs w:val="21"/>
                <w:highlight w:val="none"/>
                <w:lang w:val="en-US" w:eastAsia="zh-CN"/>
              </w:rPr>
              <w:t>期</w:t>
            </w:r>
            <w:r>
              <w:rPr>
                <w:rFonts w:hint="eastAsia" w:ascii="Times New Roman" w:hAnsi="Times New Roman" w:cs="Times New Roman"/>
                <w:b/>
                <w:bCs/>
                <w:color w:val="auto"/>
                <w:sz w:val="21"/>
                <w:szCs w:val="21"/>
                <w:highlight w:val="none"/>
                <w:lang w:val="en-US" w:eastAsia="zh-CN"/>
              </w:rPr>
              <w:t>块煤散装</w:t>
            </w:r>
            <w:r>
              <w:rPr>
                <w:rFonts w:hint="eastAsia" w:ascii="Times New Roman" w:hAnsi="Times New Roman" w:eastAsia="宋体" w:cs="Times New Roman"/>
                <w:b/>
                <w:bCs/>
                <w:color w:val="auto"/>
                <w:sz w:val="21"/>
                <w:szCs w:val="21"/>
                <w:highlight w:val="none"/>
                <w:lang w:val="en-US" w:eastAsia="zh-CN"/>
              </w:rPr>
              <w:t>粉尘废</w:t>
            </w:r>
            <w:r>
              <w:rPr>
                <w:rFonts w:hint="eastAsia" w:ascii="Times New Roman" w:hAnsi="Times New Roman" w:cs="Times New Roman"/>
                <w:b/>
                <w:bCs/>
                <w:color w:val="auto"/>
                <w:sz w:val="21"/>
                <w:szCs w:val="21"/>
                <w:highlight w:val="none"/>
                <w:lang w:val="en-US" w:eastAsia="zh-CN"/>
              </w:rPr>
              <w:t>气</w:t>
            </w:r>
            <w:r>
              <w:rPr>
                <w:rFonts w:hint="default" w:ascii="Times New Roman" w:hAnsi="Times New Roman" w:eastAsia="宋体" w:cs="Times New Roman"/>
                <w:b/>
                <w:bCs/>
                <w:color w:val="auto"/>
                <w:sz w:val="21"/>
                <w:szCs w:val="21"/>
                <w:highlight w:val="none"/>
                <w:lang w:val="en-US" w:eastAsia="zh-CN"/>
              </w:rPr>
              <w:t>排放源一览表</w:t>
            </w:r>
          </w:p>
          <w:tbl>
            <w:tblPr>
              <w:tblStyle w:val="28"/>
              <w:tblW w:w="846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54"/>
              <w:gridCol w:w="1720"/>
              <w:gridCol w:w="1733"/>
              <w:gridCol w:w="91"/>
              <w:gridCol w:w="1185"/>
              <w:gridCol w:w="1391"/>
              <w:gridCol w:w="202"/>
              <w:gridCol w:w="1250"/>
            </w:tblGrid>
            <w:tr w14:paraId="4948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0" w:type="dxa"/>
                  <w:gridSpan w:val="3"/>
                  <w:vAlign w:val="center"/>
                </w:tcPr>
                <w:p w14:paraId="3745275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3009" w:type="dxa"/>
                  <w:gridSpan w:val="3"/>
                  <w:vAlign w:val="center"/>
                </w:tcPr>
                <w:p w14:paraId="6506EEA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b w:val="0"/>
                      <w:bCs w:val="0"/>
                      <w:color w:val="auto"/>
                      <w:sz w:val="21"/>
                      <w:szCs w:val="21"/>
                      <w:lang w:val="en-US" w:eastAsia="zh-CN"/>
                    </w:rPr>
                  </w:pPr>
                  <w:r>
                    <w:rPr>
                      <w:rFonts w:hint="eastAsia"/>
                      <w:b w:val="0"/>
                      <w:bCs w:val="0"/>
                      <w:color w:val="auto"/>
                      <w:sz w:val="21"/>
                      <w:szCs w:val="21"/>
                      <w:lang w:val="en-US" w:eastAsia="zh-CN"/>
                    </w:rPr>
                    <w:t>1#块煤散装粉尘</w:t>
                  </w:r>
                </w:p>
              </w:tc>
              <w:tc>
                <w:tcPr>
                  <w:tcW w:w="2843" w:type="dxa"/>
                  <w:gridSpan w:val="3"/>
                  <w:vAlign w:val="center"/>
                </w:tcPr>
                <w:p w14:paraId="4A47618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b w:val="0"/>
                      <w:bCs w:val="0"/>
                      <w:color w:val="auto"/>
                      <w:sz w:val="21"/>
                      <w:szCs w:val="21"/>
                      <w:lang w:val="en-US" w:eastAsia="zh-CN"/>
                    </w:rPr>
                  </w:pPr>
                  <w:r>
                    <w:rPr>
                      <w:rFonts w:hint="eastAsia"/>
                      <w:b w:val="0"/>
                      <w:bCs w:val="0"/>
                      <w:color w:val="auto"/>
                      <w:sz w:val="21"/>
                      <w:szCs w:val="21"/>
                      <w:lang w:val="en-US" w:eastAsia="zh-CN"/>
                    </w:rPr>
                    <w:t>2#块煤散装粉尘</w:t>
                  </w:r>
                </w:p>
              </w:tc>
            </w:tr>
            <w:tr w14:paraId="3E23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0" w:type="dxa"/>
                  <w:gridSpan w:val="3"/>
                  <w:vAlign w:val="center"/>
                </w:tcPr>
                <w:p w14:paraId="70C7EEE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3009" w:type="dxa"/>
                  <w:gridSpan w:val="3"/>
                  <w:vAlign w:val="center"/>
                </w:tcPr>
                <w:p w14:paraId="7F289AA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2843" w:type="dxa"/>
                  <w:gridSpan w:val="3"/>
                  <w:vAlign w:val="center"/>
                </w:tcPr>
                <w:p w14:paraId="6048541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r>
            <w:tr w14:paraId="4A9A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0" w:type="dxa"/>
                  <w:gridSpan w:val="3"/>
                  <w:vAlign w:val="center"/>
                </w:tcPr>
                <w:p w14:paraId="6C82E0E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1733" w:type="dxa"/>
                  <w:vAlign w:val="center"/>
                </w:tcPr>
                <w:p w14:paraId="01B889F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2.3500</w:t>
                  </w:r>
                </w:p>
              </w:tc>
              <w:tc>
                <w:tcPr>
                  <w:tcW w:w="1276" w:type="dxa"/>
                  <w:gridSpan w:val="2"/>
                  <w:vAlign w:val="center"/>
                </w:tcPr>
                <w:p w14:paraId="7781699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0.4147</w:t>
                  </w:r>
                </w:p>
              </w:tc>
              <w:tc>
                <w:tcPr>
                  <w:tcW w:w="1391" w:type="dxa"/>
                  <w:vAlign w:val="center"/>
                </w:tcPr>
                <w:p w14:paraId="15F0890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2.3500</w:t>
                  </w:r>
                </w:p>
              </w:tc>
              <w:tc>
                <w:tcPr>
                  <w:tcW w:w="1452" w:type="dxa"/>
                  <w:gridSpan w:val="2"/>
                  <w:vAlign w:val="center"/>
                </w:tcPr>
                <w:p w14:paraId="50F2760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0.4147</w:t>
                  </w:r>
                </w:p>
              </w:tc>
            </w:tr>
            <w:tr w14:paraId="77D0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58E4E95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1733" w:type="dxa"/>
                  <w:vAlign w:val="center"/>
                </w:tcPr>
                <w:p w14:paraId="0A39B23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56.67</w:t>
                  </w:r>
                </w:p>
              </w:tc>
              <w:tc>
                <w:tcPr>
                  <w:tcW w:w="1276" w:type="dxa"/>
                  <w:gridSpan w:val="2"/>
                  <w:vAlign w:val="center"/>
                </w:tcPr>
                <w:p w14:paraId="4C49922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1109274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56.67</w:t>
                  </w:r>
                </w:p>
              </w:tc>
              <w:tc>
                <w:tcPr>
                  <w:tcW w:w="1452" w:type="dxa"/>
                  <w:gridSpan w:val="2"/>
                  <w:vAlign w:val="center"/>
                </w:tcPr>
                <w:p w14:paraId="6B5D13E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663B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463A5D6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1733" w:type="dxa"/>
                  <w:vAlign w:val="center"/>
                </w:tcPr>
                <w:p w14:paraId="624D97F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276" w:type="dxa"/>
                  <w:gridSpan w:val="2"/>
                  <w:vAlign w:val="center"/>
                </w:tcPr>
                <w:p w14:paraId="7B5881A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c>
                <w:tcPr>
                  <w:tcW w:w="1391" w:type="dxa"/>
                  <w:vAlign w:val="center"/>
                </w:tcPr>
                <w:p w14:paraId="6398DEA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452" w:type="dxa"/>
                  <w:gridSpan w:val="2"/>
                  <w:vAlign w:val="center"/>
                </w:tcPr>
                <w:p w14:paraId="0FD37A7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r>
            <w:tr w14:paraId="41C8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636" w:type="dxa"/>
                  <w:vMerge w:val="restart"/>
                  <w:vAlign w:val="center"/>
                </w:tcPr>
                <w:p w14:paraId="12DC340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974" w:type="dxa"/>
                  <w:gridSpan w:val="2"/>
                  <w:vAlign w:val="center"/>
                </w:tcPr>
                <w:p w14:paraId="37727AA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1733" w:type="dxa"/>
                  <w:vAlign w:val="center"/>
                </w:tcPr>
                <w:p w14:paraId="2DA838C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6171</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276" w:type="dxa"/>
                  <w:gridSpan w:val="2"/>
                  <w:vAlign w:val="center"/>
                </w:tcPr>
                <w:p w14:paraId="58EFAE3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91" w:type="dxa"/>
                  <w:vAlign w:val="center"/>
                </w:tcPr>
                <w:p w14:paraId="0769ACE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6171</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452" w:type="dxa"/>
                  <w:gridSpan w:val="2"/>
                  <w:vAlign w:val="center"/>
                </w:tcPr>
                <w:p w14:paraId="23CF798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275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329292A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0CD773E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1733" w:type="dxa"/>
                  <w:vAlign w:val="center"/>
                </w:tcPr>
                <w:p w14:paraId="51051F0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r>
                    <w:rPr>
                      <w:rFonts w:hint="eastAsia" w:cs="Times New Roman"/>
                      <w:b w:val="0"/>
                      <w:bCs/>
                      <w:color w:val="auto"/>
                      <w:spacing w:val="-10"/>
                      <w:sz w:val="21"/>
                      <w:szCs w:val="21"/>
                      <w:highlight w:val="none"/>
                      <w:vertAlign w:val="baseline"/>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276" w:type="dxa"/>
                  <w:gridSpan w:val="2"/>
                  <w:vAlign w:val="center"/>
                </w:tcPr>
                <w:p w14:paraId="5F4994C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7ECE7EC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r>
                    <w:rPr>
                      <w:rFonts w:hint="eastAsia" w:cs="Times New Roman"/>
                      <w:b w:val="0"/>
                      <w:bCs/>
                      <w:color w:val="auto"/>
                      <w:spacing w:val="-10"/>
                      <w:sz w:val="21"/>
                      <w:szCs w:val="21"/>
                      <w:highlight w:val="none"/>
                      <w:vertAlign w:val="baseline"/>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452" w:type="dxa"/>
                  <w:gridSpan w:val="2"/>
                  <w:vAlign w:val="center"/>
                </w:tcPr>
                <w:p w14:paraId="3298D01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37FD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79BE50B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39A8922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1733" w:type="dxa"/>
                  <w:vAlign w:val="center"/>
                </w:tcPr>
                <w:p w14:paraId="3277CF9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p>
              </w:tc>
              <w:tc>
                <w:tcPr>
                  <w:tcW w:w="1276" w:type="dxa"/>
                  <w:gridSpan w:val="2"/>
                  <w:vAlign w:val="center"/>
                </w:tcPr>
                <w:p w14:paraId="7D6AB1F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厂房阻隔、自然沉降</w:t>
                  </w:r>
                </w:p>
              </w:tc>
              <w:tc>
                <w:tcPr>
                  <w:tcW w:w="1391" w:type="dxa"/>
                  <w:vAlign w:val="center"/>
                </w:tcPr>
                <w:p w14:paraId="345978B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布袋除尘器</w:t>
                  </w:r>
                </w:p>
              </w:tc>
              <w:tc>
                <w:tcPr>
                  <w:tcW w:w="1452" w:type="dxa"/>
                  <w:gridSpan w:val="2"/>
                  <w:vAlign w:val="center"/>
                </w:tcPr>
                <w:p w14:paraId="0B636D8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厂房阻隔、自然沉降</w:t>
                  </w:r>
                </w:p>
              </w:tc>
            </w:tr>
            <w:tr w14:paraId="76E1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36" w:type="dxa"/>
                  <w:vMerge w:val="continue"/>
                  <w:vAlign w:val="center"/>
                </w:tcPr>
                <w:p w14:paraId="5D6E4B4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1B24141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1733" w:type="dxa"/>
                  <w:vAlign w:val="center"/>
                </w:tcPr>
                <w:p w14:paraId="3EADA9E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276" w:type="dxa"/>
                  <w:gridSpan w:val="2"/>
                  <w:vAlign w:val="center"/>
                </w:tcPr>
                <w:p w14:paraId="0BFF62A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w:t>
                  </w: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1391" w:type="dxa"/>
                  <w:vAlign w:val="center"/>
                </w:tcPr>
                <w:p w14:paraId="3539F79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452" w:type="dxa"/>
                  <w:gridSpan w:val="2"/>
                  <w:vAlign w:val="center"/>
                </w:tcPr>
                <w:p w14:paraId="748CD3A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w:t>
                  </w:r>
                  <w:r>
                    <w:rPr>
                      <w:rFonts w:hint="default" w:ascii="Times New Roman" w:hAnsi="Times New Roman" w:eastAsia="宋体" w:cs="Times New Roman"/>
                      <w:b w:val="0"/>
                      <w:bCs/>
                      <w:color w:val="auto"/>
                      <w:spacing w:val="-10"/>
                      <w:sz w:val="21"/>
                      <w:szCs w:val="21"/>
                      <w:highlight w:val="none"/>
                      <w:vertAlign w:val="baseline"/>
                      <w:lang w:val="en-US" w:eastAsia="zh-CN"/>
                    </w:rPr>
                    <w:t>0%</w:t>
                  </w:r>
                </w:p>
              </w:tc>
            </w:tr>
            <w:tr w14:paraId="4C7E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57BF690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4A1CDCC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1733" w:type="dxa"/>
                  <w:vAlign w:val="center"/>
                </w:tcPr>
                <w:p w14:paraId="783A8C5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276" w:type="dxa"/>
                  <w:gridSpan w:val="2"/>
                  <w:vAlign w:val="center"/>
                </w:tcPr>
                <w:p w14:paraId="276DC08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6CF06EC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452" w:type="dxa"/>
                  <w:gridSpan w:val="2"/>
                  <w:vAlign w:val="center"/>
                </w:tcPr>
                <w:p w14:paraId="4DDDC42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7BF7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534C544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1733" w:type="dxa"/>
                  <w:vAlign w:val="center"/>
                </w:tcPr>
                <w:p w14:paraId="7A532DF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0.23</w:t>
                  </w:r>
                </w:p>
              </w:tc>
              <w:tc>
                <w:tcPr>
                  <w:tcW w:w="1276" w:type="dxa"/>
                  <w:gridSpan w:val="2"/>
                  <w:vAlign w:val="center"/>
                </w:tcPr>
                <w:p w14:paraId="7D09677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43835AE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0.23</w:t>
                  </w:r>
                </w:p>
              </w:tc>
              <w:tc>
                <w:tcPr>
                  <w:tcW w:w="1452" w:type="dxa"/>
                  <w:gridSpan w:val="2"/>
                  <w:vAlign w:val="center"/>
                </w:tcPr>
                <w:p w14:paraId="7C67569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6F69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610" w:type="dxa"/>
                  <w:gridSpan w:val="3"/>
                  <w:vAlign w:val="center"/>
                </w:tcPr>
                <w:p w14:paraId="5B78547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1733" w:type="dxa"/>
                  <w:vAlign w:val="center"/>
                </w:tcPr>
                <w:p w14:paraId="59F1739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0.0014</w:t>
                  </w:r>
                </w:p>
              </w:tc>
              <w:tc>
                <w:tcPr>
                  <w:tcW w:w="1276" w:type="dxa"/>
                  <w:gridSpan w:val="2"/>
                  <w:vAlign w:val="center"/>
                </w:tcPr>
                <w:p w14:paraId="1A505D6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0.0123</w:t>
                  </w:r>
                </w:p>
              </w:tc>
              <w:tc>
                <w:tcPr>
                  <w:tcW w:w="1391" w:type="dxa"/>
                  <w:vAlign w:val="center"/>
                </w:tcPr>
                <w:p w14:paraId="063D454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0.0014</w:t>
                  </w:r>
                </w:p>
              </w:tc>
              <w:tc>
                <w:tcPr>
                  <w:tcW w:w="1452" w:type="dxa"/>
                  <w:gridSpan w:val="2"/>
                  <w:vAlign w:val="center"/>
                </w:tcPr>
                <w:p w14:paraId="1A76408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0.0123</w:t>
                  </w:r>
                </w:p>
              </w:tc>
            </w:tr>
            <w:tr w14:paraId="14E3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5445C48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1733" w:type="dxa"/>
                  <w:vAlign w:val="center"/>
                </w:tcPr>
                <w:p w14:paraId="5389543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0.0094</w:t>
                  </w:r>
                </w:p>
              </w:tc>
              <w:tc>
                <w:tcPr>
                  <w:tcW w:w="1276" w:type="dxa"/>
                  <w:gridSpan w:val="2"/>
                  <w:vAlign w:val="center"/>
                </w:tcPr>
                <w:p w14:paraId="0D40DAA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0.0829</w:t>
                  </w:r>
                </w:p>
              </w:tc>
              <w:tc>
                <w:tcPr>
                  <w:tcW w:w="1391" w:type="dxa"/>
                  <w:vAlign w:val="center"/>
                </w:tcPr>
                <w:p w14:paraId="2D80AAC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0.0094</w:t>
                  </w:r>
                </w:p>
              </w:tc>
              <w:tc>
                <w:tcPr>
                  <w:tcW w:w="1452" w:type="dxa"/>
                  <w:gridSpan w:val="2"/>
                  <w:vAlign w:val="center"/>
                </w:tcPr>
                <w:p w14:paraId="6D2B4C2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0.0829</w:t>
                  </w:r>
                </w:p>
              </w:tc>
            </w:tr>
            <w:tr w14:paraId="1A83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restart"/>
                  <w:vAlign w:val="center"/>
                </w:tcPr>
                <w:p w14:paraId="2BB1D08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974" w:type="dxa"/>
                  <w:gridSpan w:val="2"/>
                  <w:vAlign w:val="center"/>
                </w:tcPr>
                <w:p w14:paraId="24AA46C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1733" w:type="dxa"/>
                  <w:vAlign w:val="center"/>
                </w:tcPr>
                <w:p w14:paraId="61FA13A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16</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276" w:type="dxa"/>
                  <w:gridSpan w:val="2"/>
                  <w:vAlign w:val="center"/>
                </w:tcPr>
                <w:p w14:paraId="499C82C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6C531D3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16</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452" w:type="dxa"/>
                  <w:gridSpan w:val="2"/>
                  <w:vAlign w:val="center"/>
                </w:tcPr>
                <w:p w14:paraId="6D8F624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28F3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264064B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561DC0C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1733" w:type="dxa"/>
                  <w:vAlign w:val="center"/>
                </w:tcPr>
                <w:p w14:paraId="1843F7C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40</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276" w:type="dxa"/>
                  <w:gridSpan w:val="2"/>
                  <w:vAlign w:val="center"/>
                </w:tcPr>
                <w:p w14:paraId="1894D4E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76B37CC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40</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452" w:type="dxa"/>
                  <w:gridSpan w:val="2"/>
                  <w:vAlign w:val="center"/>
                </w:tcPr>
                <w:p w14:paraId="418B823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406A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3551378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399D772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1733" w:type="dxa"/>
                  <w:vAlign w:val="center"/>
                </w:tcPr>
                <w:p w14:paraId="50AC411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1276" w:type="dxa"/>
                  <w:gridSpan w:val="2"/>
                  <w:vAlign w:val="center"/>
                </w:tcPr>
                <w:p w14:paraId="59D272B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41BC25C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1452" w:type="dxa"/>
                  <w:gridSpan w:val="2"/>
                  <w:vAlign w:val="center"/>
                </w:tcPr>
                <w:p w14:paraId="312036F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6EF6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0675786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7553CEC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1733" w:type="dxa"/>
                  <w:vAlign w:val="center"/>
                </w:tcPr>
                <w:p w14:paraId="0D77629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w:t>
                  </w:r>
                  <w:r>
                    <w:rPr>
                      <w:rFonts w:hint="eastAsia" w:cs="Times New Roman"/>
                      <w:b w:val="0"/>
                      <w:bCs/>
                      <w:color w:val="auto"/>
                      <w:spacing w:val="-10"/>
                      <w:sz w:val="21"/>
                      <w:szCs w:val="21"/>
                      <w:highlight w:val="none"/>
                      <w:vertAlign w:val="baseline"/>
                      <w:lang w:val="en-US" w:eastAsia="zh-CN"/>
                    </w:rPr>
                    <w:t>15</w:t>
                  </w:r>
                </w:p>
              </w:tc>
              <w:tc>
                <w:tcPr>
                  <w:tcW w:w="1276" w:type="dxa"/>
                  <w:gridSpan w:val="2"/>
                  <w:vAlign w:val="center"/>
                </w:tcPr>
                <w:p w14:paraId="4B7FDF6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7073736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w:t>
                  </w:r>
                  <w:r>
                    <w:rPr>
                      <w:rFonts w:hint="eastAsia" w:cs="Times New Roman"/>
                      <w:b w:val="0"/>
                      <w:bCs/>
                      <w:color w:val="auto"/>
                      <w:spacing w:val="-10"/>
                      <w:sz w:val="21"/>
                      <w:szCs w:val="21"/>
                      <w:highlight w:val="none"/>
                      <w:vertAlign w:val="baseline"/>
                      <w:lang w:val="en-US" w:eastAsia="zh-CN"/>
                    </w:rPr>
                    <w:t>16</w:t>
                  </w:r>
                </w:p>
              </w:tc>
              <w:tc>
                <w:tcPr>
                  <w:tcW w:w="1452" w:type="dxa"/>
                  <w:gridSpan w:val="2"/>
                  <w:vAlign w:val="center"/>
                </w:tcPr>
                <w:p w14:paraId="7FE4EC0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2D39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61F09AD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543B892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1733" w:type="dxa"/>
                  <w:vAlign w:val="center"/>
                </w:tcPr>
                <w:p w14:paraId="3D50AD2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276" w:type="dxa"/>
                  <w:gridSpan w:val="2"/>
                  <w:vAlign w:val="center"/>
                </w:tcPr>
                <w:p w14:paraId="6FB04E7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704B2A7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452" w:type="dxa"/>
                  <w:gridSpan w:val="2"/>
                  <w:vAlign w:val="center"/>
                </w:tcPr>
                <w:p w14:paraId="4E87483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59DC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5531E6F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583479D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3009" w:type="dxa"/>
                  <w:gridSpan w:val="3"/>
                  <w:vAlign w:val="center"/>
                </w:tcPr>
                <w:p w14:paraId="48810C8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DA015：</w:t>
                  </w:r>
                  <w:r>
                    <w:rPr>
                      <w:rFonts w:hint="default" w:ascii="Times New Roman" w:hAnsi="Times New Roman" w:eastAsia="宋体" w:cs="Times New Roman"/>
                      <w:b w:val="0"/>
                      <w:bCs/>
                      <w:color w:val="auto"/>
                      <w:spacing w:val="-10"/>
                      <w:sz w:val="21"/>
                      <w:szCs w:val="21"/>
                      <w:highlight w:val="none"/>
                      <w:vertAlign w:val="baseline"/>
                      <w:lang w:val="en-US" w:eastAsia="zh-CN"/>
                    </w:rPr>
                    <w:t>E：103°11′4</w:t>
                  </w:r>
                  <w:r>
                    <w:rPr>
                      <w:rFonts w:hint="eastAsia" w:cs="Times New Roman"/>
                      <w:b w:val="0"/>
                      <w:bCs/>
                      <w:color w:val="auto"/>
                      <w:spacing w:val="-10"/>
                      <w:sz w:val="21"/>
                      <w:szCs w:val="21"/>
                      <w:highlight w:val="none"/>
                      <w:vertAlign w:val="baseline"/>
                      <w:lang w:val="en-US" w:eastAsia="zh-CN"/>
                    </w:rPr>
                    <w:t>2.438</w:t>
                  </w:r>
                  <w:r>
                    <w:rPr>
                      <w:rFonts w:hint="default" w:ascii="Times New Roman" w:hAnsi="Times New Roman" w:eastAsia="宋体" w:cs="Times New Roman"/>
                      <w:b w:val="0"/>
                      <w:bCs/>
                      <w:color w:val="auto"/>
                      <w:spacing w:val="-10"/>
                      <w:sz w:val="21"/>
                      <w:szCs w:val="21"/>
                      <w:highlight w:val="none"/>
                      <w:vertAlign w:val="baseline"/>
                      <w:lang w:val="en-US" w:eastAsia="zh-CN"/>
                    </w:rPr>
                    <w:t>″，N：25°33′</w:t>
                  </w:r>
                  <w:r>
                    <w:rPr>
                      <w:rFonts w:hint="eastAsia" w:cs="Times New Roman"/>
                      <w:b w:val="0"/>
                      <w:bCs/>
                      <w:color w:val="auto"/>
                      <w:spacing w:val="-10"/>
                      <w:sz w:val="21"/>
                      <w:szCs w:val="21"/>
                      <w:highlight w:val="none"/>
                      <w:vertAlign w:val="baseline"/>
                      <w:lang w:val="en-US" w:eastAsia="zh-CN"/>
                    </w:rPr>
                    <w:t>38.671</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843" w:type="dxa"/>
                  <w:gridSpan w:val="3"/>
                  <w:vAlign w:val="center"/>
                </w:tcPr>
                <w:p w14:paraId="248F3B3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DA016：</w:t>
                  </w:r>
                  <w:r>
                    <w:rPr>
                      <w:rFonts w:hint="default" w:ascii="Times New Roman" w:hAnsi="Times New Roman" w:eastAsia="宋体" w:cs="Times New Roman"/>
                      <w:b w:val="0"/>
                      <w:bCs/>
                      <w:color w:val="auto"/>
                      <w:spacing w:val="-10"/>
                      <w:sz w:val="21"/>
                      <w:szCs w:val="21"/>
                      <w:highlight w:val="none"/>
                      <w:vertAlign w:val="baseline"/>
                      <w:lang w:val="en-US" w:eastAsia="zh-CN"/>
                    </w:rPr>
                    <w:t>E：103°11′4</w:t>
                  </w:r>
                  <w:r>
                    <w:rPr>
                      <w:rFonts w:hint="eastAsia" w:cs="Times New Roman"/>
                      <w:b w:val="0"/>
                      <w:bCs/>
                      <w:color w:val="auto"/>
                      <w:spacing w:val="-10"/>
                      <w:sz w:val="21"/>
                      <w:szCs w:val="21"/>
                      <w:highlight w:val="none"/>
                      <w:vertAlign w:val="baseline"/>
                      <w:lang w:val="en-US" w:eastAsia="zh-CN"/>
                    </w:rPr>
                    <w:t>3.345</w:t>
                  </w:r>
                  <w:r>
                    <w:rPr>
                      <w:rFonts w:hint="default" w:ascii="Times New Roman" w:hAnsi="Times New Roman" w:eastAsia="宋体" w:cs="Times New Roman"/>
                      <w:b w:val="0"/>
                      <w:bCs/>
                      <w:color w:val="auto"/>
                      <w:spacing w:val="-10"/>
                      <w:sz w:val="21"/>
                      <w:szCs w:val="21"/>
                      <w:highlight w:val="none"/>
                      <w:vertAlign w:val="baseline"/>
                      <w:lang w:val="en-US" w:eastAsia="zh-CN"/>
                    </w:rPr>
                    <w:t>″，N：25°33′38.</w:t>
                  </w:r>
                  <w:r>
                    <w:rPr>
                      <w:rFonts w:hint="eastAsia" w:cs="Times New Roman"/>
                      <w:b w:val="0"/>
                      <w:bCs/>
                      <w:color w:val="auto"/>
                      <w:spacing w:val="-10"/>
                      <w:sz w:val="21"/>
                      <w:szCs w:val="21"/>
                      <w:highlight w:val="none"/>
                      <w:vertAlign w:val="baseline"/>
                      <w:lang w:val="en-US" w:eastAsia="zh-CN"/>
                    </w:rPr>
                    <w:t>633</w:t>
                  </w: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6C4C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73518B8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5852" w:type="dxa"/>
                  <w:gridSpan w:val="6"/>
                  <w:vAlign w:val="center"/>
                </w:tcPr>
                <w:p w14:paraId="14C28789">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shd w:val="clear" w:color="auto" w:fill="auto"/>
                      <w:lang w:val="zh-CN" w:eastAsia="zh-CN"/>
                    </w:rPr>
                    <w:t>执行</w:t>
                  </w:r>
                  <w:r>
                    <w:rPr>
                      <w:rFonts w:hint="default" w:ascii="Times New Roman" w:hAnsi="Times New Roman" w:cs="Times New Roman"/>
                      <w:color w:val="auto"/>
                      <w:sz w:val="21"/>
                      <w:szCs w:val="21"/>
                      <w:shd w:val="clear" w:color="auto" w:fill="auto"/>
                      <w:lang w:val="zh-CN" w:eastAsia="zh-CN"/>
                    </w:rPr>
                    <w:t>《大气污染物综合排放标准》（GB16297-1996）表2中二级标准</w:t>
                  </w:r>
                  <w:r>
                    <w:rPr>
                      <w:color w:val="auto"/>
                      <w:sz w:val="21"/>
                      <w:szCs w:val="21"/>
                    </w:rPr>
                    <w:t>要求</w:t>
                  </w:r>
                  <w:r>
                    <w:rPr>
                      <w:rFonts w:hint="eastAsia"/>
                      <w:color w:val="auto"/>
                      <w:sz w:val="21"/>
                      <w:szCs w:val="21"/>
                      <w:lang w:eastAsia="zh-CN"/>
                    </w:rPr>
                    <w:t>。</w:t>
                  </w:r>
                </w:p>
              </w:tc>
            </w:tr>
            <w:tr w14:paraId="005A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gridSpan w:val="2"/>
                  <w:vMerge w:val="restart"/>
                  <w:vAlign w:val="center"/>
                </w:tcPr>
                <w:p w14:paraId="5587A47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720" w:type="dxa"/>
                  <w:vAlign w:val="center"/>
                </w:tcPr>
                <w:p w14:paraId="34C8706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1824" w:type="dxa"/>
                  <w:gridSpan w:val="2"/>
                  <w:vAlign w:val="center"/>
                </w:tcPr>
                <w:p w14:paraId="0967EE0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w:t>
                  </w:r>
                  <w:r>
                    <w:rPr>
                      <w:rFonts w:hint="eastAsia" w:cs="Times New Roman"/>
                      <w:b w:val="0"/>
                      <w:bCs w:val="0"/>
                      <w:color w:val="auto"/>
                      <w:spacing w:val="-10"/>
                      <w:sz w:val="21"/>
                      <w:szCs w:val="21"/>
                      <w:highlight w:val="none"/>
                      <w:vertAlign w:val="baseline"/>
                      <w:lang w:val="en-US" w:eastAsia="zh-CN"/>
                    </w:rPr>
                    <w:t>15</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c>
                <w:tcPr>
                  <w:tcW w:w="1185" w:type="dxa"/>
                  <w:vAlign w:val="center"/>
                </w:tcPr>
                <w:p w14:paraId="5548138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c>
                <w:tcPr>
                  <w:tcW w:w="1593" w:type="dxa"/>
                  <w:gridSpan w:val="2"/>
                  <w:vAlign w:val="center"/>
                </w:tcPr>
                <w:p w14:paraId="66D09BE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w:t>
                  </w:r>
                  <w:r>
                    <w:rPr>
                      <w:rFonts w:hint="eastAsia" w:cs="Times New Roman"/>
                      <w:b w:val="0"/>
                      <w:bCs w:val="0"/>
                      <w:color w:val="auto"/>
                      <w:spacing w:val="-10"/>
                      <w:sz w:val="21"/>
                      <w:szCs w:val="21"/>
                      <w:highlight w:val="none"/>
                      <w:vertAlign w:val="baseline"/>
                      <w:lang w:val="en-US" w:eastAsia="zh-CN"/>
                    </w:rPr>
                    <w:t>16</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c>
                <w:tcPr>
                  <w:tcW w:w="1250" w:type="dxa"/>
                  <w:vAlign w:val="center"/>
                </w:tcPr>
                <w:p w14:paraId="122ADDE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r>
            <w:tr w14:paraId="6CD7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gridSpan w:val="2"/>
                  <w:vMerge w:val="continue"/>
                  <w:vAlign w:val="center"/>
                </w:tcPr>
                <w:p w14:paraId="0A0DD36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20" w:type="dxa"/>
                  <w:vAlign w:val="center"/>
                </w:tcPr>
                <w:p w14:paraId="52F65C4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3009" w:type="dxa"/>
                  <w:gridSpan w:val="3"/>
                  <w:vAlign w:val="center"/>
                </w:tcPr>
                <w:p w14:paraId="217943C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c>
                <w:tcPr>
                  <w:tcW w:w="2843" w:type="dxa"/>
                  <w:gridSpan w:val="3"/>
                  <w:vAlign w:val="center"/>
                </w:tcPr>
                <w:p w14:paraId="1918C72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r>
            <w:tr w14:paraId="41DF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gridSpan w:val="2"/>
                  <w:vMerge w:val="continue"/>
                  <w:vAlign w:val="center"/>
                </w:tcPr>
                <w:p w14:paraId="2FAA13D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20" w:type="dxa"/>
                  <w:vAlign w:val="center"/>
                </w:tcPr>
                <w:p w14:paraId="2674227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1824" w:type="dxa"/>
                  <w:gridSpan w:val="2"/>
                  <w:vAlign w:val="center"/>
                </w:tcPr>
                <w:p w14:paraId="79769BA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c>
                <w:tcPr>
                  <w:tcW w:w="1185" w:type="dxa"/>
                  <w:vAlign w:val="center"/>
                </w:tcPr>
                <w:p w14:paraId="17865EC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c>
                <w:tcPr>
                  <w:tcW w:w="1593" w:type="dxa"/>
                  <w:gridSpan w:val="2"/>
                  <w:vAlign w:val="center"/>
                </w:tcPr>
                <w:p w14:paraId="7CB8671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c>
                <w:tcPr>
                  <w:tcW w:w="1250" w:type="dxa"/>
                  <w:vAlign w:val="center"/>
                </w:tcPr>
                <w:p w14:paraId="6C36C8B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r>
          </w:tbl>
          <w:p w14:paraId="492CDBD5">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w:t>
            </w:r>
            <w:r>
              <w:rPr>
                <w:rFonts w:hint="eastAsia" w:ascii="Times New Roman" w:hAnsi="Times New Roman"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 xml:space="preserve">  项目运营</w:t>
            </w:r>
            <w:r>
              <w:rPr>
                <w:rFonts w:hint="default" w:ascii="Times New Roman" w:hAnsi="Times New Roman" w:cs="Times New Roman"/>
                <w:b/>
                <w:bCs/>
                <w:color w:val="auto"/>
                <w:sz w:val="21"/>
                <w:szCs w:val="21"/>
                <w:highlight w:val="none"/>
                <w:lang w:val="en-US" w:eastAsia="zh-CN"/>
              </w:rPr>
              <w:t>期</w:t>
            </w:r>
            <w:r>
              <w:rPr>
                <w:rFonts w:hint="eastAsia" w:ascii="Times New Roman" w:hAnsi="Times New Roman" w:cs="Times New Roman"/>
                <w:b/>
                <w:bCs/>
                <w:color w:val="auto"/>
                <w:sz w:val="21"/>
                <w:szCs w:val="21"/>
                <w:highlight w:val="none"/>
                <w:lang w:val="en-US" w:eastAsia="zh-CN"/>
              </w:rPr>
              <w:t>煤粉散装</w:t>
            </w:r>
            <w:r>
              <w:rPr>
                <w:rFonts w:hint="eastAsia" w:ascii="Times New Roman" w:hAnsi="Times New Roman" w:eastAsia="宋体" w:cs="Times New Roman"/>
                <w:b/>
                <w:bCs/>
                <w:color w:val="auto"/>
                <w:sz w:val="21"/>
                <w:szCs w:val="21"/>
                <w:highlight w:val="none"/>
                <w:lang w:val="en-US" w:eastAsia="zh-CN"/>
              </w:rPr>
              <w:t>粉尘废</w:t>
            </w:r>
            <w:r>
              <w:rPr>
                <w:rFonts w:hint="eastAsia" w:ascii="Times New Roman" w:hAnsi="Times New Roman" w:cs="Times New Roman"/>
                <w:b/>
                <w:bCs/>
                <w:color w:val="auto"/>
                <w:sz w:val="21"/>
                <w:szCs w:val="21"/>
                <w:highlight w:val="none"/>
                <w:lang w:val="en-US" w:eastAsia="zh-CN"/>
              </w:rPr>
              <w:t>气</w:t>
            </w:r>
            <w:r>
              <w:rPr>
                <w:rFonts w:hint="default" w:ascii="Times New Roman" w:hAnsi="Times New Roman" w:eastAsia="宋体" w:cs="Times New Roman"/>
                <w:b/>
                <w:bCs/>
                <w:color w:val="auto"/>
                <w:sz w:val="21"/>
                <w:szCs w:val="21"/>
                <w:highlight w:val="none"/>
                <w:lang w:val="en-US" w:eastAsia="zh-CN"/>
              </w:rPr>
              <w:t>排放源一览表</w:t>
            </w:r>
          </w:p>
          <w:tbl>
            <w:tblPr>
              <w:tblStyle w:val="28"/>
              <w:tblW w:w="846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54"/>
              <w:gridCol w:w="1720"/>
              <w:gridCol w:w="1733"/>
              <w:gridCol w:w="91"/>
              <w:gridCol w:w="1185"/>
              <w:gridCol w:w="1391"/>
              <w:gridCol w:w="202"/>
              <w:gridCol w:w="1250"/>
            </w:tblGrid>
            <w:tr w14:paraId="4B7D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0" w:type="dxa"/>
                  <w:gridSpan w:val="3"/>
                  <w:vAlign w:val="center"/>
                </w:tcPr>
                <w:p w14:paraId="1723AF5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3009" w:type="dxa"/>
                  <w:gridSpan w:val="3"/>
                  <w:vAlign w:val="center"/>
                </w:tcPr>
                <w:p w14:paraId="3FB53E0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b w:val="0"/>
                      <w:bCs w:val="0"/>
                      <w:color w:val="auto"/>
                      <w:sz w:val="21"/>
                      <w:szCs w:val="21"/>
                      <w:lang w:val="en-US" w:eastAsia="zh-CN"/>
                    </w:rPr>
                  </w:pPr>
                  <w:r>
                    <w:rPr>
                      <w:rFonts w:hint="eastAsia"/>
                      <w:b w:val="0"/>
                      <w:bCs w:val="0"/>
                      <w:color w:val="auto"/>
                      <w:sz w:val="21"/>
                      <w:szCs w:val="21"/>
                      <w:lang w:val="en-US" w:eastAsia="zh-CN"/>
                    </w:rPr>
                    <w:t>1#煤粉散装粉尘</w:t>
                  </w:r>
                </w:p>
              </w:tc>
              <w:tc>
                <w:tcPr>
                  <w:tcW w:w="2843" w:type="dxa"/>
                  <w:gridSpan w:val="3"/>
                  <w:vAlign w:val="center"/>
                </w:tcPr>
                <w:p w14:paraId="635E0AC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b w:val="0"/>
                      <w:bCs w:val="0"/>
                      <w:color w:val="auto"/>
                      <w:sz w:val="21"/>
                      <w:szCs w:val="21"/>
                      <w:lang w:val="en-US" w:eastAsia="zh-CN"/>
                    </w:rPr>
                  </w:pPr>
                  <w:r>
                    <w:rPr>
                      <w:rFonts w:hint="eastAsia"/>
                      <w:b w:val="0"/>
                      <w:bCs w:val="0"/>
                      <w:color w:val="auto"/>
                      <w:sz w:val="21"/>
                      <w:szCs w:val="21"/>
                      <w:lang w:val="en-US" w:eastAsia="zh-CN"/>
                    </w:rPr>
                    <w:t>2#煤粉散装粉尘</w:t>
                  </w:r>
                </w:p>
              </w:tc>
            </w:tr>
            <w:tr w14:paraId="5011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0" w:type="dxa"/>
                  <w:gridSpan w:val="3"/>
                  <w:vAlign w:val="center"/>
                </w:tcPr>
                <w:p w14:paraId="547F6CB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3009" w:type="dxa"/>
                  <w:gridSpan w:val="3"/>
                  <w:vAlign w:val="center"/>
                </w:tcPr>
                <w:p w14:paraId="77E2D6D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2843" w:type="dxa"/>
                  <w:gridSpan w:val="3"/>
                  <w:vAlign w:val="center"/>
                </w:tcPr>
                <w:p w14:paraId="20C5D51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r>
            <w:tr w14:paraId="194B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610" w:type="dxa"/>
                  <w:gridSpan w:val="3"/>
                  <w:vAlign w:val="center"/>
                </w:tcPr>
                <w:p w14:paraId="277B13B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1733" w:type="dxa"/>
                  <w:vAlign w:val="center"/>
                </w:tcPr>
                <w:p w14:paraId="028A02A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0.4302</w:t>
                  </w:r>
                </w:p>
              </w:tc>
              <w:tc>
                <w:tcPr>
                  <w:tcW w:w="1276" w:type="dxa"/>
                  <w:gridSpan w:val="2"/>
                  <w:vAlign w:val="center"/>
                </w:tcPr>
                <w:p w14:paraId="6A77A48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0.0759</w:t>
                  </w:r>
                </w:p>
              </w:tc>
              <w:tc>
                <w:tcPr>
                  <w:tcW w:w="1391" w:type="dxa"/>
                  <w:vAlign w:val="center"/>
                </w:tcPr>
                <w:p w14:paraId="28EE3AC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0.4302</w:t>
                  </w:r>
                </w:p>
              </w:tc>
              <w:tc>
                <w:tcPr>
                  <w:tcW w:w="1452" w:type="dxa"/>
                  <w:gridSpan w:val="2"/>
                  <w:vAlign w:val="center"/>
                </w:tcPr>
                <w:p w14:paraId="07B8156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0.0759</w:t>
                  </w:r>
                </w:p>
              </w:tc>
            </w:tr>
            <w:tr w14:paraId="60DB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74C5E59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1733" w:type="dxa"/>
                  <w:vAlign w:val="center"/>
                </w:tcPr>
                <w:p w14:paraId="577968D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19.49</w:t>
                  </w:r>
                </w:p>
              </w:tc>
              <w:tc>
                <w:tcPr>
                  <w:tcW w:w="1276" w:type="dxa"/>
                  <w:gridSpan w:val="2"/>
                  <w:vAlign w:val="center"/>
                </w:tcPr>
                <w:p w14:paraId="0FB2B77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3650DA6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19.49</w:t>
                  </w:r>
                </w:p>
              </w:tc>
              <w:tc>
                <w:tcPr>
                  <w:tcW w:w="1452" w:type="dxa"/>
                  <w:gridSpan w:val="2"/>
                  <w:vAlign w:val="center"/>
                </w:tcPr>
                <w:p w14:paraId="22A4DD8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2D8A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75DFB4F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1733" w:type="dxa"/>
                  <w:vAlign w:val="center"/>
                </w:tcPr>
                <w:p w14:paraId="04D6A48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276" w:type="dxa"/>
                  <w:gridSpan w:val="2"/>
                  <w:vAlign w:val="center"/>
                </w:tcPr>
                <w:p w14:paraId="0FFFA5A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c>
                <w:tcPr>
                  <w:tcW w:w="1391" w:type="dxa"/>
                  <w:vAlign w:val="center"/>
                </w:tcPr>
                <w:p w14:paraId="384E05D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452" w:type="dxa"/>
                  <w:gridSpan w:val="2"/>
                  <w:vAlign w:val="center"/>
                </w:tcPr>
                <w:p w14:paraId="59778E4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r>
            <w:tr w14:paraId="737C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636" w:type="dxa"/>
                  <w:vMerge w:val="restart"/>
                  <w:vAlign w:val="center"/>
                </w:tcPr>
                <w:p w14:paraId="3D9B61A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974" w:type="dxa"/>
                  <w:gridSpan w:val="2"/>
                  <w:vAlign w:val="center"/>
                </w:tcPr>
                <w:p w14:paraId="75545F8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1733" w:type="dxa"/>
                  <w:vAlign w:val="center"/>
                </w:tcPr>
                <w:p w14:paraId="7826789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3284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276" w:type="dxa"/>
                  <w:gridSpan w:val="2"/>
                  <w:vAlign w:val="center"/>
                </w:tcPr>
                <w:p w14:paraId="0C016AF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91" w:type="dxa"/>
                  <w:vAlign w:val="center"/>
                </w:tcPr>
                <w:p w14:paraId="27BFA0F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3284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452" w:type="dxa"/>
                  <w:gridSpan w:val="2"/>
                  <w:vAlign w:val="center"/>
                </w:tcPr>
                <w:p w14:paraId="41966AF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3740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7D381EB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7C3BB95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1733" w:type="dxa"/>
                  <w:vAlign w:val="center"/>
                </w:tcPr>
                <w:p w14:paraId="6CCB817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r>
                    <w:rPr>
                      <w:rFonts w:hint="eastAsia" w:cs="Times New Roman"/>
                      <w:b w:val="0"/>
                      <w:bCs/>
                      <w:color w:val="auto"/>
                      <w:spacing w:val="-10"/>
                      <w:sz w:val="21"/>
                      <w:szCs w:val="21"/>
                      <w:highlight w:val="none"/>
                      <w:vertAlign w:val="baseline"/>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276" w:type="dxa"/>
                  <w:gridSpan w:val="2"/>
                  <w:vAlign w:val="center"/>
                </w:tcPr>
                <w:p w14:paraId="26B0514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606EDED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r>
                    <w:rPr>
                      <w:rFonts w:hint="eastAsia" w:cs="Times New Roman"/>
                      <w:b w:val="0"/>
                      <w:bCs/>
                      <w:color w:val="auto"/>
                      <w:spacing w:val="-10"/>
                      <w:sz w:val="21"/>
                      <w:szCs w:val="21"/>
                      <w:highlight w:val="none"/>
                      <w:vertAlign w:val="baseline"/>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452" w:type="dxa"/>
                  <w:gridSpan w:val="2"/>
                  <w:vAlign w:val="center"/>
                </w:tcPr>
                <w:p w14:paraId="1A5BB5A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6598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360D8B2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5AA9C4A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1733" w:type="dxa"/>
                  <w:vAlign w:val="center"/>
                </w:tcPr>
                <w:p w14:paraId="27E190A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p>
              </w:tc>
              <w:tc>
                <w:tcPr>
                  <w:tcW w:w="1276" w:type="dxa"/>
                  <w:gridSpan w:val="2"/>
                  <w:vAlign w:val="center"/>
                </w:tcPr>
                <w:p w14:paraId="797D3D5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厂房阻隔、自然沉降</w:t>
                  </w:r>
                </w:p>
              </w:tc>
              <w:tc>
                <w:tcPr>
                  <w:tcW w:w="1391" w:type="dxa"/>
                  <w:vAlign w:val="center"/>
                </w:tcPr>
                <w:p w14:paraId="010E521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布袋除尘器</w:t>
                  </w:r>
                </w:p>
              </w:tc>
              <w:tc>
                <w:tcPr>
                  <w:tcW w:w="1452" w:type="dxa"/>
                  <w:gridSpan w:val="2"/>
                  <w:vAlign w:val="center"/>
                </w:tcPr>
                <w:p w14:paraId="0DC8619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厂房阻隔、自然沉降</w:t>
                  </w:r>
                </w:p>
              </w:tc>
            </w:tr>
            <w:tr w14:paraId="3968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36" w:type="dxa"/>
                  <w:vMerge w:val="continue"/>
                  <w:vAlign w:val="center"/>
                </w:tcPr>
                <w:p w14:paraId="2A8D41F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7CC6AF5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1733" w:type="dxa"/>
                  <w:vAlign w:val="center"/>
                </w:tcPr>
                <w:p w14:paraId="4694AB5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276" w:type="dxa"/>
                  <w:gridSpan w:val="2"/>
                  <w:vAlign w:val="center"/>
                </w:tcPr>
                <w:p w14:paraId="6AC894C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w:t>
                  </w: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1391" w:type="dxa"/>
                  <w:vAlign w:val="center"/>
                </w:tcPr>
                <w:p w14:paraId="5931AA9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452" w:type="dxa"/>
                  <w:gridSpan w:val="2"/>
                  <w:vAlign w:val="center"/>
                </w:tcPr>
                <w:p w14:paraId="7A87CE9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w:t>
                  </w:r>
                  <w:r>
                    <w:rPr>
                      <w:rFonts w:hint="default" w:ascii="Times New Roman" w:hAnsi="Times New Roman" w:eastAsia="宋体" w:cs="Times New Roman"/>
                      <w:b w:val="0"/>
                      <w:bCs/>
                      <w:color w:val="auto"/>
                      <w:spacing w:val="-10"/>
                      <w:sz w:val="21"/>
                      <w:szCs w:val="21"/>
                      <w:highlight w:val="none"/>
                      <w:vertAlign w:val="baseline"/>
                      <w:lang w:val="en-US" w:eastAsia="zh-CN"/>
                    </w:rPr>
                    <w:t>0%</w:t>
                  </w:r>
                </w:p>
              </w:tc>
            </w:tr>
            <w:tr w14:paraId="237D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4F95929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3243D18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1733" w:type="dxa"/>
                  <w:vAlign w:val="center"/>
                </w:tcPr>
                <w:p w14:paraId="32CA0F1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276" w:type="dxa"/>
                  <w:gridSpan w:val="2"/>
                  <w:vAlign w:val="center"/>
                </w:tcPr>
                <w:p w14:paraId="1763AF0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7B7F691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452" w:type="dxa"/>
                  <w:gridSpan w:val="2"/>
                  <w:vAlign w:val="center"/>
                </w:tcPr>
                <w:p w14:paraId="4FE398C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7FA0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0F99848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1733" w:type="dxa"/>
                  <w:vAlign w:val="center"/>
                </w:tcPr>
                <w:p w14:paraId="72F4732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0.09</w:t>
                  </w:r>
                </w:p>
              </w:tc>
              <w:tc>
                <w:tcPr>
                  <w:tcW w:w="1276" w:type="dxa"/>
                  <w:gridSpan w:val="2"/>
                  <w:vAlign w:val="center"/>
                </w:tcPr>
                <w:p w14:paraId="4966B6C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6C184CC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0.09</w:t>
                  </w:r>
                </w:p>
              </w:tc>
              <w:tc>
                <w:tcPr>
                  <w:tcW w:w="1452" w:type="dxa"/>
                  <w:gridSpan w:val="2"/>
                  <w:vAlign w:val="center"/>
                </w:tcPr>
                <w:p w14:paraId="470CA96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74DD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610" w:type="dxa"/>
                  <w:gridSpan w:val="3"/>
                  <w:vAlign w:val="center"/>
                </w:tcPr>
                <w:p w14:paraId="7DD53C3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1733" w:type="dxa"/>
                  <w:vAlign w:val="center"/>
                </w:tcPr>
                <w:p w14:paraId="7DB7DB2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0.0003</w:t>
                  </w:r>
                </w:p>
              </w:tc>
              <w:tc>
                <w:tcPr>
                  <w:tcW w:w="1276" w:type="dxa"/>
                  <w:gridSpan w:val="2"/>
                  <w:vAlign w:val="center"/>
                </w:tcPr>
                <w:p w14:paraId="289B8B0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0.0023</w:t>
                  </w:r>
                </w:p>
              </w:tc>
              <w:tc>
                <w:tcPr>
                  <w:tcW w:w="1391" w:type="dxa"/>
                  <w:vAlign w:val="center"/>
                </w:tcPr>
                <w:p w14:paraId="40B7D19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0.0003</w:t>
                  </w:r>
                </w:p>
              </w:tc>
              <w:tc>
                <w:tcPr>
                  <w:tcW w:w="1452" w:type="dxa"/>
                  <w:gridSpan w:val="2"/>
                  <w:vAlign w:val="center"/>
                </w:tcPr>
                <w:p w14:paraId="410FD1C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0.0023</w:t>
                  </w:r>
                </w:p>
              </w:tc>
            </w:tr>
            <w:tr w14:paraId="30AF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2463856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1733" w:type="dxa"/>
                  <w:vAlign w:val="center"/>
                </w:tcPr>
                <w:p w14:paraId="7A0F111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0.0017</w:t>
                  </w:r>
                </w:p>
              </w:tc>
              <w:tc>
                <w:tcPr>
                  <w:tcW w:w="1276" w:type="dxa"/>
                  <w:gridSpan w:val="2"/>
                  <w:vAlign w:val="center"/>
                </w:tcPr>
                <w:p w14:paraId="74AB577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0.0152</w:t>
                  </w:r>
                </w:p>
              </w:tc>
              <w:tc>
                <w:tcPr>
                  <w:tcW w:w="1391" w:type="dxa"/>
                  <w:vAlign w:val="center"/>
                </w:tcPr>
                <w:p w14:paraId="4524DF6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0.0017</w:t>
                  </w:r>
                </w:p>
              </w:tc>
              <w:tc>
                <w:tcPr>
                  <w:tcW w:w="1452" w:type="dxa"/>
                  <w:gridSpan w:val="2"/>
                  <w:vAlign w:val="center"/>
                </w:tcPr>
                <w:p w14:paraId="5C56A2F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eastAsia" w:cs="Times New Roman"/>
                      <w:b w:val="0"/>
                      <w:bCs/>
                      <w:color w:val="auto"/>
                      <w:spacing w:val="-10"/>
                      <w:sz w:val="21"/>
                      <w:szCs w:val="21"/>
                      <w:highlight w:val="none"/>
                      <w:vertAlign w:val="baseline"/>
                      <w:lang w:val="en-US" w:eastAsia="zh-CN"/>
                    </w:rPr>
                    <w:t>0.0152</w:t>
                  </w:r>
                </w:p>
              </w:tc>
            </w:tr>
            <w:tr w14:paraId="6F58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restart"/>
                  <w:vAlign w:val="center"/>
                </w:tcPr>
                <w:p w14:paraId="4C8C057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974" w:type="dxa"/>
                  <w:gridSpan w:val="2"/>
                  <w:vAlign w:val="center"/>
                </w:tcPr>
                <w:p w14:paraId="0C0FA89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1733" w:type="dxa"/>
                  <w:vAlign w:val="center"/>
                </w:tcPr>
                <w:p w14:paraId="36724E2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16</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276" w:type="dxa"/>
                  <w:gridSpan w:val="2"/>
                  <w:vAlign w:val="center"/>
                </w:tcPr>
                <w:p w14:paraId="4F0FEDA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768799F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16</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452" w:type="dxa"/>
                  <w:gridSpan w:val="2"/>
                  <w:vAlign w:val="center"/>
                </w:tcPr>
                <w:p w14:paraId="71FC97E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4471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79AF3D1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1ECC0DC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1733" w:type="dxa"/>
                  <w:vAlign w:val="center"/>
                </w:tcPr>
                <w:p w14:paraId="60A8003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30</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276" w:type="dxa"/>
                  <w:gridSpan w:val="2"/>
                  <w:vAlign w:val="center"/>
                </w:tcPr>
                <w:p w14:paraId="26700C7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52D3CDA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30</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452" w:type="dxa"/>
                  <w:gridSpan w:val="2"/>
                  <w:vAlign w:val="center"/>
                </w:tcPr>
                <w:p w14:paraId="3FF2083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56C2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79519A7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6BBF2CB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1733" w:type="dxa"/>
                  <w:vAlign w:val="center"/>
                </w:tcPr>
                <w:p w14:paraId="70CF6A4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1276" w:type="dxa"/>
                  <w:gridSpan w:val="2"/>
                  <w:vAlign w:val="center"/>
                </w:tcPr>
                <w:p w14:paraId="7857284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3ABDF5F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1452" w:type="dxa"/>
                  <w:gridSpan w:val="2"/>
                  <w:vAlign w:val="center"/>
                </w:tcPr>
                <w:p w14:paraId="19C28D8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77BE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7582F85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68FF2BE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1733" w:type="dxa"/>
                  <w:vAlign w:val="center"/>
                </w:tcPr>
                <w:p w14:paraId="08637D7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w:t>
                  </w:r>
                  <w:r>
                    <w:rPr>
                      <w:rFonts w:hint="eastAsia" w:cs="Times New Roman"/>
                      <w:b w:val="0"/>
                      <w:bCs/>
                      <w:color w:val="auto"/>
                      <w:spacing w:val="-10"/>
                      <w:sz w:val="21"/>
                      <w:szCs w:val="21"/>
                      <w:highlight w:val="none"/>
                      <w:vertAlign w:val="baseline"/>
                      <w:lang w:val="en-US" w:eastAsia="zh-CN"/>
                    </w:rPr>
                    <w:t>17</w:t>
                  </w:r>
                </w:p>
              </w:tc>
              <w:tc>
                <w:tcPr>
                  <w:tcW w:w="1276" w:type="dxa"/>
                  <w:gridSpan w:val="2"/>
                  <w:vAlign w:val="center"/>
                </w:tcPr>
                <w:p w14:paraId="6E77C07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39A524E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w:t>
                  </w:r>
                  <w:r>
                    <w:rPr>
                      <w:rFonts w:hint="eastAsia" w:cs="Times New Roman"/>
                      <w:b w:val="0"/>
                      <w:bCs/>
                      <w:color w:val="auto"/>
                      <w:spacing w:val="-10"/>
                      <w:sz w:val="21"/>
                      <w:szCs w:val="21"/>
                      <w:highlight w:val="none"/>
                      <w:vertAlign w:val="baseline"/>
                      <w:lang w:val="en-US" w:eastAsia="zh-CN"/>
                    </w:rPr>
                    <w:t>18</w:t>
                  </w:r>
                </w:p>
              </w:tc>
              <w:tc>
                <w:tcPr>
                  <w:tcW w:w="1452" w:type="dxa"/>
                  <w:gridSpan w:val="2"/>
                  <w:vAlign w:val="center"/>
                </w:tcPr>
                <w:p w14:paraId="0B64367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3560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3FD9368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20DCBED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1733" w:type="dxa"/>
                  <w:vAlign w:val="center"/>
                </w:tcPr>
                <w:p w14:paraId="1323409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276" w:type="dxa"/>
                  <w:gridSpan w:val="2"/>
                  <w:vAlign w:val="center"/>
                </w:tcPr>
                <w:p w14:paraId="09440B4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1391" w:type="dxa"/>
                  <w:vAlign w:val="center"/>
                </w:tcPr>
                <w:p w14:paraId="0BD087D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452" w:type="dxa"/>
                  <w:gridSpan w:val="2"/>
                  <w:vAlign w:val="center"/>
                </w:tcPr>
                <w:p w14:paraId="7DB31CD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1040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5065209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974" w:type="dxa"/>
                  <w:gridSpan w:val="2"/>
                  <w:vAlign w:val="center"/>
                </w:tcPr>
                <w:p w14:paraId="45B958D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3009" w:type="dxa"/>
                  <w:gridSpan w:val="3"/>
                  <w:vAlign w:val="center"/>
                </w:tcPr>
                <w:p w14:paraId="46F5DAB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DA017：</w:t>
                  </w:r>
                  <w:r>
                    <w:rPr>
                      <w:rFonts w:hint="default" w:ascii="Times New Roman" w:hAnsi="Times New Roman" w:eastAsia="宋体" w:cs="Times New Roman"/>
                      <w:b w:val="0"/>
                      <w:bCs/>
                      <w:color w:val="auto"/>
                      <w:spacing w:val="-10"/>
                      <w:sz w:val="21"/>
                      <w:szCs w:val="21"/>
                      <w:highlight w:val="none"/>
                      <w:vertAlign w:val="baseline"/>
                      <w:lang w:val="en-US" w:eastAsia="zh-CN"/>
                    </w:rPr>
                    <w:t>E：103°11′4</w:t>
                  </w:r>
                  <w:r>
                    <w:rPr>
                      <w:rFonts w:hint="eastAsia" w:cs="Times New Roman"/>
                      <w:b w:val="0"/>
                      <w:bCs/>
                      <w:color w:val="auto"/>
                      <w:spacing w:val="-10"/>
                      <w:sz w:val="21"/>
                      <w:szCs w:val="21"/>
                      <w:highlight w:val="none"/>
                      <w:vertAlign w:val="baseline"/>
                      <w:lang w:val="en-US" w:eastAsia="zh-CN"/>
                    </w:rPr>
                    <w:t>2.167</w:t>
                  </w:r>
                  <w:r>
                    <w:rPr>
                      <w:rFonts w:hint="default" w:ascii="Times New Roman" w:hAnsi="Times New Roman" w:eastAsia="宋体" w:cs="Times New Roman"/>
                      <w:b w:val="0"/>
                      <w:bCs/>
                      <w:color w:val="auto"/>
                      <w:spacing w:val="-10"/>
                      <w:sz w:val="21"/>
                      <w:szCs w:val="21"/>
                      <w:highlight w:val="none"/>
                      <w:vertAlign w:val="baseline"/>
                      <w:lang w:val="en-US" w:eastAsia="zh-CN"/>
                    </w:rPr>
                    <w:t>″，N：25°33′</w:t>
                  </w:r>
                  <w:r>
                    <w:rPr>
                      <w:rFonts w:hint="eastAsia" w:cs="Times New Roman"/>
                      <w:b w:val="0"/>
                      <w:bCs/>
                      <w:color w:val="auto"/>
                      <w:spacing w:val="-10"/>
                      <w:sz w:val="21"/>
                      <w:szCs w:val="21"/>
                      <w:highlight w:val="none"/>
                      <w:vertAlign w:val="baseline"/>
                      <w:lang w:val="en-US" w:eastAsia="zh-CN"/>
                    </w:rPr>
                    <w:t>38.150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843" w:type="dxa"/>
                  <w:gridSpan w:val="3"/>
                  <w:vAlign w:val="center"/>
                </w:tcPr>
                <w:p w14:paraId="7D1072B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DA018：</w:t>
                  </w:r>
                  <w:r>
                    <w:rPr>
                      <w:rFonts w:hint="default" w:ascii="Times New Roman" w:hAnsi="Times New Roman" w:eastAsia="宋体" w:cs="Times New Roman"/>
                      <w:b w:val="0"/>
                      <w:bCs/>
                      <w:color w:val="auto"/>
                      <w:spacing w:val="-10"/>
                      <w:sz w:val="21"/>
                      <w:szCs w:val="21"/>
                      <w:highlight w:val="none"/>
                      <w:vertAlign w:val="baseline"/>
                      <w:lang w:val="en-US" w:eastAsia="zh-CN"/>
                    </w:rPr>
                    <w:t>E：103°11′4</w:t>
                  </w:r>
                  <w:r>
                    <w:rPr>
                      <w:rFonts w:hint="eastAsia" w:cs="Times New Roman"/>
                      <w:b w:val="0"/>
                      <w:bCs/>
                      <w:color w:val="auto"/>
                      <w:spacing w:val="-10"/>
                      <w:sz w:val="21"/>
                      <w:szCs w:val="21"/>
                      <w:highlight w:val="none"/>
                      <w:vertAlign w:val="baseline"/>
                      <w:lang w:val="en-US" w:eastAsia="zh-CN"/>
                    </w:rPr>
                    <w:t>3.326</w:t>
                  </w:r>
                  <w:r>
                    <w:rPr>
                      <w:rFonts w:hint="default" w:ascii="Times New Roman" w:hAnsi="Times New Roman" w:eastAsia="宋体" w:cs="Times New Roman"/>
                      <w:b w:val="0"/>
                      <w:bCs/>
                      <w:color w:val="auto"/>
                      <w:spacing w:val="-10"/>
                      <w:sz w:val="21"/>
                      <w:szCs w:val="21"/>
                      <w:highlight w:val="none"/>
                      <w:vertAlign w:val="baseline"/>
                      <w:lang w:val="en-US" w:eastAsia="zh-CN"/>
                    </w:rPr>
                    <w:t>″，N：25°33′3</w:t>
                  </w:r>
                  <w:r>
                    <w:rPr>
                      <w:rFonts w:hint="eastAsia" w:cs="Times New Roman"/>
                      <w:b w:val="0"/>
                      <w:bCs/>
                      <w:color w:val="auto"/>
                      <w:spacing w:val="-10"/>
                      <w:sz w:val="21"/>
                      <w:szCs w:val="21"/>
                      <w:highlight w:val="none"/>
                      <w:vertAlign w:val="baseline"/>
                      <w:lang w:val="en-US" w:eastAsia="zh-CN"/>
                    </w:rPr>
                    <w:t>7.976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5A5D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3"/>
                  <w:vAlign w:val="center"/>
                </w:tcPr>
                <w:p w14:paraId="15E53E2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5852" w:type="dxa"/>
                  <w:gridSpan w:val="6"/>
                  <w:vAlign w:val="center"/>
                </w:tcPr>
                <w:p w14:paraId="3B2B282F">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shd w:val="clear" w:color="auto" w:fill="auto"/>
                      <w:lang w:val="zh-CN" w:eastAsia="zh-CN"/>
                    </w:rPr>
                    <w:t>执行</w:t>
                  </w:r>
                  <w:r>
                    <w:rPr>
                      <w:rFonts w:hint="default" w:ascii="Times New Roman" w:hAnsi="Times New Roman" w:cs="Times New Roman"/>
                      <w:color w:val="auto"/>
                      <w:sz w:val="21"/>
                      <w:szCs w:val="21"/>
                      <w:shd w:val="clear" w:color="auto" w:fill="auto"/>
                      <w:lang w:val="zh-CN" w:eastAsia="zh-CN"/>
                    </w:rPr>
                    <w:t>《大气污染物综合排放标准》（GB16297-1996）表2中二级标准</w:t>
                  </w:r>
                  <w:r>
                    <w:rPr>
                      <w:color w:val="auto"/>
                      <w:sz w:val="21"/>
                      <w:szCs w:val="21"/>
                    </w:rPr>
                    <w:t>要求</w:t>
                  </w:r>
                  <w:r>
                    <w:rPr>
                      <w:rFonts w:hint="eastAsia"/>
                      <w:color w:val="auto"/>
                      <w:sz w:val="21"/>
                      <w:szCs w:val="21"/>
                      <w:lang w:eastAsia="zh-CN"/>
                    </w:rPr>
                    <w:t>。</w:t>
                  </w:r>
                </w:p>
              </w:tc>
            </w:tr>
            <w:tr w14:paraId="068F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gridSpan w:val="2"/>
                  <w:vMerge w:val="restart"/>
                  <w:vAlign w:val="center"/>
                </w:tcPr>
                <w:p w14:paraId="27AA166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720" w:type="dxa"/>
                  <w:vAlign w:val="center"/>
                </w:tcPr>
                <w:p w14:paraId="3F284A5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1824" w:type="dxa"/>
                  <w:gridSpan w:val="2"/>
                  <w:vAlign w:val="center"/>
                </w:tcPr>
                <w:p w14:paraId="75C8BB0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w:t>
                  </w:r>
                  <w:r>
                    <w:rPr>
                      <w:rFonts w:hint="eastAsia" w:cs="Times New Roman"/>
                      <w:b w:val="0"/>
                      <w:bCs w:val="0"/>
                      <w:color w:val="auto"/>
                      <w:spacing w:val="-10"/>
                      <w:sz w:val="21"/>
                      <w:szCs w:val="21"/>
                      <w:highlight w:val="none"/>
                      <w:vertAlign w:val="baseline"/>
                      <w:lang w:val="en-US" w:eastAsia="zh-CN"/>
                    </w:rPr>
                    <w:t>17</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c>
                <w:tcPr>
                  <w:tcW w:w="1185" w:type="dxa"/>
                  <w:vAlign w:val="center"/>
                </w:tcPr>
                <w:p w14:paraId="5D12B0A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c>
                <w:tcPr>
                  <w:tcW w:w="1593" w:type="dxa"/>
                  <w:gridSpan w:val="2"/>
                  <w:vAlign w:val="center"/>
                </w:tcPr>
                <w:p w14:paraId="19E38B9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w:t>
                  </w:r>
                  <w:r>
                    <w:rPr>
                      <w:rFonts w:hint="eastAsia" w:cs="Times New Roman"/>
                      <w:b w:val="0"/>
                      <w:bCs w:val="0"/>
                      <w:color w:val="auto"/>
                      <w:spacing w:val="-10"/>
                      <w:sz w:val="21"/>
                      <w:szCs w:val="21"/>
                      <w:highlight w:val="none"/>
                      <w:vertAlign w:val="baseline"/>
                      <w:lang w:val="en-US" w:eastAsia="zh-CN"/>
                    </w:rPr>
                    <w:t>18</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c>
                <w:tcPr>
                  <w:tcW w:w="1250" w:type="dxa"/>
                  <w:vAlign w:val="center"/>
                </w:tcPr>
                <w:p w14:paraId="523380F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r>
            <w:tr w14:paraId="29EF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gridSpan w:val="2"/>
                  <w:vMerge w:val="continue"/>
                  <w:vAlign w:val="center"/>
                </w:tcPr>
                <w:p w14:paraId="1D50F4F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20" w:type="dxa"/>
                  <w:vAlign w:val="center"/>
                </w:tcPr>
                <w:p w14:paraId="7FEABCD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3009" w:type="dxa"/>
                  <w:gridSpan w:val="3"/>
                  <w:vAlign w:val="center"/>
                </w:tcPr>
                <w:p w14:paraId="36DA7B1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c>
                <w:tcPr>
                  <w:tcW w:w="2843" w:type="dxa"/>
                  <w:gridSpan w:val="3"/>
                  <w:vAlign w:val="center"/>
                </w:tcPr>
                <w:p w14:paraId="0354D42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r>
            <w:tr w14:paraId="6058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gridSpan w:val="2"/>
                  <w:vMerge w:val="continue"/>
                  <w:vAlign w:val="center"/>
                </w:tcPr>
                <w:p w14:paraId="5F9495F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20" w:type="dxa"/>
                  <w:vAlign w:val="center"/>
                </w:tcPr>
                <w:p w14:paraId="40972EA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1824" w:type="dxa"/>
                  <w:gridSpan w:val="2"/>
                  <w:vAlign w:val="center"/>
                </w:tcPr>
                <w:p w14:paraId="37BF341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c>
                <w:tcPr>
                  <w:tcW w:w="1185" w:type="dxa"/>
                  <w:vAlign w:val="center"/>
                </w:tcPr>
                <w:p w14:paraId="18689B2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c>
                <w:tcPr>
                  <w:tcW w:w="1593" w:type="dxa"/>
                  <w:gridSpan w:val="2"/>
                  <w:vAlign w:val="center"/>
                </w:tcPr>
                <w:p w14:paraId="1106417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c>
                <w:tcPr>
                  <w:tcW w:w="1250" w:type="dxa"/>
                  <w:vAlign w:val="center"/>
                </w:tcPr>
                <w:p w14:paraId="559A1E4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r>
          </w:tbl>
          <w:p w14:paraId="271D2895">
            <w:pPr>
              <w:keepNext w:val="0"/>
              <w:keepLines w:val="0"/>
              <w:pageBreakBefore w:val="0"/>
              <w:widowControl w:val="0"/>
              <w:kinsoku/>
              <w:wordWrap/>
              <w:overflowPunct/>
              <w:topLinePunct w:val="0"/>
              <w:autoSpaceDE/>
              <w:autoSpaceDN/>
              <w:bidi w:val="0"/>
              <w:adjustRightInd/>
              <w:snapToGrid/>
              <w:spacing w:line="348" w:lineRule="auto"/>
              <w:ind w:firstLine="506" w:firstLineChars="200"/>
              <w:textAlignment w:val="auto"/>
              <w:outlineLvl w:val="9"/>
              <w:rPr>
                <w:rFonts w:hint="default" w:ascii="Times New Roman" w:hAnsi="Times New Roman" w:eastAsia="宋体" w:cs="Times New Roman"/>
                <w:b/>
                <w:bCs/>
                <w:color w:val="auto"/>
                <w:spacing w:val="6"/>
                <w:kern w:val="2"/>
                <w:sz w:val="24"/>
                <w:szCs w:val="24"/>
                <w:highlight w:val="none"/>
                <w:lang w:val="en-US" w:eastAsia="zh-CN" w:bidi="ar-SA"/>
              </w:rPr>
            </w:pPr>
            <w:r>
              <w:rPr>
                <w:rFonts w:hint="eastAsia" w:cs="Times New Roman"/>
                <w:b/>
                <w:bCs/>
                <w:color w:val="auto"/>
                <w:spacing w:val="6"/>
                <w:kern w:val="2"/>
                <w:sz w:val="24"/>
                <w:szCs w:val="24"/>
                <w:highlight w:val="none"/>
                <w:lang w:val="en-US" w:eastAsia="zh-CN" w:bidi="ar-SA"/>
              </w:rPr>
              <w:t>⑪成品堆场扬尘</w:t>
            </w:r>
          </w:p>
          <w:p w14:paraId="1A132DA7">
            <w:pPr>
              <w:pStyle w:val="11"/>
              <w:keepNext w:val="0"/>
              <w:keepLines w:val="0"/>
              <w:pageBreakBefore w:val="0"/>
              <w:kinsoku/>
              <w:wordWrap/>
              <w:overflowPunct/>
              <w:topLinePunct w:val="0"/>
              <w:autoSpaceDE/>
              <w:autoSpaceDN/>
              <w:bidi w:val="0"/>
              <w:spacing w:after="0" w:line="360" w:lineRule="auto"/>
              <w:ind w:left="0" w:right="0" w:firstLine="46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5"/>
                <w:sz w:val="24"/>
                <w:szCs w:val="24"/>
                <w:highlight w:val="none"/>
              </w:rPr>
              <w:t>本项目</w:t>
            </w:r>
            <w:r>
              <w:rPr>
                <w:rFonts w:hint="default" w:ascii="Times New Roman" w:hAnsi="Times New Roman" w:eastAsia="宋体" w:cs="Times New Roman"/>
                <w:color w:val="auto"/>
                <w:spacing w:val="-5"/>
                <w:sz w:val="24"/>
                <w:szCs w:val="24"/>
                <w:highlight w:val="none"/>
                <w:lang w:val="en-US" w:eastAsia="zh-CN"/>
              </w:rPr>
              <w:t>成品</w:t>
            </w:r>
            <w:r>
              <w:rPr>
                <w:rFonts w:hint="eastAsia" w:ascii="Times New Roman" w:hAnsi="Times New Roman" w:cs="Times New Roman"/>
                <w:color w:val="auto"/>
                <w:spacing w:val="-5"/>
                <w:sz w:val="24"/>
                <w:szCs w:val="24"/>
                <w:highlight w:val="none"/>
                <w:lang w:val="en-US" w:eastAsia="zh-CN"/>
              </w:rPr>
              <w:t>煤</w:t>
            </w:r>
            <w:r>
              <w:rPr>
                <w:rFonts w:hint="default" w:ascii="Times New Roman" w:hAnsi="Times New Roman" w:eastAsia="宋体" w:cs="Times New Roman"/>
                <w:color w:val="auto"/>
                <w:spacing w:val="-5"/>
                <w:sz w:val="24"/>
                <w:szCs w:val="24"/>
                <w:highlight w:val="none"/>
              </w:rPr>
              <w:t>堆放在</w:t>
            </w:r>
            <w:r>
              <w:rPr>
                <w:rFonts w:hint="eastAsia" w:ascii="Times New Roman" w:hAnsi="Times New Roman" w:cs="Times New Roman"/>
                <w:color w:val="auto"/>
                <w:spacing w:val="-5"/>
                <w:sz w:val="24"/>
                <w:szCs w:val="24"/>
                <w:highlight w:val="none"/>
                <w:lang w:val="en-US" w:eastAsia="zh-CN"/>
              </w:rPr>
              <w:t>全封闭厂房</w:t>
            </w:r>
            <w:r>
              <w:rPr>
                <w:rFonts w:hint="default" w:ascii="Times New Roman" w:hAnsi="Times New Roman" w:eastAsia="宋体" w:cs="Times New Roman"/>
                <w:color w:val="auto"/>
                <w:spacing w:val="-5"/>
                <w:sz w:val="24"/>
                <w:szCs w:val="24"/>
                <w:highlight w:val="none"/>
              </w:rPr>
              <w:t>内</w:t>
            </w:r>
            <w:r>
              <w:rPr>
                <w:rFonts w:hint="eastAsia" w:ascii="Times New Roman" w:hAnsi="Times New Roman" w:eastAsia="宋体" w:cs="Times New Roman"/>
                <w:color w:val="auto"/>
                <w:spacing w:val="-5"/>
                <w:sz w:val="24"/>
                <w:szCs w:val="24"/>
                <w:highlight w:val="none"/>
                <w:lang w:val="en-US" w:eastAsia="zh-CN"/>
              </w:rPr>
              <w:t>，</w:t>
            </w:r>
            <w:r>
              <w:rPr>
                <w:rFonts w:hint="default" w:ascii="Times New Roman" w:hAnsi="Times New Roman" w:eastAsia="宋体" w:cs="Times New Roman"/>
                <w:color w:val="auto"/>
                <w:spacing w:val="-3"/>
                <w:sz w:val="24"/>
                <w:szCs w:val="24"/>
                <w:highlight w:val="none"/>
              </w:rPr>
              <w:t>本项目</w:t>
            </w:r>
            <w:r>
              <w:rPr>
                <w:rFonts w:hint="default" w:ascii="Times New Roman" w:hAnsi="Times New Roman" w:eastAsia="宋体" w:cs="Times New Roman"/>
                <w:color w:val="auto"/>
                <w:spacing w:val="-3"/>
                <w:sz w:val="24"/>
                <w:szCs w:val="24"/>
                <w:highlight w:val="none"/>
                <w:lang w:val="en-US" w:eastAsia="zh-CN"/>
              </w:rPr>
              <w:t>成品</w:t>
            </w:r>
            <w:r>
              <w:rPr>
                <w:rFonts w:hint="eastAsia" w:ascii="Times New Roman" w:hAnsi="Times New Roman" w:cs="Times New Roman"/>
                <w:color w:val="auto"/>
                <w:spacing w:val="-3"/>
                <w:sz w:val="24"/>
                <w:szCs w:val="24"/>
                <w:highlight w:val="none"/>
                <w:lang w:val="en-US" w:eastAsia="zh-CN"/>
              </w:rPr>
              <w:t>煤</w:t>
            </w:r>
            <w:r>
              <w:rPr>
                <w:rFonts w:hint="default" w:ascii="Times New Roman" w:hAnsi="Times New Roman" w:eastAsia="宋体" w:cs="Times New Roman"/>
                <w:color w:val="auto"/>
                <w:spacing w:val="-7"/>
                <w:sz w:val="24"/>
                <w:szCs w:val="24"/>
                <w:highlight w:val="none"/>
              </w:rPr>
              <w:t>含水率</w:t>
            </w:r>
            <w:r>
              <w:rPr>
                <w:rFonts w:hint="default" w:ascii="Times New Roman" w:hAnsi="Times New Roman" w:eastAsia="宋体" w:cs="Times New Roman"/>
                <w:color w:val="auto"/>
                <w:spacing w:val="-7"/>
                <w:sz w:val="24"/>
                <w:szCs w:val="24"/>
                <w:highlight w:val="none"/>
                <w:lang w:val="en-US" w:eastAsia="zh-CN"/>
              </w:rPr>
              <w:t>约</w:t>
            </w:r>
            <w:r>
              <w:rPr>
                <w:rFonts w:hint="default" w:ascii="Times New Roman" w:hAnsi="Times New Roman" w:eastAsia="宋体" w:cs="Times New Roman"/>
                <w:color w:val="auto"/>
                <w:spacing w:val="-7"/>
                <w:sz w:val="24"/>
                <w:szCs w:val="24"/>
                <w:highlight w:val="none"/>
              </w:rPr>
              <w:t>为</w:t>
            </w:r>
            <w:r>
              <w:rPr>
                <w:rFonts w:hint="eastAsia" w:ascii="Times New Roman" w:hAnsi="Times New Roman" w:cs="Times New Roman"/>
                <w:color w:val="auto"/>
                <w:sz w:val="24"/>
                <w:szCs w:val="24"/>
                <w:highlight w:val="none"/>
                <w:lang w:val="en-US" w:eastAsia="zh-CN"/>
              </w:rPr>
              <w:t>25-30</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成品</w:t>
            </w:r>
            <w:r>
              <w:rPr>
                <w:rFonts w:hint="eastAsia" w:ascii="Times New Roman" w:hAnsi="Times New Roman" w:cs="Times New Roman"/>
                <w:color w:val="auto"/>
                <w:sz w:val="24"/>
                <w:szCs w:val="24"/>
                <w:highlight w:val="none"/>
                <w:lang w:val="en-US" w:eastAsia="zh-CN"/>
              </w:rPr>
              <w:t>煤</w:t>
            </w:r>
            <w:r>
              <w:rPr>
                <w:rFonts w:hint="default" w:ascii="Times New Roman" w:hAnsi="Times New Roman" w:eastAsia="宋体" w:cs="Times New Roman"/>
                <w:color w:val="auto"/>
                <w:sz w:val="24"/>
                <w:szCs w:val="24"/>
                <w:highlight w:val="none"/>
                <w:lang w:val="en-US" w:eastAsia="zh-CN"/>
              </w:rPr>
              <w:t>堆存</w:t>
            </w:r>
            <w:r>
              <w:rPr>
                <w:rFonts w:hint="default" w:ascii="Times New Roman" w:hAnsi="Times New Roman" w:eastAsia="宋体" w:cs="Times New Roman"/>
                <w:color w:val="auto"/>
                <w:sz w:val="24"/>
                <w:szCs w:val="24"/>
                <w:highlight w:val="none"/>
              </w:rPr>
              <w:t>的扬尘采用下列经验公式计算：</w:t>
            </w:r>
          </w:p>
          <w:p w14:paraId="1C659BB9">
            <w:pPr>
              <w:keepNext w:val="0"/>
              <w:keepLines w:val="0"/>
              <w:pageBreakBefore w:val="0"/>
              <w:kinsoku/>
              <w:wordWrap/>
              <w:overflowPunct/>
              <w:topLinePunct w:val="0"/>
              <w:autoSpaceDE/>
              <w:autoSpaceDN/>
              <w:bidi w:val="0"/>
              <w:spacing w:line="360" w:lineRule="auto"/>
              <w:ind w:left="0" w:right="0"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Q=0.009U</w:t>
            </w:r>
            <w:r>
              <w:rPr>
                <w:rFonts w:hint="default" w:ascii="Times New Roman" w:hAnsi="Times New Roman" w:eastAsia="宋体" w:cs="Times New Roman"/>
                <w:color w:val="auto"/>
                <w:sz w:val="24"/>
                <w:szCs w:val="24"/>
                <w:highlight w:val="none"/>
                <w:vertAlign w:val="superscript"/>
                <w:lang w:val="en-US" w:eastAsia="zh-CN"/>
              </w:rPr>
              <w:t>4.1</w:t>
            </w:r>
            <w:r>
              <w:rPr>
                <w:rFonts w:hint="default" w:ascii="Times New Roman" w:hAnsi="Times New Roman" w:eastAsia="宋体" w:cs="Times New Roman"/>
                <w:color w:val="auto"/>
                <w:sz w:val="24"/>
                <w:szCs w:val="24"/>
                <w:highlight w:val="none"/>
              </w:rPr>
              <w:t>×e</w:t>
            </w:r>
            <w:r>
              <w:rPr>
                <w:rFonts w:hint="default" w:ascii="Times New Roman" w:hAnsi="Times New Roman" w:eastAsia="宋体" w:cs="Times New Roman"/>
                <w:color w:val="auto"/>
                <w:sz w:val="24"/>
                <w:szCs w:val="24"/>
                <w:highlight w:val="none"/>
                <w:vertAlign w:val="superscript"/>
                <w:lang w:val="en-US" w:eastAsia="zh-CN"/>
              </w:rPr>
              <w:t>-0.55W</w:t>
            </w:r>
            <w:r>
              <w:rPr>
                <w:rFonts w:hint="default" w:ascii="Times New Roman" w:hAnsi="Times New Roman" w:eastAsia="宋体" w:cs="Times New Roman"/>
                <w:color w:val="auto"/>
                <w:sz w:val="24"/>
                <w:szCs w:val="24"/>
                <w:highlight w:val="none"/>
              </w:rPr>
              <w:t>A</w:t>
            </w:r>
          </w:p>
          <w:p w14:paraId="2DE77B9D">
            <w:pPr>
              <w:pStyle w:val="11"/>
              <w:keepNext w:val="0"/>
              <w:keepLines w:val="0"/>
              <w:pageBreakBefore w:val="0"/>
              <w:kinsoku/>
              <w:wordWrap/>
              <w:overflowPunct/>
              <w:topLinePunct w:val="0"/>
              <w:autoSpaceDE/>
              <w:autoSpaceDN/>
              <w:bidi w:val="0"/>
              <w:spacing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式中：Q—起尘量，kg/a；</w:t>
            </w:r>
          </w:p>
          <w:p w14:paraId="258B6100">
            <w:pPr>
              <w:keepNext w:val="0"/>
              <w:keepLines w:val="0"/>
              <w:pageBreakBefore w:val="0"/>
              <w:widowControl w:val="0"/>
              <w:kinsoku/>
              <w:wordWrap/>
              <w:overflowPunct/>
              <w:topLinePunct w:val="0"/>
              <w:autoSpaceDE/>
              <w:autoSpaceDN/>
              <w:bidi w:val="0"/>
              <w:adjustRightInd w:val="0"/>
              <w:snapToGrid w:val="0"/>
              <w:spacing w:line="360" w:lineRule="auto"/>
              <w:ind w:firstLine="1262" w:firstLineChars="526"/>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U—地面平均风速，m/s，</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m/s；</w:t>
            </w:r>
            <w:r>
              <w:rPr>
                <w:rFonts w:hint="eastAsia"/>
                <w:color w:val="auto"/>
                <w:sz w:val="24"/>
              </w:rPr>
              <w:t>（原煤堆场</w:t>
            </w:r>
            <w:r>
              <w:rPr>
                <w:rFonts w:hint="eastAsia"/>
                <w:color w:val="auto"/>
                <w:sz w:val="24"/>
                <w:lang w:eastAsia="zh-CN"/>
              </w:rPr>
              <w:t>全</w:t>
            </w:r>
            <w:r>
              <w:rPr>
                <w:rFonts w:hint="eastAsia"/>
                <w:color w:val="auto"/>
                <w:sz w:val="24"/>
              </w:rPr>
              <w:t>封闭式设置，考虑扰动风速取</w:t>
            </w:r>
            <w:r>
              <w:rPr>
                <w:rFonts w:hint="eastAsia"/>
                <w:color w:val="auto"/>
                <w:sz w:val="24"/>
                <w:lang w:val="en-US" w:eastAsia="zh-CN"/>
              </w:rPr>
              <w:t>1.0</w:t>
            </w:r>
            <w:r>
              <w:rPr>
                <w:color w:val="auto"/>
                <w:sz w:val="24"/>
              </w:rPr>
              <w:t>m/s</w:t>
            </w:r>
            <w:r>
              <w:rPr>
                <w:rFonts w:hint="eastAsia"/>
                <w:color w:val="auto"/>
                <w:sz w:val="24"/>
              </w:rPr>
              <w:t>）</w:t>
            </w:r>
            <w:r>
              <w:rPr>
                <w:rFonts w:hint="default" w:ascii="Times New Roman" w:hAnsi="Times New Roman" w:eastAsia="宋体" w:cs="Times New Roman"/>
                <w:color w:val="auto"/>
                <w:sz w:val="24"/>
                <w:highlight w:val="none"/>
                <w:lang w:val="en-US"/>
              </w:rPr>
              <w:t>；</w:t>
            </w:r>
          </w:p>
          <w:p w14:paraId="244E7127">
            <w:pPr>
              <w:pStyle w:val="11"/>
              <w:keepNext w:val="0"/>
              <w:keepLines w:val="0"/>
              <w:pageBreakBefore w:val="0"/>
              <w:kinsoku/>
              <w:wordWrap/>
              <w:overflowPunct/>
              <w:topLinePunct w:val="0"/>
              <w:autoSpaceDE/>
              <w:autoSpaceDN/>
              <w:bidi w:val="0"/>
              <w:spacing w:after="0" w:line="360" w:lineRule="auto"/>
              <w:ind w:left="0" w:right="0" w:firstLine="960" w:firstLineChars="4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W—含水率，项目</w:t>
            </w:r>
            <w:r>
              <w:rPr>
                <w:rFonts w:hint="default" w:ascii="Times New Roman" w:hAnsi="Times New Roman" w:eastAsia="宋体" w:cs="Times New Roman"/>
                <w:color w:val="auto"/>
                <w:sz w:val="24"/>
                <w:szCs w:val="24"/>
                <w:highlight w:val="none"/>
                <w:lang w:val="en-US" w:eastAsia="zh-CN"/>
              </w:rPr>
              <w:t>成品</w:t>
            </w:r>
            <w:r>
              <w:rPr>
                <w:rFonts w:hint="eastAsia" w:ascii="Times New Roman" w:hAnsi="Times New Roman" w:cs="Times New Roman"/>
                <w:color w:val="auto"/>
                <w:sz w:val="24"/>
                <w:szCs w:val="24"/>
                <w:highlight w:val="none"/>
                <w:lang w:val="en-US" w:eastAsia="zh-CN"/>
              </w:rPr>
              <w:t>煤</w:t>
            </w:r>
            <w:r>
              <w:rPr>
                <w:rFonts w:hint="default" w:ascii="Times New Roman" w:hAnsi="Times New Roman" w:eastAsia="宋体" w:cs="Times New Roman"/>
                <w:color w:val="auto"/>
                <w:sz w:val="24"/>
                <w:szCs w:val="24"/>
                <w:highlight w:val="none"/>
              </w:rPr>
              <w:t>含水率为</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w:t>
            </w:r>
          </w:p>
          <w:p w14:paraId="6075D2BC">
            <w:pPr>
              <w:pStyle w:val="11"/>
              <w:keepNext w:val="0"/>
              <w:keepLines w:val="0"/>
              <w:pageBreakBefore w:val="0"/>
              <w:kinsoku/>
              <w:wordWrap/>
              <w:overflowPunct/>
              <w:topLinePunct w:val="0"/>
              <w:autoSpaceDE/>
              <w:autoSpaceDN/>
              <w:bidi w:val="0"/>
              <w:spacing w:after="0" w:line="360" w:lineRule="auto"/>
              <w:ind w:left="0" w:right="0" w:firstLine="960" w:firstLineChars="4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A—占地面积，m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2537.51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w:t>
            </w:r>
          </w:p>
          <w:p w14:paraId="2CC31478">
            <w:pPr>
              <w:pStyle w:val="14"/>
              <w:keepNext w:val="0"/>
              <w:keepLines w:val="0"/>
              <w:pageBreakBefore w:val="0"/>
              <w:widowControl w:val="0"/>
              <w:kinsoku/>
              <w:wordWrap/>
              <w:overflowPunct/>
              <w:topLinePunct w:val="0"/>
              <w:autoSpaceDE/>
              <w:autoSpaceDN/>
              <w:bidi w:val="0"/>
              <w:spacing w:line="360" w:lineRule="auto"/>
              <w:ind w:left="0" w:right="0" w:firstLine="44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sz w:val="24"/>
                <w:szCs w:val="24"/>
                <w:highlight w:val="none"/>
              </w:rPr>
              <w:t>根据计算，</w:t>
            </w:r>
            <w:r>
              <w:rPr>
                <w:rFonts w:hint="default" w:ascii="Times New Roman" w:hAnsi="Times New Roman" w:eastAsia="宋体" w:cs="Times New Roman"/>
                <w:color w:val="auto"/>
                <w:spacing w:val="-9"/>
                <w:sz w:val="24"/>
                <w:szCs w:val="24"/>
                <w:highlight w:val="none"/>
                <w:lang w:val="en-US" w:eastAsia="zh-CN"/>
              </w:rPr>
              <w:t>成品</w:t>
            </w:r>
            <w:r>
              <w:rPr>
                <w:rFonts w:hint="eastAsia" w:ascii="Times New Roman" w:hAnsi="Times New Roman" w:cs="Times New Roman"/>
                <w:color w:val="auto"/>
                <w:spacing w:val="-9"/>
                <w:sz w:val="24"/>
                <w:szCs w:val="24"/>
                <w:highlight w:val="none"/>
                <w:lang w:val="en-US" w:eastAsia="zh-CN"/>
              </w:rPr>
              <w:t>煤</w:t>
            </w:r>
            <w:r>
              <w:rPr>
                <w:rFonts w:hint="default" w:ascii="Times New Roman" w:hAnsi="Times New Roman" w:eastAsia="宋体" w:cs="Times New Roman"/>
                <w:color w:val="auto"/>
                <w:spacing w:val="-9"/>
                <w:sz w:val="24"/>
                <w:szCs w:val="24"/>
                <w:highlight w:val="none"/>
                <w:lang w:val="en-US" w:eastAsia="zh-CN"/>
              </w:rPr>
              <w:t>堆存</w:t>
            </w:r>
            <w:r>
              <w:rPr>
                <w:rFonts w:hint="default" w:ascii="Times New Roman" w:hAnsi="Times New Roman" w:eastAsia="宋体" w:cs="Times New Roman"/>
                <w:color w:val="auto"/>
                <w:spacing w:val="-9"/>
                <w:sz w:val="24"/>
                <w:szCs w:val="24"/>
                <w:highlight w:val="none"/>
              </w:rPr>
              <w:t>产生的扬尘量</w:t>
            </w:r>
            <w:r>
              <w:rPr>
                <w:rFonts w:hint="default" w:ascii="Times New Roman" w:hAnsi="Times New Roman" w:eastAsia="宋体" w:cs="Times New Roman"/>
                <w:color w:val="auto"/>
                <w:spacing w:val="-9"/>
                <w:sz w:val="24"/>
                <w:szCs w:val="24"/>
                <w:highlight w:val="none"/>
                <w:lang w:val="en-US" w:eastAsia="zh-CN"/>
              </w:rPr>
              <w:t>约</w:t>
            </w:r>
            <w:r>
              <w:rPr>
                <w:rFonts w:hint="default" w:ascii="Times New Roman" w:hAnsi="Times New Roman" w:eastAsia="宋体" w:cs="Times New Roman"/>
                <w:color w:val="auto"/>
                <w:spacing w:val="-9"/>
                <w:sz w:val="24"/>
                <w:szCs w:val="24"/>
                <w:highlight w:val="none"/>
              </w:rPr>
              <w:t>为</w:t>
            </w:r>
            <w:r>
              <w:rPr>
                <w:rFonts w:hint="eastAsia" w:ascii="Times New Roman" w:hAnsi="Times New Roman" w:cs="Times New Roman"/>
                <w:color w:val="auto"/>
                <w:spacing w:val="-9"/>
                <w:sz w:val="24"/>
                <w:szCs w:val="24"/>
                <w:highlight w:val="none"/>
                <w:lang w:val="en-US" w:eastAsia="zh-CN"/>
              </w:rPr>
              <w:t>19.</w:t>
            </w:r>
            <w:r>
              <w:rPr>
                <w:rFonts w:hint="eastAsia" w:cs="Times New Roman"/>
                <w:color w:val="auto"/>
                <w:spacing w:val="-9"/>
                <w:sz w:val="24"/>
                <w:szCs w:val="24"/>
                <w:highlight w:val="none"/>
                <w:lang w:val="en-US" w:eastAsia="zh-CN"/>
              </w:rPr>
              <w:t>3638</w:t>
            </w:r>
            <w:r>
              <w:rPr>
                <w:rFonts w:hint="eastAsia" w:ascii="Times New Roman" w:hAnsi="Times New Roman" w:cs="Times New Roman"/>
                <w:color w:val="auto"/>
                <w:spacing w:val="-9"/>
                <w:sz w:val="24"/>
                <w:szCs w:val="24"/>
                <w:highlight w:val="none"/>
                <w:lang w:val="en-US" w:eastAsia="zh-CN"/>
              </w:rPr>
              <w:t>kg</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pacing w:val="-8"/>
                <w:sz w:val="24"/>
                <w:szCs w:val="24"/>
                <w:highlight w:val="none"/>
              </w:rPr>
              <w:t>。根据设计的要求，</w:t>
            </w:r>
            <w:r>
              <w:rPr>
                <w:rFonts w:hint="eastAsia" w:ascii="Times New Roman" w:hAnsi="Times New Roman" w:eastAsia="宋体" w:cs="Times New Roman"/>
                <w:color w:val="auto"/>
                <w:spacing w:val="-8"/>
                <w:sz w:val="24"/>
                <w:szCs w:val="24"/>
                <w:highlight w:val="none"/>
                <w:lang w:eastAsia="zh-CN"/>
              </w:rPr>
              <w:t>成品煤储存区为全封闭厂房，</w:t>
            </w:r>
            <w:r>
              <w:rPr>
                <w:rFonts w:hint="default" w:ascii="Times New Roman" w:hAnsi="Times New Roman" w:eastAsia="宋体" w:cs="Times New Roman"/>
                <w:color w:val="auto"/>
                <w:spacing w:val="-3"/>
                <w:sz w:val="24"/>
                <w:szCs w:val="24"/>
                <w:highlight w:val="none"/>
              </w:rPr>
              <w:t>其产生</w:t>
            </w:r>
            <w:r>
              <w:rPr>
                <w:rFonts w:hint="default" w:ascii="Times New Roman" w:hAnsi="Times New Roman" w:eastAsia="宋体" w:cs="Times New Roman"/>
                <w:color w:val="auto"/>
                <w:spacing w:val="-5"/>
                <w:sz w:val="24"/>
                <w:szCs w:val="24"/>
                <w:highlight w:val="none"/>
              </w:rPr>
              <w:t>的无组织扬尘</w:t>
            </w:r>
            <w:r>
              <w:rPr>
                <w:rFonts w:hint="eastAsia" w:cs="Times New Roman"/>
                <w:color w:val="auto"/>
                <w:spacing w:val="-5"/>
                <w:sz w:val="24"/>
                <w:szCs w:val="24"/>
                <w:highlight w:val="none"/>
                <w:lang w:eastAsia="zh-CN"/>
              </w:rPr>
              <w:t>均在堆棚内</w:t>
            </w:r>
            <w:r>
              <w:rPr>
                <w:rFonts w:hint="default" w:ascii="Times New Roman" w:hAnsi="Times New Roman" w:eastAsia="宋体" w:cs="Times New Roman"/>
                <w:color w:val="auto"/>
                <w:spacing w:val="-11"/>
                <w:sz w:val="24"/>
                <w:szCs w:val="24"/>
                <w:highlight w:val="none"/>
              </w:rPr>
              <w:t>，</w:t>
            </w:r>
            <w:r>
              <w:rPr>
                <w:rFonts w:hint="eastAsia" w:cs="Times New Roman"/>
                <w:color w:val="auto"/>
                <w:spacing w:val="-11"/>
                <w:sz w:val="24"/>
                <w:szCs w:val="24"/>
                <w:highlight w:val="none"/>
                <w:lang w:eastAsia="zh-CN"/>
              </w:rPr>
              <w:t>仅有少量扬尘在开门时溢出，为</w:t>
            </w:r>
            <w:r>
              <w:rPr>
                <w:rFonts w:hint="eastAsia" w:cs="Times New Roman"/>
                <w:color w:val="auto"/>
                <w:spacing w:val="-11"/>
                <w:sz w:val="24"/>
                <w:szCs w:val="24"/>
                <w:highlight w:val="none"/>
                <w:lang w:val="en-US" w:eastAsia="zh-CN"/>
              </w:rPr>
              <w:t>10%，</w:t>
            </w:r>
            <w:r>
              <w:rPr>
                <w:rFonts w:hint="eastAsia" w:cs="Times New Roman"/>
                <w:color w:val="auto"/>
                <w:spacing w:val="-11"/>
                <w:sz w:val="24"/>
                <w:szCs w:val="24"/>
                <w:highlight w:val="none"/>
                <w:lang w:eastAsia="zh-CN"/>
              </w:rPr>
              <w:t>则成品煤</w:t>
            </w:r>
            <w:r>
              <w:rPr>
                <w:rFonts w:hint="default" w:ascii="Times New Roman" w:hAnsi="Times New Roman" w:eastAsia="宋体" w:cs="Times New Roman"/>
                <w:color w:val="auto"/>
                <w:spacing w:val="-4"/>
                <w:sz w:val="24"/>
                <w:szCs w:val="24"/>
                <w:highlight w:val="none"/>
                <w:lang w:val="en-US" w:eastAsia="zh-CN"/>
              </w:rPr>
              <w:t>堆存过程</w:t>
            </w:r>
            <w:r>
              <w:rPr>
                <w:rFonts w:hint="default" w:ascii="Times New Roman" w:hAnsi="Times New Roman" w:eastAsia="宋体" w:cs="Times New Roman"/>
                <w:color w:val="auto"/>
                <w:spacing w:val="-4"/>
                <w:sz w:val="24"/>
                <w:szCs w:val="24"/>
                <w:highlight w:val="none"/>
              </w:rPr>
              <w:t>无组织扬尘的排放量为</w:t>
            </w:r>
            <w:r>
              <w:rPr>
                <w:rFonts w:hint="eastAsia" w:cs="Times New Roman"/>
                <w:color w:val="auto"/>
                <w:spacing w:val="-4"/>
                <w:sz w:val="24"/>
                <w:szCs w:val="24"/>
                <w:highlight w:val="none"/>
                <w:lang w:val="en-US" w:eastAsia="zh-CN"/>
              </w:rPr>
              <w:t>1.9364</w:t>
            </w:r>
            <w:r>
              <w:rPr>
                <w:rFonts w:hint="eastAsia"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rPr>
              <w:t>/a。</w:t>
            </w:r>
          </w:p>
          <w:p w14:paraId="06D97CB8">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采取所述措施后储煤场煤(粉)尘排入外环境的</w:t>
            </w:r>
            <w:r>
              <w:rPr>
                <w:rFonts w:hint="eastAsia" w:cs="Times New Roman"/>
                <w:color w:val="auto"/>
                <w:sz w:val="24"/>
                <w:szCs w:val="24"/>
                <w:highlight w:val="none"/>
                <w:lang w:eastAsia="zh-CN"/>
              </w:rPr>
              <w:t>浓度</w:t>
            </w:r>
            <w:r>
              <w:rPr>
                <w:color w:val="auto"/>
                <w:sz w:val="24"/>
              </w:rPr>
              <w:t>满足</w:t>
            </w:r>
            <w:r>
              <w:rPr>
                <w:rFonts w:hint="default" w:ascii="Times New Roman" w:hAnsi="Times New Roman" w:cs="Times New Roman"/>
                <w:color w:val="auto"/>
                <w:sz w:val="24"/>
                <w:szCs w:val="24"/>
                <w:shd w:val="clear" w:color="auto" w:fill="auto"/>
                <w:lang w:val="zh-CN" w:eastAsia="zh-CN"/>
              </w:rPr>
              <w:t>《大气污染物综合排放标准》（GB16297-1996）表2中二级标准</w:t>
            </w:r>
            <w:r>
              <w:rPr>
                <w:color w:val="auto"/>
                <w:sz w:val="24"/>
              </w:rPr>
              <w:t>要求（</w:t>
            </w:r>
            <w:r>
              <w:rPr>
                <w:rFonts w:hint="eastAsia"/>
                <w:color w:val="auto"/>
                <w:sz w:val="24"/>
              </w:rPr>
              <w:t>颗粒物</w:t>
            </w:r>
            <w:r>
              <w:rPr>
                <w:color w:val="auto"/>
                <w:sz w:val="24"/>
              </w:rPr>
              <w:t>≤</w:t>
            </w:r>
            <w:r>
              <w:rPr>
                <w:rFonts w:hint="eastAsia"/>
                <w:color w:val="auto"/>
                <w:sz w:val="24"/>
                <w:lang w:val="en-US" w:eastAsia="zh-CN"/>
              </w:rPr>
              <w:t>1.0</w:t>
            </w:r>
            <w:r>
              <w:rPr>
                <w:color w:val="auto"/>
                <w:sz w:val="24"/>
              </w:rPr>
              <w:t>mg/m</w:t>
            </w:r>
            <w:r>
              <w:rPr>
                <w:color w:val="auto"/>
                <w:sz w:val="24"/>
                <w:vertAlign w:val="superscript"/>
              </w:rPr>
              <w:t>3</w:t>
            </w:r>
            <w:r>
              <w:rPr>
                <w:color w:val="auto"/>
                <w:sz w:val="24"/>
              </w:rPr>
              <w:t>）。</w:t>
            </w:r>
            <w:r>
              <w:rPr>
                <w:rFonts w:hint="default" w:ascii="Times New Roman" w:hAnsi="Times New Roman" w:eastAsia="宋体" w:cs="Times New Roman"/>
                <w:color w:val="auto"/>
                <w:sz w:val="24"/>
                <w:szCs w:val="24"/>
                <w:highlight w:val="none"/>
              </w:rPr>
              <w:t>煤尘影响局限在</w:t>
            </w:r>
            <w:r>
              <w:rPr>
                <w:rFonts w:hint="eastAsia" w:ascii="Times New Roman" w:hAnsi="Times New Roman" w:eastAsia="宋体" w:cs="Times New Roman"/>
                <w:color w:val="auto"/>
                <w:sz w:val="24"/>
                <w:szCs w:val="24"/>
                <w:highlight w:val="none"/>
                <w:lang w:eastAsia="zh-CN"/>
              </w:rPr>
              <w:t>原煤堆场</w:t>
            </w:r>
            <w:r>
              <w:rPr>
                <w:rFonts w:hint="default" w:ascii="Times New Roman" w:hAnsi="Times New Roman" w:eastAsia="宋体" w:cs="Times New Roman"/>
                <w:color w:val="auto"/>
                <w:sz w:val="24"/>
                <w:szCs w:val="24"/>
                <w:highlight w:val="none"/>
                <w:lang w:eastAsia="zh-CN"/>
              </w:rPr>
              <w:t>内</w:t>
            </w:r>
            <w:r>
              <w:rPr>
                <w:rFonts w:hint="default" w:ascii="Times New Roman" w:hAnsi="Times New Roman" w:eastAsia="宋体" w:cs="Times New Roman"/>
                <w:color w:val="auto"/>
                <w:sz w:val="24"/>
                <w:szCs w:val="24"/>
                <w:highlight w:val="none"/>
              </w:rPr>
              <w:t>，对外环境影响小。</w:t>
            </w:r>
          </w:p>
          <w:p w14:paraId="66CFA260">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w:t>
            </w:r>
            <w:r>
              <w:rPr>
                <w:rFonts w:hint="eastAsia" w:ascii="Times New Roman" w:hAnsi="Times New Roman"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 xml:space="preserve">  项目运营期</w:t>
            </w:r>
            <w:r>
              <w:rPr>
                <w:rFonts w:hint="eastAsia" w:ascii="Times New Roman" w:hAnsi="Times New Roman" w:cs="Times New Roman"/>
                <w:b/>
                <w:bCs/>
                <w:color w:val="auto"/>
                <w:sz w:val="21"/>
                <w:szCs w:val="21"/>
                <w:highlight w:val="none"/>
                <w:lang w:val="en-US" w:eastAsia="zh-CN"/>
              </w:rPr>
              <w:t>成品</w:t>
            </w:r>
            <w:r>
              <w:rPr>
                <w:rFonts w:hint="eastAsia" w:ascii="Times New Roman" w:hAnsi="Times New Roman" w:eastAsia="宋体" w:cs="Times New Roman"/>
                <w:b/>
                <w:bCs/>
                <w:color w:val="auto"/>
                <w:sz w:val="21"/>
                <w:szCs w:val="21"/>
                <w:highlight w:val="none"/>
                <w:lang w:val="en-US" w:eastAsia="zh-CN"/>
              </w:rPr>
              <w:t>堆场扬尘废气</w:t>
            </w:r>
            <w:r>
              <w:rPr>
                <w:rFonts w:hint="default" w:ascii="Times New Roman" w:hAnsi="Times New Roman" w:eastAsia="宋体" w:cs="Times New Roman"/>
                <w:b/>
                <w:bCs/>
                <w:color w:val="auto"/>
                <w:sz w:val="21"/>
                <w:szCs w:val="21"/>
                <w:highlight w:val="none"/>
                <w:lang w:val="en-US" w:eastAsia="zh-CN"/>
              </w:rPr>
              <w:t>排放源一览表</w:t>
            </w:r>
          </w:p>
          <w:tbl>
            <w:tblPr>
              <w:tblStyle w:val="28"/>
              <w:tblW w:w="8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415"/>
              <w:gridCol w:w="2790"/>
              <w:gridCol w:w="4233"/>
            </w:tblGrid>
            <w:tr w14:paraId="0A4F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0" w:type="dxa"/>
                  <w:gridSpan w:val="3"/>
                  <w:vAlign w:val="center"/>
                </w:tcPr>
                <w:p w14:paraId="7D38922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4233" w:type="dxa"/>
                  <w:vAlign w:val="center"/>
                </w:tcPr>
                <w:p w14:paraId="0846880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b w:val="0"/>
                      <w:bCs w:val="0"/>
                      <w:color w:val="auto"/>
                      <w:sz w:val="21"/>
                      <w:szCs w:val="21"/>
                      <w:highlight w:val="none"/>
                      <w:lang w:val="en-US" w:eastAsia="zh-CN"/>
                    </w:rPr>
                    <w:t>成品</w:t>
                  </w:r>
                  <w:r>
                    <w:rPr>
                      <w:rFonts w:hint="eastAsia" w:ascii="Times New Roman" w:hAnsi="Times New Roman" w:eastAsia="宋体" w:cs="Times New Roman"/>
                      <w:b w:val="0"/>
                      <w:bCs w:val="0"/>
                      <w:color w:val="auto"/>
                      <w:sz w:val="21"/>
                      <w:szCs w:val="21"/>
                      <w:highlight w:val="none"/>
                      <w:lang w:val="en-US" w:eastAsia="zh-CN"/>
                    </w:rPr>
                    <w:t>堆场扬尘</w:t>
                  </w:r>
                  <w:r>
                    <w:rPr>
                      <w:rFonts w:hint="eastAsia" w:cs="Times New Roman"/>
                      <w:b w:val="0"/>
                      <w:bCs w:val="0"/>
                      <w:color w:val="auto"/>
                      <w:sz w:val="21"/>
                      <w:szCs w:val="21"/>
                      <w:highlight w:val="none"/>
                      <w:lang w:val="en-US" w:eastAsia="zh-CN"/>
                    </w:rPr>
                    <w:t>（一、二期）</w:t>
                  </w:r>
                </w:p>
              </w:tc>
            </w:tr>
            <w:tr w14:paraId="65EC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0" w:type="dxa"/>
                  <w:gridSpan w:val="3"/>
                  <w:vAlign w:val="center"/>
                </w:tcPr>
                <w:p w14:paraId="1E4C387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4233" w:type="dxa"/>
                  <w:vAlign w:val="center"/>
                </w:tcPr>
                <w:p w14:paraId="2044C6B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颗粒物</w:t>
                  </w:r>
                </w:p>
              </w:tc>
            </w:tr>
            <w:tr w14:paraId="6909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0" w:type="dxa"/>
                  <w:gridSpan w:val="3"/>
                  <w:vAlign w:val="center"/>
                </w:tcPr>
                <w:p w14:paraId="42ECE8E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4233" w:type="dxa"/>
                  <w:vAlign w:val="center"/>
                </w:tcPr>
                <w:p w14:paraId="6A514CF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19.9638</w:t>
                  </w:r>
                  <w:r>
                    <w:rPr>
                      <w:rFonts w:hint="eastAsia" w:ascii="Times New Roman" w:hAnsi="Times New Roman" w:eastAsia="宋体" w:cs="Times New Roman"/>
                      <w:b w:val="0"/>
                      <w:bCs w:val="0"/>
                      <w:color w:val="auto"/>
                      <w:sz w:val="21"/>
                      <w:szCs w:val="21"/>
                      <w:highlight w:val="none"/>
                      <w:lang w:val="en-US" w:eastAsia="zh-CN"/>
                    </w:rPr>
                    <w:t>kg</w:t>
                  </w:r>
                  <w:r>
                    <w:rPr>
                      <w:rFonts w:hint="default" w:ascii="Times New Roman" w:hAnsi="Times New Roman" w:eastAsia="宋体" w:cs="Times New Roman"/>
                      <w:b w:val="0"/>
                      <w:bCs w:val="0"/>
                      <w:color w:val="auto"/>
                      <w:sz w:val="21"/>
                      <w:szCs w:val="21"/>
                      <w:highlight w:val="none"/>
                      <w:lang w:val="en-US" w:eastAsia="zh-CN"/>
                    </w:rPr>
                    <w:t>/a</w:t>
                  </w:r>
                </w:p>
              </w:tc>
            </w:tr>
            <w:tr w14:paraId="0987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gridSpan w:val="3"/>
                  <w:vAlign w:val="center"/>
                </w:tcPr>
                <w:p w14:paraId="2BCDFF0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4233" w:type="dxa"/>
                  <w:vAlign w:val="center"/>
                </w:tcPr>
                <w:p w14:paraId="051ED0D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3083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gridSpan w:val="3"/>
                  <w:vAlign w:val="center"/>
                </w:tcPr>
                <w:p w14:paraId="4011B25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4233" w:type="dxa"/>
                  <w:vAlign w:val="center"/>
                </w:tcPr>
                <w:p w14:paraId="0366A9D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r>
            <w:tr w14:paraId="6B8C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025" w:type="dxa"/>
                  <w:vMerge w:val="restart"/>
                  <w:vAlign w:val="center"/>
                </w:tcPr>
                <w:p w14:paraId="6AF310F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3205" w:type="dxa"/>
                  <w:gridSpan w:val="2"/>
                  <w:vAlign w:val="center"/>
                </w:tcPr>
                <w:p w14:paraId="03AC2F9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4233" w:type="dxa"/>
                  <w:vAlign w:val="center"/>
                </w:tcPr>
                <w:p w14:paraId="59237C6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color w:val="auto"/>
                      <w:sz w:val="21"/>
                      <w:szCs w:val="21"/>
                      <w:highlight w:val="none"/>
                      <w:lang w:val="en-US" w:eastAsia="zh-CN"/>
                    </w:rPr>
                    <w:t>/</w:t>
                  </w:r>
                </w:p>
              </w:tc>
            </w:tr>
            <w:tr w14:paraId="0E32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vAlign w:val="center"/>
                </w:tcPr>
                <w:p w14:paraId="45220BD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3205" w:type="dxa"/>
                  <w:gridSpan w:val="2"/>
                  <w:vAlign w:val="center"/>
                </w:tcPr>
                <w:p w14:paraId="4CDA5A9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4233" w:type="dxa"/>
                  <w:vAlign w:val="center"/>
                </w:tcPr>
                <w:p w14:paraId="587FF4A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0C7E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vAlign w:val="center"/>
                </w:tcPr>
                <w:p w14:paraId="37B2C50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3205" w:type="dxa"/>
                  <w:gridSpan w:val="2"/>
                  <w:vAlign w:val="center"/>
                </w:tcPr>
                <w:p w14:paraId="4CDDDE8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4233" w:type="dxa"/>
                  <w:vAlign w:val="center"/>
                </w:tcPr>
                <w:p w14:paraId="7E987EB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厂房阻隔、自然沉降</w:t>
                  </w:r>
                </w:p>
              </w:tc>
            </w:tr>
            <w:tr w14:paraId="5ADE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025" w:type="dxa"/>
                  <w:vMerge w:val="continue"/>
                  <w:vAlign w:val="center"/>
                </w:tcPr>
                <w:p w14:paraId="2C7AE34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3205" w:type="dxa"/>
                  <w:gridSpan w:val="2"/>
                  <w:vAlign w:val="center"/>
                </w:tcPr>
                <w:p w14:paraId="3A936F9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4233" w:type="dxa"/>
                  <w:vAlign w:val="center"/>
                </w:tcPr>
                <w:p w14:paraId="6873167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w:t>
                  </w:r>
                  <w:r>
                    <w:rPr>
                      <w:rFonts w:hint="default" w:ascii="Times New Roman" w:hAnsi="Times New Roman" w:eastAsia="宋体" w:cs="Times New Roman"/>
                      <w:b w:val="0"/>
                      <w:bCs/>
                      <w:color w:val="auto"/>
                      <w:spacing w:val="-10"/>
                      <w:sz w:val="21"/>
                      <w:szCs w:val="21"/>
                      <w:highlight w:val="none"/>
                      <w:vertAlign w:val="baseline"/>
                      <w:lang w:val="en-US" w:eastAsia="zh-CN"/>
                    </w:rPr>
                    <w:t>0%</w:t>
                  </w:r>
                </w:p>
              </w:tc>
            </w:tr>
            <w:tr w14:paraId="07D1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vAlign w:val="center"/>
                </w:tcPr>
                <w:p w14:paraId="74C3C2D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3205" w:type="dxa"/>
                  <w:gridSpan w:val="2"/>
                  <w:vAlign w:val="center"/>
                </w:tcPr>
                <w:p w14:paraId="1AEE421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4233" w:type="dxa"/>
                  <w:vAlign w:val="center"/>
                </w:tcPr>
                <w:p w14:paraId="5EB36DA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7606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gridSpan w:val="3"/>
                  <w:vAlign w:val="center"/>
                </w:tcPr>
                <w:p w14:paraId="493A668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4233" w:type="dxa"/>
                  <w:vAlign w:val="center"/>
                </w:tcPr>
                <w:p w14:paraId="6A8DD8B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14:paraId="4DEC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230" w:type="dxa"/>
                  <w:gridSpan w:val="3"/>
                  <w:vAlign w:val="center"/>
                </w:tcPr>
                <w:p w14:paraId="60E9AAD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4233" w:type="dxa"/>
                  <w:vAlign w:val="center"/>
                </w:tcPr>
                <w:p w14:paraId="799DB5B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0.0003</w:t>
                  </w:r>
                </w:p>
              </w:tc>
            </w:tr>
            <w:tr w14:paraId="56CB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gridSpan w:val="3"/>
                  <w:vAlign w:val="center"/>
                </w:tcPr>
                <w:p w14:paraId="3B8CCA8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4233" w:type="dxa"/>
                  <w:vAlign w:val="center"/>
                </w:tcPr>
                <w:p w14:paraId="73433B8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1.9364</w:t>
                  </w:r>
                  <w:r>
                    <w:rPr>
                      <w:rFonts w:hint="eastAsia" w:ascii="Times New Roman" w:hAnsi="Times New Roman" w:eastAsia="宋体" w:cs="Times New Roman"/>
                      <w:b w:val="0"/>
                      <w:bCs w:val="0"/>
                      <w:color w:val="auto"/>
                      <w:sz w:val="21"/>
                      <w:szCs w:val="21"/>
                      <w:highlight w:val="none"/>
                      <w:lang w:val="en-US" w:eastAsia="zh-CN"/>
                    </w:rPr>
                    <w:t>kg</w:t>
                  </w:r>
                  <w:r>
                    <w:rPr>
                      <w:rFonts w:hint="default" w:ascii="Times New Roman" w:hAnsi="Times New Roman" w:eastAsia="宋体" w:cs="Times New Roman"/>
                      <w:b w:val="0"/>
                      <w:bCs w:val="0"/>
                      <w:color w:val="auto"/>
                      <w:sz w:val="21"/>
                      <w:szCs w:val="21"/>
                      <w:highlight w:val="none"/>
                      <w:lang w:val="en-US" w:eastAsia="zh-CN"/>
                    </w:rPr>
                    <w:t>/a</w:t>
                  </w:r>
                </w:p>
              </w:tc>
            </w:tr>
            <w:tr w14:paraId="4B49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restart"/>
                  <w:vAlign w:val="center"/>
                </w:tcPr>
                <w:p w14:paraId="3D3C00D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3205" w:type="dxa"/>
                  <w:gridSpan w:val="2"/>
                  <w:vAlign w:val="center"/>
                </w:tcPr>
                <w:p w14:paraId="235C895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4233" w:type="dxa"/>
                  <w:vAlign w:val="center"/>
                </w:tcPr>
                <w:p w14:paraId="1C80D5D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b/>
                      <w:bCs w:val="0"/>
                      <w:color w:val="auto"/>
                      <w:spacing w:val="-10"/>
                      <w:sz w:val="21"/>
                      <w:szCs w:val="21"/>
                      <w:highlight w:val="none"/>
                      <w:vertAlign w:val="baseline"/>
                      <w:lang w:val="en-US" w:eastAsia="zh-CN"/>
                    </w:rPr>
                    <w:t>/</w:t>
                  </w:r>
                </w:p>
              </w:tc>
            </w:tr>
            <w:tr w14:paraId="2203C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vAlign w:val="center"/>
                </w:tcPr>
                <w:p w14:paraId="657C426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3205" w:type="dxa"/>
                  <w:gridSpan w:val="2"/>
                  <w:vAlign w:val="center"/>
                </w:tcPr>
                <w:p w14:paraId="70914E6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4233" w:type="dxa"/>
                  <w:vAlign w:val="center"/>
                </w:tcPr>
                <w:p w14:paraId="00EDF3A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b/>
                      <w:bCs w:val="0"/>
                      <w:color w:val="auto"/>
                      <w:spacing w:val="-10"/>
                      <w:sz w:val="21"/>
                      <w:szCs w:val="21"/>
                      <w:highlight w:val="none"/>
                      <w:vertAlign w:val="baseline"/>
                      <w:lang w:val="en-US" w:eastAsia="zh-CN"/>
                    </w:rPr>
                    <w:t>/</w:t>
                  </w:r>
                </w:p>
              </w:tc>
            </w:tr>
            <w:tr w14:paraId="467D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vAlign w:val="center"/>
                </w:tcPr>
                <w:p w14:paraId="71A37BB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3205" w:type="dxa"/>
                  <w:gridSpan w:val="2"/>
                  <w:vAlign w:val="center"/>
                </w:tcPr>
                <w:p w14:paraId="131D544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4233" w:type="dxa"/>
                  <w:vAlign w:val="center"/>
                </w:tcPr>
                <w:p w14:paraId="40C1909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b/>
                      <w:bCs w:val="0"/>
                      <w:color w:val="auto"/>
                      <w:spacing w:val="-10"/>
                      <w:sz w:val="21"/>
                      <w:szCs w:val="21"/>
                      <w:highlight w:val="none"/>
                      <w:vertAlign w:val="baseline"/>
                      <w:lang w:val="en-US" w:eastAsia="zh-CN"/>
                    </w:rPr>
                    <w:t>/</w:t>
                  </w:r>
                </w:p>
              </w:tc>
            </w:tr>
            <w:tr w14:paraId="4F45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vAlign w:val="center"/>
                </w:tcPr>
                <w:p w14:paraId="3A6553C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3205" w:type="dxa"/>
                  <w:gridSpan w:val="2"/>
                  <w:vAlign w:val="center"/>
                </w:tcPr>
                <w:p w14:paraId="17A6D1B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4233" w:type="dxa"/>
                  <w:vAlign w:val="center"/>
                </w:tcPr>
                <w:p w14:paraId="481A966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b/>
                      <w:bCs w:val="0"/>
                      <w:color w:val="auto"/>
                      <w:spacing w:val="-10"/>
                      <w:sz w:val="21"/>
                      <w:szCs w:val="21"/>
                      <w:highlight w:val="none"/>
                      <w:vertAlign w:val="baseline"/>
                      <w:lang w:val="en-US" w:eastAsia="zh-CN"/>
                    </w:rPr>
                    <w:t>/</w:t>
                  </w:r>
                </w:p>
              </w:tc>
            </w:tr>
            <w:tr w14:paraId="4E74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vAlign w:val="center"/>
                </w:tcPr>
                <w:p w14:paraId="6604508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3205" w:type="dxa"/>
                  <w:gridSpan w:val="2"/>
                  <w:vAlign w:val="center"/>
                </w:tcPr>
                <w:p w14:paraId="66C0A0F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4233" w:type="dxa"/>
                  <w:vAlign w:val="center"/>
                </w:tcPr>
                <w:p w14:paraId="1A0B42C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b/>
                      <w:bCs w:val="0"/>
                      <w:color w:val="auto"/>
                      <w:spacing w:val="-10"/>
                      <w:sz w:val="21"/>
                      <w:szCs w:val="21"/>
                      <w:highlight w:val="none"/>
                      <w:vertAlign w:val="baseline"/>
                      <w:lang w:val="en-US" w:eastAsia="zh-CN"/>
                    </w:rPr>
                    <w:t>/</w:t>
                  </w:r>
                </w:p>
              </w:tc>
            </w:tr>
            <w:tr w14:paraId="566E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vAlign w:val="center"/>
                </w:tcPr>
                <w:p w14:paraId="2E11EED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3205" w:type="dxa"/>
                  <w:gridSpan w:val="2"/>
                  <w:vAlign w:val="center"/>
                </w:tcPr>
                <w:p w14:paraId="76F888C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4233" w:type="dxa"/>
                  <w:vAlign w:val="center"/>
                </w:tcPr>
                <w:p w14:paraId="7546A6E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b/>
                      <w:bCs w:val="0"/>
                      <w:color w:val="auto"/>
                      <w:spacing w:val="-10"/>
                      <w:sz w:val="21"/>
                      <w:szCs w:val="21"/>
                      <w:highlight w:val="none"/>
                      <w:vertAlign w:val="baseline"/>
                      <w:lang w:val="en-US" w:eastAsia="zh-CN"/>
                    </w:rPr>
                    <w:t>/</w:t>
                  </w:r>
                </w:p>
              </w:tc>
            </w:tr>
            <w:tr w14:paraId="2B57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gridSpan w:val="3"/>
                  <w:vAlign w:val="center"/>
                </w:tcPr>
                <w:p w14:paraId="79EAC97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4233" w:type="dxa"/>
                  <w:vAlign w:val="center"/>
                </w:tcPr>
                <w:p w14:paraId="614474A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cs="Times New Roman"/>
                      <w:color w:val="auto"/>
                      <w:sz w:val="21"/>
                      <w:szCs w:val="21"/>
                      <w:shd w:val="clear" w:color="auto" w:fill="auto"/>
                      <w:lang w:val="zh-CN" w:eastAsia="zh-CN"/>
                    </w:rPr>
                    <w:t>《大气污染物综合排放标准》（GB16297-1996）表2中二级标准</w:t>
                  </w:r>
                  <w:r>
                    <w:rPr>
                      <w:color w:val="auto"/>
                      <w:sz w:val="21"/>
                      <w:szCs w:val="21"/>
                    </w:rPr>
                    <w:t>要求</w:t>
                  </w:r>
                </w:p>
              </w:tc>
            </w:tr>
            <w:tr w14:paraId="5186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gridSpan w:val="2"/>
                  <w:vMerge w:val="restart"/>
                  <w:vAlign w:val="center"/>
                </w:tcPr>
                <w:p w14:paraId="572960B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2790" w:type="dxa"/>
                  <w:vAlign w:val="center"/>
                </w:tcPr>
                <w:p w14:paraId="14503B5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4233" w:type="dxa"/>
                  <w:vAlign w:val="center"/>
                </w:tcPr>
                <w:p w14:paraId="00B07D4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r>
            <w:tr w14:paraId="023E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gridSpan w:val="2"/>
                  <w:vMerge w:val="continue"/>
                  <w:vAlign w:val="center"/>
                </w:tcPr>
                <w:p w14:paraId="760D11A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790" w:type="dxa"/>
                  <w:vAlign w:val="center"/>
                </w:tcPr>
                <w:p w14:paraId="105EC54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4233" w:type="dxa"/>
                  <w:vAlign w:val="center"/>
                </w:tcPr>
                <w:p w14:paraId="572F02F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ascii="Times New Roman" w:hAnsi="Times New Roman" w:eastAsia="宋体" w:cs="Times New Roman"/>
                      <w:b w:val="0"/>
                      <w:bCs w:val="0"/>
                      <w:color w:val="auto"/>
                      <w:spacing w:val="-10"/>
                      <w:sz w:val="21"/>
                      <w:szCs w:val="21"/>
                      <w:highlight w:val="none"/>
                      <w:vertAlign w:val="baseline"/>
                      <w:lang w:val="en-US" w:eastAsia="zh-CN"/>
                    </w:rPr>
                    <w:t>颗粒物</w:t>
                  </w:r>
                </w:p>
              </w:tc>
            </w:tr>
            <w:tr w14:paraId="6801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gridSpan w:val="2"/>
                  <w:vMerge w:val="continue"/>
                  <w:vAlign w:val="center"/>
                </w:tcPr>
                <w:p w14:paraId="43AC0CB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790" w:type="dxa"/>
                  <w:vAlign w:val="center"/>
                </w:tcPr>
                <w:p w14:paraId="770924D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4233" w:type="dxa"/>
                  <w:vAlign w:val="center"/>
                </w:tcPr>
                <w:p w14:paraId="5122170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1次/</w:t>
                  </w:r>
                  <w:r>
                    <w:rPr>
                      <w:rFonts w:hint="eastAsia" w:ascii="Times New Roman" w:hAnsi="Times New Roman" w:eastAsia="宋体" w:cs="Times New Roman"/>
                      <w:b w:val="0"/>
                      <w:bCs w:val="0"/>
                      <w:color w:val="auto"/>
                      <w:spacing w:val="-10"/>
                      <w:sz w:val="21"/>
                      <w:szCs w:val="21"/>
                      <w:highlight w:val="none"/>
                      <w:vertAlign w:val="baseline"/>
                      <w:lang w:val="en-US" w:eastAsia="zh-CN"/>
                    </w:rPr>
                    <w:t>年</w:t>
                  </w:r>
                </w:p>
              </w:tc>
            </w:tr>
          </w:tbl>
          <w:p w14:paraId="0DFEE3CC">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⑫石灰石粉储罐粉尘</w:t>
            </w:r>
          </w:p>
          <w:p w14:paraId="23CA7718">
            <w:pPr>
              <w:pStyle w:val="82"/>
              <w:keepNext w:val="0"/>
              <w:keepLines w:val="0"/>
              <w:pageBreakBefore w:val="0"/>
              <w:kinsoku/>
              <w:wordWrap/>
              <w:overflowPunct/>
              <w:topLinePunct w:val="0"/>
              <w:autoSpaceDE w:val="0"/>
              <w:autoSpaceDN w:val="0"/>
              <w:bidi w:val="0"/>
              <w:adjustRightInd/>
              <w:spacing w:before="0" w:after="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zh-CN" w:eastAsia="zh-CN"/>
              </w:rPr>
              <w:t>本项目设置一个容积为</w:t>
            </w:r>
            <w:r>
              <w:rPr>
                <w:rFonts w:hint="eastAsia" w:ascii="Times New Roman" w:hAnsi="Times New Roman" w:eastAsia="宋体" w:cs="Times New Roman"/>
                <w:b w:val="0"/>
                <w:bCs w:val="0"/>
                <w:color w:val="auto"/>
                <w:sz w:val="24"/>
                <w:szCs w:val="24"/>
                <w:highlight w:val="none"/>
                <w:lang w:val="en-US" w:eastAsia="zh-CN"/>
              </w:rPr>
              <w:t>57m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vertAlign w:val="baseline"/>
                <w:lang w:val="en-US" w:eastAsia="zh-CN"/>
              </w:rPr>
              <w:t>的石灰石粉筒仓，石灰石粉用于烘干烟气脱硫，石灰石粉</w:t>
            </w:r>
            <w:r>
              <w:rPr>
                <w:rFonts w:hint="default" w:ascii="Times New Roman" w:hAnsi="Times New Roman" w:eastAsia="宋体" w:cs="Times New Roman"/>
                <w:color w:val="auto"/>
                <w:kern w:val="2"/>
                <w:sz w:val="24"/>
                <w:szCs w:val="24"/>
                <w:highlight w:val="none"/>
                <w:lang w:val="en-US" w:eastAsia="zh-CN" w:bidi="ar-SA"/>
              </w:rPr>
              <w:t>运输车辆与相应料筒管道封闭直连，启用车辆自带的压缩空气，将其以吹入形式进入筒仓。卸料过程仓顶呼吸口会产生粉尘。</w:t>
            </w:r>
          </w:p>
          <w:p w14:paraId="5CE0A446">
            <w:pPr>
              <w:pStyle w:val="82"/>
              <w:keepNext w:val="0"/>
              <w:keepLines w:val="0"/>
              <w:pageBreakBefore w:val="0"/>
              <w:kinsoku/>
              <w:wordWrap/>
              <w:overflowPunct/>
              <w:topLinePunct w:val="0"/>
              <w:autoSpaceDE w:val="0"/>
              <w:autoSpaceDN w:val="0"/>
              <w:bidi w:val="0"/>
              <w:adjustRightInd/>
              <w:spacing w:before="0" w:after="0" w:line="360" w:lineRule="auto"/>
              <w:ind w:left="0" w:right="0" w:firstLine="480" w:firstLineChars="20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color w:val="auto"/>
                <w:kern w:val="2"/>
                <w:sz w:val="24"/>
                <w:szCs w:val="24"/>
                <w:highlight w:val="none"/>
                <w:lang w:val="en-US" w:eastAsia="zh-CN" w:bidi="ar-SA"/>
              </w:rPr>
              <w:t>产生的</w:t>
            </w:r>
            <w:r>
              <w:rPr>
                <w:rFonts w:hint="eastAsia" w:ascii="Times New Roman" w:hAnsi="Times New Roman" w:eastAsia="宋体" w:cs="Times New Roman"/>
                <w:color w:val="auto"/>
                <w:kern w:val="2"/>
                <w:sz w:val="24"/>
                <w:szCs w:val="24"/>
                <w:highlight w:val="none"/>
                <w:lang w:val="en-US" w:eastAsia="zh-CN" w:bidi="ar-SA"/>
              </w:rPr>
              <w:t>粉尘</w:t>
            </w:r>
            <w:r>
              <w:rPr>
                <w:rFonts w:hint="default" w:ascii="Times New Roman" w:hAnsi="Times New Roman" w:eastAsia="宋体" w:cs="Times New Roman"/>
                <w:color w:val="auto"/>
                <w:kern w:val="2"/>
                <w:sz w:val="24"/>
                <w:szCs w:val="24"/>
                <w:highlight w:val="none"/>
                <w:lang w:val="en-US" w:eastAsia="zh-CN" w:bidi="ar-SA"/>
              </w:rPr>
              <w:t>参考《北京市混凝土搅拌站扬尘排放因子及排放清单》（中国环境科学 2017.37（10）：3699-3707）表3混凝土搅拌站</w:t>
            </w:r>
            <w:r>
              <w:rPr>
                <w:rFonts w:hint="eastAsia" w:ascii="Times New Roman" w:hAnsi="Times New Roman" w:eastAsia="宋体" w:cs="Times New Roman"/>
                <w:color w:val="auto"/>
                <w:kern w:val="2"/>
                <w:sz w:val="24"/>
                <w:szCs w:val="24"/>
                <w:highlight w:val="none"/>
                <w:lang w:val="en-US" w:eastAsia="zh-CN" w:bidi="ar-SA"/>
              </w:rPr>
              <w:t>（矿粉筒仓）</w:t>
            </w:r>
            <w:r>
              <w:rPr>
                <w:rFonts w:hint="default" w:ascii="Times New Roman" w:hAnsi="Times New Roman" w:eastAsia="宋体" w:cs="Times New Roman"/>
                <w:color w:val="auto"/>
                <w:kern w:val="2"/>
                <w:sz w:val="24"/>
                <w:szCs w:val="24"/>
                <w:highlight w:val="none"/>
                <w:lang w:val="en-US" w:eastAsia="zh-CN" w:bidi="ar-SA"/>
              </w:rPr>
              <w:t>扬尘排放因子进行核算扬尘产生源强。</w:t>
            </w:r>
          </w:p>
          <w:p w14:paraId="017F11B1">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4-</w:t>
            </w:r>
            <w:r>
              <w:rPr>
                <w:rFonts w:hint="eastAsia" w:cs="Times New Roman"/>
                <w:b/>
                <w:bCs w:val="0"/>
                <w:color w:val="auto"/>
                <w:sz w:val="21"/>
                <w:szCs w:val="21"/>
                <w:highlight w:val="none"/>
                <w:lang w:val="en-US" w:eastAsia="zh-CN"/>
              </w:rPr>
              <w:t>17</w:t>
            </w:r>
            <w:r>
              <w:rPr>
                <w:rFonts w:hint="default" w:ascii="Times New Roman" w:hAnsi="Times New Roman" w:eastAsia="宋体" w:cs="Times New Roman"/>
                <w:b/>
                <w:bCs w:val="0"/>
                <w:color w:val="auto"/>
                <w:sz w:val="21"/>
                <w:szCs w:val="21"/>
                <w:highlight w:val="none"/>
              </w:rPr>
              <w:t xml:space="preserve"> </w:t>
            </w:r>
            <w:r>
              <w:rPr>
                <w:rFonts w:hint="default" w:ascii="Times New Roman" w:hAnsi="Times New Roman" w:eastAsia="宋体" w:cs="Times New Roman"/>
                <w:b/>
                <w:bCs w:val="0"/>
                <w:color w:val="auto"/>
                <w:sz w:val="21"/>
                <w:szCs w:val="21"/>
                <w:highlight w:val="none"/>
                <w:lang w:val="en-US" w:eastAsia="zh-CN"/>
              </w:rPr>
              <w:t xml:space="preserve">  </w:t>
            </w:r>
            <w:r>
              <w:rPr>
                <w:rFonts w:hint="default" w:ascii="Times New Roman" w:hAnsi="Times New Roman" w:eastAsia="宋体" w:cs="Times New Roman"/>
                <w:b/>
                <w:bCs w:val="0"/>
                <w:color w:val="auto"/>
                <w:sz w:val="21"/>
                <w:szCs w:val="21"/>
                <w:highlight w:val="none"/>
              </w:rPr>
              <w:t>扬尘产生系数</w:t>
            </w:r>
          </w:p>
          <w:tbl>
            <w:tblPr>
              <w:tblStyle w:val="27"/>
              <w:tblW w:w="8362" w:type="dxa"/>
              <w:tblInd w:w="0" w:type="dxa"/>
              <w:tblBorders>
                <w:top w:val="single" w:color="000000" w:sz="2" w:space="0"/>
                <w:left w:val="single" w:color="000000" w:sz="4" w:space="0"/>
                <w:bottom w:val="single" w:color="000000" w:sz="2" w:space="0"/>
                <w:right w:val="single" w:color="000000" w:sz="4" w:space="0"/>
                <w:insideH w:val="single" w:color="000000" w:sz="2" w:space="0"/>
                <w:insideV w:val="single" w:color="000000" w:sz="4" w:space="0"/>
              </w:tblBorders>
              <w:tblLayout w:type="fixed"/>
              <w:tblCellMar>
                <w:top w:w="0" w:type="dxa"/>
                <w:left w:w="0" w:type="dxa"/>
                <w:bottom w:w="0" w:type="dxa"/>
                <w:right w:w="0" w:type="dxa"/>
              </w:tblCellMar>
            </w:tblPr>
            <w:tblGrid>
              <w:gridCol w:w="646"/>
              <w:gridCol w:w="977"/>
              <w:gridCol w:w="2053"/>
              <w:gridCol w:w="1620"/>
              <w:gridCol w:w="1965"/>
              <w:gridCol w:w="1101"/>
            </w:tblGrid>
            <w:tr w14:paraId="19AB4CC9">
              <w:tblPrEx>
                <w:tblBorders>
                  <w:top w:val="single" w:color="000000" w:sz="2" w:space="0"/>
                  <w:left w:val="single" w:color="000000" w:sz="4" w:space="0"/>
                  <w:bottom w:val="single" w:color="000000" w:sz="2" w:space="0"/>
                  <w:right w:val="single" w:color="000000" w:sz="4" w:space="0"/>
                  <w:insideH w:val="single" w:color="000000" w:sz="2" w:space="0"/>
                  <w:insideV w:val="single" w:color="000000" w:sz="4" w:space="0"/>
                </w:tblBorders>
                <w:tblCellMar>
                  <w:top w:w="0" w:type="dxa"/>
                  <w:left w:w="0" w:type="dxa"/>
                  <w:bottom w:w="0" w:type="dxa"/>
                  <w:right w:w="0" w:type="dxa"/>
                </w:tblCellMar>
              </w:tblPrEx>
              <w:trPr>
                <w:trHeight w:val="312" w:hRule="atLeast"/>
              </w:trPr>
              <w:tc>
                <w:tcPr>
                  <w:tcW w:w="646" w:type="dxa"/>
                  <w:tcBorders>
                    <w:tl2br w:val="nil"/>
                    <w:tr2bl w:val="nil"/>
                  </w:tcBorders>
                  <w:noWrap w:val="0"/>
                  <w:vAlign w:val="center"/>
                </w:tcPr>
                <w:p w14:paraId="2D0A9D27">
                  <w:pPr>
                    <w:pStyle w:val="8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highlight w:val="none"/>
                    </w:rPr>
                  </w:pPr>
                  <w:r>
                    <w:rPr>
                      <w:rFonts w:hint="default" w:ascii="Times New Roman" w:hAnsi="Times New Roman" w:eastAsia="宋体" w:cs="Times New Roman"/>
                      <w:b/>
                      <w:color w:val="auto"/>
                      <w:sz w:val="21"/>
                      <w:highlight w:val="none"/>
                    </w:rPr>
                    <w:t>序号</w:t>
                  </w:r>
                </w:p>
              </w:tc>
              <w:tc>
                <w:tcPr>
                  <w:tcW w:w="3030" w:type="dxa"/>
                  <w:gridSpan w:val="2"/>
                  <w:tcBorders>
                    <w:tl2br w:val="nil"/>
                    <w:tr2bl w:val="nil"/>
                  </w:tcBorders>
                  <w:noWrap w:val="0"/>
                  <w:vAlign w:val="center"/>
                </w:tcPr>
                <w:p w14:paraId="6BB7D951">
                  <w:pPr>
                    <w:pStyle w:val="8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highlight w:val="none"/>
                    </w:rPr>
                  </w:pPr>
                  <w:r>
                    <w:rPr>
                      <w:rFonts w:hint="default" w:ascii="Times New Roman" w:hAnsi="Times New Roman" w:eastAsia="宋体" w:cs="Times New Roman"/>
                      <w:b/>
                      <w:color w:val="auto"/>
                      <w:sz w:val="21"/>
                      <w:highlight w:val="none"/>
                    </w:rPr>
                    <w:t>污染物</w:t>
                  </w:r>
                </w:p>
              </w:tc>
              <w:tc>
                <w:tcPr>
                  <w:tcW w:w="1620" w:type="dxa"/>
                  <w:tcBorders>
                    <w:tl2br w:val="nil"/>
                    <w:tr2bl w:val="nil"/>
                  </w:tcBorders>
                  <w:noWrap w:val="0"/>
                  <w:vAlign w:val="center"/>
                </w:tcPr>
                <w:p w14:paraId="749E24B8">
                  <w:pPr>
                    <w:pStyle w:val="8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highlight w:val="none"/>
                    </w:rPr>
                  </w:pPr>
                  <w:r>
                    <w:rPr>
                      <w:rFonts w:hint="default" w:ascii="Times New Roman" w:hAnsi="Times New Roman" w:eastAsia="宋体" w:cs="Times New Roman"/>
                      <w:b/>
                      <w:color w:val="auto"/>
                      <w:sz w:val="21"/>
                      <w:highlight w:val="none"/>
                    </w:rPr>
                    <w:t>扬尘产生系数</w:t>
                  </w:r>
                </w:p>
              </w:tc>
              <w:tc>
                <w:tcPr>
                  <w:tcW w:w="1965" w:type="dxa"/>
                  <w:tcBorders>
                    <w:tl2br w:val="nil"/>
                    <w:tr2bl w:val="nil"/>
                  </w:tcBorders>
                  <w:noWrap w:val="0"/>
                  <w:vAlign w:val="center"/>
                </w:tcPr>
                <w:p w14:paraId="63907EDF">
                  <w:pPr>
                    <w:pStyle w:val="8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highlight w:val="none"/>
                    </w:rPr>
                  </w:pPr>
                  <w:r>
                    <w:rPr>
                      <w:rFonts w:hint="default" w:ascii="Times New Roman" w:hAnsi="Times New Roman" w:eastAsia="宋体" w:cs="Times New Roman"/>
                      <w:b/>
                      <w:color w:val="auto"/>
                      <w:sz w:val="21"/>
                      <w:highlight w:val="none"/>
                    </w:rPr>
                    <w:t>单位</w:t>
                  </w:r>
                </w:p>
              </w:tc>
              <w:tc>
                <w:tcPr>
                  <w:tcW w:w="1101" w:type="dxa"/>
                  <w:tcBorders>
                    <w:tl2br w:val="nil"/>
                    <w:tr2bl w:val="nil"/>
                  </w:tcBorders>
                  <w:noWrap w:val="0"/>
                  <w:vAlign w:val="center"/>
                </w:tcPr>
                <w:p w14:paraId="24220897">
                  <w:pPr>
                    <w:pStyle w:val="8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highlight w:val="none"/>
                      <w:lang w:val="en-US" w:eastAsia="zh-CN"/>
                    </w:rPr>
                  </w:pPr>
                  <w:r>
                    <w:rPr>
                      <w:rFonts w:hint="default" w:ascii="Times New Roman" w:hAnsi="Times New Roman" w:eastAsia="宋体" w:cs="Times New Roman"/>
                      <w:b/>
                      <w:color w:val="auto"/>
                      <w:sz w:val="21"/>
                      <w:highlight w:val="none"/>
                      <w:lang w:val="en-US" w:eastAsia="zh-CN"/>
                    </w:rPr>
                    <w:t>排放情况</w:t>
                  </w:r>
                </w:p>
              </w:tc>
            </w:tr>
            <w:tr w14:paraId="714423A8">
              <w:tblPrEx>
                <w:tblBorders>
                  <w:top w:val="single" w:color="000000" w:sz="2" w:space="0"/>
                  <w:left w:val="single" w:color="000000" w:sz="4" w:space="0"/>
                  <w:bottom w:val="single" w:color="000000" w:sz="2" w:space="0"/>
                  <w:right w:val="single" w:color="000000" w:sz="4" w:space="0"/>
                  <w:insideH w:val="single" w:color="000000" w:sz="2" w:space="0"/>
                  <w:insideV w:val="single" w:color="000000" w:sz="4" w:space="0"/>
                </w:tblBorders>
                <w:tblCellMar>
                  <w:top w:w="0" w:type="dxa"/>
                  <w:left w:w="0" w:type="dxa"/>
                  <w:bottom w:w="0" w:type="dxa"/>
                  <w:right w:w="0" w:type="dxa"/>
                </w:tblCellMar>
              </w:tblPrEx>
              <w:trPr>
                <w:trHeight w:val="299" w:hRule="atLeast"/>
              </w:trPr>
              <w:tc>
                <w:tcPr>
                  <w:tcW w:w="646" w:type="dxa"/>
                  <w:tcBorders>
                    <w:tl2br w:val="nil"/>
                    <w:tr2bl w:val="nil"/>
                  </w:tcBorders>
                  <w:noWrap w:val="0"/>
                  <w:vAlign w:val="center"/>
                </w:tcPr>
                <w:p w14:paraId="07001955">
                  <w:pPr>
                    <w:pStyle w:val="8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val="en-US" w:eastAsia="zh-CN"/>
                    </w:rPr>
                    <w:t>1</w:t>
                  </w:r>
                </w:p>
              </w:tc>
              <w:tc>
                <w:tcPr>
                  <w:tcW w:w="977" w:type="dxa"/>
                  <w:tcBorders>
                    <w:tl2br w:val="nil"/>
                    <w:tr2bl w:val="nil"/>
                  </w:tcBorders>
                  <w:noWrap w:val="0"/>
                  <w:vAlign w:val="center"/>
                </w:tcPr>
                <w:p w14:paraId="2E56925F">
                  <w:pPr>
                    <w:pStyle w:val="8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矿粉</w:t>
                  </w:r>
                </w:p>
              </w:tc>
              <w:tc>
                <w:tcPr>
                  <w:tcW w:w="2053" w:type="dxa"/>
                  <w:tcBorders>
                    <w:tl2br w:val="nil"/>
                    <w:tr2bl w:val="nil"/>
                  </w:tcBorders>
                  <w:noWrap w:val="0"/>
                  <w:vAlign w:val="center"/>
                </w:tcPr>
                <w:p w14:paraId="71325A36">
                  <w:pPr>
                    <w:pStyle w:val="8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卸料至筒仓</w:t>
                  </w:r>
                </w:p>
              </w:tc>
              <w:tc>
                <w:tcPr>
                  <w:tcW w:w="1620" w:type="dxa"/>
                  <w:tcBorders>
                    <w:tl2br w:val="nil"/>
                    <w:tr2bl w:val="nil"/>
                  </w:tcBorders>
                  <w:noWrap w:val="0"/>
                  <w:vAlign w:val="center"/>
                </w:tcPr>
                <w:p w14:paraId="55FFF718">
                  <w:pPr>
                    <w:pStyle w:val="8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1.57</w:t>
                  </w:r>
                </w:p>
              </w:tc>
              <w:tc>
                <w:tcPr>
                  <w:tcW w:w="1965" w:type="dxa"/>
                  <w:tcBorders>
                    <w:tl2br w:val="nil"/>
                    <w:tr2bl w:val="nil"/>
                  </w:tcBorders>
                  <w:noWrap w:val="0"/>
                  <w:vAlign w:val="center"/>
                </w:tcPr>
                <w:p w14:paraId="00E525F6">
                  <w:pPr>
                    <w:pStyle w:val="8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lang w:val="en-US" w:eastAsia="zh-CN"/>
                    </w:rPr>
                    <w:t>k</w:t>
                  </w:r>
                  <w:r>
                    <w:rPr>
                      <w:rFonts w:hint="default" w:ascii="Times New Roman" w:hAnsi="Times New Roman" w:eastAsia="宋体" w:cs="Times New Roman"/>
                      <w:color w:val="auto"/>
                      <w:sz w:val="21"/>
                      <w:highlight w:val="none"/>
                    </w:rPr>
                    <w:t>g/t（矿粉）</w:t>
                  </w:r>
                </w:p>
              </w:tc>
              <w:tc>
                <w:tcPr>
                  <w:tcW w:w="1101" w:type="dxa"/>
                  <w:tcBorders>
                    <w:tl2br w:val="nil"/>
                    <w:tr2bl w:val="nil"/>
                  </w:tcBorders>
                  <w:noWrap w:val="0"/>
                  <w:vAlign w:val="center"/>
                </w:tcPr>
                <w:p w14:paraId="7A11513C">
                  <w:pPr>
                    <w:pStyle w:val="8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有组织</w:t>
                  </w:r>
                </w:p>
              </w:tc>
            </w:tr>
          </w:tbl>
          <w:p w14:paraId="70A84F25">
            <w:pPr>
              <w:pStyle w:val="82"/>
              <w:keepNext w:val="0"/>
              <w:keepLines w:val="0"/>
              <w:pageBreakBefore w:val="0"/>
              <w:kinsoku/>
              <w:wordWrap/>
              <w:overflowPunct/>
              <w:topLinePunct w:val="0"/>
              <w:autoSpaceDE w:val="0"/>
              <w:autoSpaceDN w:val="0"/>
              <w:bidi w:val="0"/>
              <w:adjustRightInd/>
              <w:spacing w:before="0" w:after="0" w:line="360" w:lineRule="auto"/>
              <w:ind w:right="0" w:firstLine="480" w:firstLineChars="20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kern w:val="2"/>
                <w:sz w:val="24"/>
                <w:szCs w:val="24"/>
                <w:highlight w:val="none"/>
                <w:lang w:val="en-US" w:eastAsia="zh-CN" w:bidi="ar-SA"/>
              </w:rPr>
              <w:t>根据建设单位提供资料，粉料仓设计为全封闭式，且筒仓仓顶均设有1台仓顶脉冲式布袋除尘器，除尘效率约为99.</w:t>
            </w:r>
            <w:r>
              <w:rPr>
                <w:rFonts w:hint="eastAsia" w:ascii="Times New Roman" w:hAnsi="Times New Roman" w:eastAsia="宋体" w:cs="Times New Roman"/>
                <w:color w:val="auto"/>
                <w:kern w:val="2"/>
                <w:sz w:val="24"/>
                <w:szCs w:val="24"/>
                <w:highlight w:val="none"/>
                <w:lang w:val="en-US" w:eastAsia="zh-CN" w:bidi="ar-SA"/>
              </w:rPr>
              <w:t>6</w:t>
            </w:r>
            <w:r>
              <w:rPr>
                <w:rFonts w:hint="default" w:ascii="Times New Roman" w:hAnsi="Times New Roman" w:eastAsia="宋体" w:cs="Times New Roman"/>
                <w:color w:val="auto"/>
                <w:kern w:val="2"/>
                <w:sz w:val="24"/>
                <w:szCs w:val="24"/>
                <w:highlight w:val="none"/>
                <w:lang w:val="en-US" w:eastAsia="zh-CN" w:bidi="ar-SA"/>
              </w:rPr>
              <w:t>％，产生的粉尘经除尘后由仓顶的排气口排出。项目</w:t>
            </w:r>
            <w:r>
              <w:rPr>
                <w:rFonts w:hint="eastAsia" w:ascii="Times New Roman" w:hAnsi="Times New Roman" w:eastAsia="宋体" w:cs="Times New Roman"/>
                <w:color w:val="auto"/>
                <w:kern w:val="2"/>
                <w:sz w:val="24"/>
                <w:szCs w:val="24"/>
                <w:highlight w:val="none"/>
                <w:lang w:val="en-US" w:eastAsia="zh-CN" w:bidi="ar-SA"/>
              </w:rPr>
              <w:t>石灰石粉</w:t>
            </w:r>
            <w:r>
              <w:rPr>
                <w:rFonts w:hint="default" w:ascii="Times New Roman" w:hAnsi="Times New Roman" w:eastAsia="宋体" w:cs="Times New Roman"/>
                <w:color w:val="auto"/>
                <w:kern w:val="2"/>
                <w:sz w:val="24"/>
                <w:szCs w:val="24"/>
                <w:highlight w:val="none"/>
                <w:lang w:val="en-US" w:eastAsia="zh-CN" w:bidi="ar-SA"/>
              </w:rPr>
              <w:t>年用量为</w:t>
            </w:r>
            <w:r>
              <w:rPr>
                <w:rFonts w:hint="eastAsia"/>
                <w:color w:val="auto"/>
                <w:sz w:val="24"/>
                <w:highlight w:val="none"/>
                <w:lang w:val="en-US" w:eastAsia="zh-CN"/>
              </w:rPr>
              <w:t>195.2521</w:t>
            </w:r>
            <w:r>
              <w:rPr>
                <w:rFonts w:hint="default" w:ascii="Times New Roman" w:hAnsi="Times New Roman" w:eastAsia="宋体" w:cs="Times New Roman"/>
                <w:color w:val="auto"/>
                <w:kern w:val="2"/>
                <w:sz w:val="24"/>
                <w:szCs w:val="24"/>
                <w:highlight w:val="none"/>
                <w:lang w:val="en-US" w:eastAsia="zh-CN" w:bidi="ar-SA"/>
              </w:rPr>
              <w:t>t</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筒仓仅在罐车气力输送至筒仓时产生废气，筒仓基本情况如下表所示。</w:t>
            </w:r>
          </w:p>
          <w:p w14:paraId="1F7D969F">
            <w:pPr>
              <w:pStyle w:val="23"/>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lang w:val="en-US" w:eastAsia="zh-CN"/>
              </w:rPr>
              <w:t>表4-</w:t>
            </w:r>
            <w:r>
              <w:rPr>
                <w:rFonts w:hint="eastAsia" w:cs="Times New Roman"/>
                <w:b/>
                <w:color w:val="auto"/>
                <w:sz w:val="21"/>
                <w:szCs w:val="21"/>
                <w:highlight w:val="none"/>
                <w:lang w:val="en-US" w:eastAsia="zh-CN"/>
              </w:rPr>
              <w:t>18</w:t>
            </w: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筒仓</w:t>
            </w:r>
            <w:r>
              <w:rPr>
                <w:rFonts w:hint="eastAsia" w:ascii="Times New Roman" w:hAnsi="Times New Roman" w:eastAsia="宋体" w:cs="Times New Roman"/>
                <w:b/>
                <w:color w:val="auto"/>
                <w:sz w:val="21"/>
                <w:szCs w:val="21"/>
                <w:highlight w:val="none"/>
                <w:lang w:val="en-US" w:eastAsia="zh-CN"/>
              </w:rPr>
              <w:t>情况</w:t>
            </w:r>
            <w:r>
              <w:rPr>
                <w:rFonts w:hint="default" w:ascii="Times New Roman" w:hAnsi="Times New Roman" w:eastAsia="宋体" w:cs="Times New Roman"/>
                <w:b/>
                <w:color w:val="auto"/>
                <w:sz w:val="21"/>
                <w:szCs w:val="21"/>
                <w:highlight w:val="none"/>
              </w:rPr>
              <w:t>一览表</w:t>
            </w:r>
          </w:p>
          <w:tbl>
            <w:tblPr>
              <w:tblStyle w:val="27"/>
              <w:tblW w:w="8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68"/>
              <w:gridCol w:w="1647"/>
              <w:gridCol w:w="1336"/>
              <w:gridCol w:w="1336"/>
              <w:gridCol w:w="1336"/>
              <w:gridCol w:w="1339"/>
            </w:tblGrid>
            <w:tr w14:paraId="49D5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68" w:type="dxa"/>
                  <w:noWrap w:val="0"/>
                  <w:vAlign w:val="center"/>
                </w:tcPr>
                <w:p w14:paraId="70CBAA28">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排气筒编号</w:t>
                  </w:r>
                </w:p>
              </w:tc>
              <w:tc>
                <w:tcPr>
                  <w:tcW w:w="1647" w:type="dxa"/>
                  <w:noWrap w:val="0"/>
                  <w:vAlign w:val="center"/>
                </w:tcPr>
                <w:p w14:paraId="73C2CE6B">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筒仓容积（</w:t>
                  </w:r>
                  <w:r>
                    <w:rPr>
                      <w:rFonts w:hint="eastAsia" w:ascii="Times New Roman" w:hAnsi="Times New Roman" w:eastAsia="宋体" w:cs="Times New Roman"/>
                      <w:b/>
                      <w:bCs/>
                      <w:color w:val="auto"/>
                      <w:sz w:val="21"/>
                      <w:szCs w:val="21"/>
                      <w:highlight w:val="none"/>
                      <w:lang w:val="en-US" w:eastAsia="zh-CN"/>
                    </w:rPr>
                    <w:t>m</w:t>
                  </w:r>
                  <w:r>
                    <w:rPr>
                      <w:rFonts w:hint="eastAsia"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1336" w:type="dxa"/>
                  <w:noWrap w:val="0"/>
                  <w:vAlign w:val="center"/>
                </w:tcPr>
                <w:p w14:paraId="6A77AD5B">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原料储存量（</w:t>
                  </w:r>
                  <w:r>
                    <w:rPr>
                      <w:rFonts w:hint="default" w:ascii="Times New Roman" w:hAnsi="Times New Roman" w:eastAsia="宋体" w:cs="Times New Roman"/>
                      <w:b/>
                      <w:bCs/>
                      <w:color w:val="auto"/>
                      <w:sz w:val="21"/>
                      <w:szCs w:val="21"/>
                      <w:highlight w:val="none"/>
                      <w:lang w:val="en-US" w:eastAsia="zh-CN"/>
                    </w:rPr>
                    <w:t>t/a</w:t>
                  </w:r>
                  <w:r>
                    <w:rPr>
                      <w:rFonts w:hint="default" w:ascii="Times New Roman" w:hAnsi="Times New Roman" w:eastAsia="宋体" w:cs="Times New Roman"/>
                      <w:b/>
                      <w:bCs/>
                      <w:color w:val="auto"/>
                      <w:sz w:val="21"/>
                      <w:szCs w:val="21"/>
                      <w:highlight w:val="none"/>
                      <w:lang w:eastAsia="zh-CN"/>
                    </w:rPr>
                    <w:t>）</w:t>
                  </w:r>
                </w:p>
              </w:tc>
              <w:tc>
                <w:tcPr>
                  <w:tcW w:w="1336" w:type="dxa"/>
                  <w:noWrap w:val="0"/>
                  <w:vAlign w:val="center"/>
                </w:tcPr>
                <w:p w14:paraId="1411CC45">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原料输送次数（次/a）</w:t>
                  </w:r>
                </w:p>
              </w:tc>
              <w:tc>
                <w:tcPr>
                  <w:tcW w:w="1336" w:type="dxa"/>
                  <w:noWrap w:val="0"/>
                  <w:vAlign w:val="center"/>
                </w:tcPr>
                <w:p w14:paraId="05D7C47E">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单次输送时间（h/次）</w:t>
                  </w:r>
                </w:p>
              </w:tc>
              <w:tc>
                <w:tcPr>
                  <w:tcW w:w="1339" w:type="dxa"/>
                  <w:noWrap w:val="0"/>
                  <w:vAlign w:val="center"/>
                </w:tcPr>
                <w:p w14:paraId="04E8C5B0">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总输送时间（h/a）</w:t>
                  </w:r>
                </w:p>
              </w:tc>
            </w:tr>
            <w:tr w14:paraId="2D62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68" w:type="dxa"/>
                  <w:noWrap w:val="0"/>
                  <w:vAlign w:val="center"/>
                </w:tcPr>
                <w:p w14:paraId="074FC778">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DA0</w:t>
                  </w:r>
                  <w:r>
                    <w:rPr>
                      <w:rFonts w:hint="eastAsia" w:cs="Times New Roman"/>
                      <w:b w:val="0"/>
                      <w:bCs w:val="0"/>
                      <w:color w:val="auto"/>
                      <w:sz w:val="21"/>
                      <w:szCs w:val="21"/>
                      <w:highlight w:val="none"/>
                      <w:lang w:val="en-US" w:eastAsia="zh-CN"/>
                    </w:rPr>
                    <w:t>19</w:t>
                  </w:r>
                </w:p>
              </w:tc>
              <w:tc>
                <w:tcPr>
                  <w:tcW w:w="1647" w:type="dxa"/>
                  <w:noWrap w:val="0"/>
                  <w:vAlign w:val="center"/>
                </w:tcPr>
                <w:p w14:paraId="169F38C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57</w:t>
                  </w:r>
                </w:p>
              </w:tc>
              <w:tc>
                <w:tcPr>
                  <w:tcW w:w="1336" w:type="dxa"/>
                  <w:noWrap w:val="0"/>
                  <w:vAlign w:val="center"/>
                </w:tcPr>
                <w:p w14:paraId="18DEFA8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olor w:val="auto"/>
                      <w:sz w:val="21"/>
                      <w:szCs w:val="21"/>
                      <w:highlight w:val="none"/>
                      <w:lang w:val="en-US" w:eastAsia="zh-CN"/>
                    </w:rPr>
                    <w:t>195.2521</w:t>
                  </w:r>
                </w:p>
              </w:tc>
              <w:tc>
                <w:tcPr>
                  <w:tcW w:w="1336" w:type="dxa"/>
                  <w:noWrap w:val="0"/>
                  <w:vAlign w:val="center"/>
                </w:tcPr>
                <w:p w14:paraId="5928C6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1336" w:type="dxa"/>
                  <w:noWrap w:val="0"/>
                  <w:vAlign w:val="center"/>
                </w:tcPr>
                <w:p w14:paraId="05F71A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1339" w:type="dxa"/>
                  <w:noWrap w:val="0"/>
                  <w:vAlign w:val="center"/>
                </w:tcPr>
                <w:p w14:paraId="518212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p>
              </w:tc>
            </w:tr>
          </w:tbl>
          <w:p w14:paraId="1710DA55">
            <w:pPr>
              <w:pStyle w:val="23"/>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w:t>
            </w:r>
            <w:r>
              <w:rPr>
                <w:rFonts w:hint="eastAsia" w:cs="Times New Roman"/>
                <w:b/>
                <w:color w:val="auto"/>
                <w:sz w:val="21"/>
                <w:szCs w:val="21"/>
                <w:highlight w:val="none"/>
                <w:lang w:val="en-US" w:eastAsia="zh-CN"/>
              </w:rPr>
              <w:t>19</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 xml:space="preserve"> 筒仓</w:t>
            </w:r>
            <w:r>
              <w:rPr>
                <w:rFonts w:hint="default" w:ascii="Times New Roman" w:hAnsi="Times New Roman" w:eastAsia="宋体" w:cs="Times New Roman"/>
                <w:b/>
                <w:color w:val="auto"/>
                <w:sz w:val="21"/>
                <w:szCs w:val="21"/>
                <w:highlight w:val="none"/>
              </w:rPr>
              <w:t>粉尘有组织排放一览表</w:t>
            </w:r>
          </w:p>
          <w:tbl>
            <w:tblPr>
              <w:tblStyle w:val="27"/>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80"/>
              <w:gridCol w:w="844"/>
              <w:gridCol w:w="949"/>
              <w:gridCol w:w="929"/>
              <w:gridCol w:w="1064"/>
              <w:gridCol w:w="747"/>
              <w:gridCol w:w="1018"/>
              <w:gridCol w:w="845"/>
              <w:gridCol w:w="1084"/>
            </w:tblGrid>
            <w:tr w14:paraId="4DCB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80" w:type="dxa"/>
                  <w:noWrap w:val="0"/>
                  <w:vAlign w:val="center"/>
                </w:tcPr>
                <w:p w14:paraId="5A109055">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排气筒</w:t>
                  </w:r>
                </w:p>
                <w:p w14:paraId="25C7FE19">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编号</w:t>
                  </w:r>
                </w:p>
              </w:tc>
              <w:tc>
                <w:tcPr>
                  <w:tcW w:w="844" w:type="dxa"/>
                  <w:noWrap w:val="0"/>
                  <w:vAlign w:val="center"/>
                </w:tcPr>
                <w:p w14:paraId="145F5F18">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w:t>
                  </w:r>
                </w:p>
                <w:p w14:paraId="491061F6">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949" w:type="dxa"/>
                  <w:noWrap w:val="0"/>
                  <w:vAlign w:val="center"/>
                </w:tcPr>
                <w:p w14:paraId="66F76E37">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原料储存</w:t>
                  </w:r>
                </w:p>
                <w:p w14:paraId="5E90C53B">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量（</w:t>
                  </w:r>
                  <w:r>
                    <w:rPr>
                      <w:rFonts w:hint="default" w:ascii="Times New Roman" w:hAnsi="Times New Roman" w:eastAsia="宋体" w:cs="Times New Roman"/>
                      <w:b/>
                      <w:bCs/>
                      <w:color w:val="auto"/>
                      <w:sz w:val="21"/>
                      <w:szCs w:val="21"/>
                      <w:highlight w:val="none"/>
                      <w:lang w:val="en-US" w:eastAsia="zh-CN"/>
                    </w:rPr>
                    <w:t>t/a</w:t>
                  </w:r>
                  <w:r>
                    <w:rPr>
                      <w:rFonts w:hint="default" w:ascii="Times New Roman" w:hAnsi="Times New Roman" w:eastAsia="宋体" w:cs="Times New Roman"/>
                      <w:b/>
                      <w:bCs/>
                      <w:color w:val="auto"/>
                      <w:sz w:val="21"/>
                      <w:szCs w:val="21"/>
                      <w:highlight w:val="none"/>
                      <w:lang w:eastAsia="zh-CN"/>
                    </w:rPr>
                    <w:t>）</w:t>
                  </w:r>
                </w:p>
              </w:tc>
              <w:tc>
                <w:tcPr>
                  <w:tcW w:w="929" w:type="dxa"/>
                  <w:noWrap w:val="0"/>
                  <w:vAlign w:val="center"/>
                </w:tcPr>
                <w:p w14:paraId="4CC30E51">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p>
                <w:p w14:paraId="7A6E3D90">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default" w:ascii="Times New Roman" w:hAnsi="Times New Roman" w:eastAsia="宋体" w:cs="Times New Roman"/>
                      <w:b/>
                      <w:bCs/>
                      <w:color w:val="auto"/>
                      <w:sz w:val="21"/>
                      <w:szCs w:val="21"/>
                      <w:highlight w:val="none"/>
                      <w:lang w:eastAsia="zh-CN"/>
                    </w:rPr>
                    <w:t>）</w:t>
                  </w:r>
                </w:p>
              </w:tc>
              <w:tc>
                <w:tcPr>
                  <w:tcW w:w="1064" w:type="dxa"/>
                  <w:noWrap w:val="0"/>
                  <w:vAlign w:val="center"/>
                </w:tcPr>
                <w:p w14:paraId="75A46347">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除尘设施</w:t>
                  </w:r>
                  <w:r>
                    <w:rPr>
                      <w:rFonts w:hint="default" w:ascii="Times New Roman" w:hAnsi="Times New Roman" w:eastAsia="宋体" w:cs="Times New Roman"/>
                      <w:b/>
                      <w:bCs/>
                      <w:color w:val="auto"/>
                      <w:sz w:val="21"/>
                      <w:szCs w:val="21"/>
                      <w:highlight w:val="none"/>
                      <w:lang w:val="en-US" w:eastAsia="zh-CN"/>
                    </w:rPr>
                    <w:t>风机风量（</w:t>
                  </w:r>
                  <w:r>
                    <w:rPr>
                      <w:rFonts w:hint="default" w:ascii="Times New Roman" w:hAnsi="Times New Roman" w:eastAsia="宋体" w:cs="Times New Roman"/>
                      <w:b/>
                      <w:bCs/>
                      <w:color w:val="auto"/>
                      <w:sz w:val="21"/>
                      <w:szCs w:val="21"/>
                      <w:highlight w:val="none"/>
                      <w:lang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eastAsia="zh-CN"/>
                    </w:rPr>
                    <w:t>/h</w:t>
                  </w:r>
                  <w:r>
                    <w:rPr>
                      <w:rFonts w:hint="default" w:ascii="Times New Roman" w:hAnsi="Times New Roman" w:eastAsia="宋体" w:cs="Times New Roman"/>
                      <w:b/>
                      <w:bCs/>
                      <w:color w:val="auto"/>
                      <w:sz w:val="21"/>
                      <w:szCs w:val="21"/>
                      <w:highlight w:val="none"/>
                      <w:lang w:val="en-US" w:eastAsia="zh-CN"/>
                    </w:rPr>
                    <w:t>）</w:t>
                  </w:r>
                </w:p>
              </w:tc>
              <w:tc>
                <w:tcPr>
                  <w:tcW w:w="747" w:type="dxa"/>
                  <w:noWrap w:val="0"/>
                  <w:vAlign w:val="center"/>
                </w:tcPr>
                <w:p w14:paraId="1BDDA21D">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除尘</w:t>
                  </w:r>
                </w:p>
                <w:p w14:paraId="02B5C6DA">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效率</w:t>
                  </w:r>
                </w:p>
              </w:tc>
              <w:tc>
                <w:tcPr>
                  <w:tcW w:w="1018" w:type="dxa"/>
                  <w:noWrap w:val="0"/>
                  <w:vAlign w:val="center"/>
                </w:tcPr>
                <w:p w14:paraId="3717853A">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污染物排</w:t>
                  </w:r>
                </w:p>
                <w:p w14:paraId="71313C15">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放</w:t>
                  </w:r>
                  <w:r>
                    <w:rPr>
                      <w:rFonts w:hint="default" w:ascii="Times New Roman" w:hAnsi="Times New Roman" w:eastAsia="宋体" w:cs="Times New Roman"/>
                      <w:b/>
                      <w:bCs/>
                      <w:color w:val="auto"/>
                      <w:sz w:val="21"/>
                      <w:szCs w:val="21"/>
                      <w:highlight w:val="none"/>
                    </w:rPr>
                    <w:t>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default" w:ascii="Times New Roman" w:hAnsi="Times New Roman" w:eastAsia="宋体" w:cs="Times New Roman"/>
                      <w:b/>
                      <w:bCs/>
                      <w:color w:val="auto"/>
                      <w:sz w:val="21"/>
                      <w:szCs w:val="21"/>
                      <w:highlight w:val="none"/>
                      <w:lang w:eastAsia="zh-CN"/>
                    </w:rPr>
                    <w:t>）</w:t>
                  </w:r>
                </w:p>
              </w:tc>
              <w:tc>
                <w:tcPr>
                  <w:tcW w:w="845" w:type="dxa"/>
                  <w:noWrap w:val="0"/>
                  <w:vAlign w:val="center"/>
                </w:tcPr>
                <w:p w14:paraId="61894064">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排放速率（kg/h）</w:t>
                  </w:r>
                </w:p>
              </w:tc>
              <w:tc>
                <w:tcPr>
                  <w:tcW w:w="1084" w:type="dxa"/>
                  <w:noWrap w:val="0"/>
                  <w:vAlign w:val="center"/>
                </w:tcPr>
                <w:p w14:paraId="65E33A12">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浓度</w:t>
                  </w:r>
                </w:p>
                <w:p w14:paraId="36BE996C">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r>
            <w:tr w14:paraId="604B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80" w:type="dxa"/>
                  <w:noWrap w:val="0"/>
                  <w:vAlign w:val="center"/>
                </w:tcPr>
                <w:p w14:paraId="656D2283">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DA0</w:t>
                  </w:r>
                  <w:r>
                    <w:rPr>
                      <w:rFonts w:hint="eastAsia"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9</w:t>
                  </w:r>
                </w:p>
              </w:tc>
              <w:tc>
                <w:tcPr>
                  <w:tcW w:w="844" w:type="dxa"/>
                  <w:noWrap w:val="0"/>
                  <w:vAlign w:val="center"/>
                </w:tcPr>
                <w:p w14:paraId="449F26F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949" w:type="dxa"/>
                  <w:noWrap w:val="0"/>
                  <w:vAlign w:val="center"/>
                </w:tcPr>
                <w:p w14:paraId="7E3A036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olor w:val="auto"/>
                      <w:sz w:val="21"/>
                      <w:szCs w:val="21"/>
                      <w:highlight w:val="none"/>
                      <w:lang w:val="en-US" w:eastAsia="zh-CN"/>
                    </w:rPr>
                    <w:t>195.25221</w:t>
                  </w:r>
                </w:p>
              </w:tc>
              <w:tc>
                <w:tcPr>
                  <w:tcW w:w="929" w:type="dxa"/>
                  <w:noWrap w:val="0"/>
                  <w:vAlign w:val="center"/>
                </w:tcPr>
                <w:p w14:paraId="799A946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0.3065</w:t>
                  </w:r>
                </w:p>
              </w:tc>
              <w:tc>
                <w:tcPr>
                  <w:tcW w:w="1064" w:type="dxa"/>
                  <w:noWrap w:val="0"/>
                  <w:vAlign w:val="center"/>
                </w:tcPr>
                <w:p w14:paraId="07CAB07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747" w:type="dxa"/>
                  <w:noWrap w:val="0"/>
                  <w:vAlign w:val="center"/>
                </w:tcPr>
                <w:p w14:paraId="6B3F0A1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99.</w:t>
                  </w:r>
                  <w:r>
                    <w:rPr>
                      <w:rFonts w:hint="eastAsia"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18" w:type="dxa"/>
                  <w:noWrap w:val="0"/>
                  <w:vAlign w:val="center"/>
                </w:tcPr>
                <w:p w14:paraId="75A60BA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012</w:t>
                  </w:r>
                </w:p>
              </w:tc>
              <w:tc>
                <w:tcPr>
                  <w:tcW w:w="845" w:type="dxa"/>
                  <w:noWrap w:val="0"/>
                  <w:vAlign w:val="center"/>
                </w:tcPr>
                <w:p w14:paraId="020A9F29">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0.0613</w:t>
                  </w:r>
                </w:p>
              </w:tc>
              <w:tc>
                <w:tcPr>
                  <w:tcW w:w="1084" w:type="dxa"/>
                  <w:noWrap w:val="0"/>
                  <w:vAlign w:val="center"/>
                </w:tcPr>
                <w:p w14:paraId="6C73CAC0">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30.6</w:t>
                  </w:r>
                  <w:r>
                    <w:rPr>
                      <w:rFonts w:hint="eastAsia" w:cs="Times New Roman"/>
                      <w:i w:val="0"/>
                      <w:iCs w:val="0"/>
                      <w:color w:val="auto"/>
                      <w:kern w:val="0"/>
                      <w:sz w:val="21"/>
                      <w:szCs w:val="21"/>
                      <w:highlight w:val="none"/>
                      <w:u w:val="none"/>
                      <w:lang w:val="en-US" w:eastAsia="zh-CN" w:bidi="ar"/>
                    </w:rPr>
                    <w:t>5</w:t>
                  </w:r>
                </w:p>
              </w:tc>
            </w:tr>
          </w:tbl>
          <w:p w14:paraId="33D7F46C">
            <w:pPr>
              <w:pStyle w:val="82"/>
              <w:keepNext w:val="0"/>
              <w:keepLines w:val="0"/>
              <w:pageBreakBefore w:val="0"/>
              <w:kinsoku/>
              <w:wordWrap/>
              <w:overflowPunct/>
              <w:topLinePunct w:val="0"/>
              <w:autoSpaceDE w:val="0"/>
              <w:autoSpaceDN w:val="0"/>
              <w:bidi w:val="0"/>
              <w:adjustRightInd/>
              <w:spacing w:before="0" w:after="0" w:line="360" w:lineRule="auto"/>
              <w:ind w:left="0" w:right="0" w:firstLine="480" w:firstLineChars="200"/>
              <w:textAlignment w:val="auto"/>
              <w:rPr>
                <w:rFonts w:hint="eastAsia"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根据上表可知，</w:t>
            </w:r>
            <w:r>
              <w:rPr>
                <w:rFonts w:hint="eastAsia" w:cs="Times New Roman"/>
                <w:color w:val="auto"/>
                <w:kern w:val="2"/>
                <w:sz w:val="24"/>
                <w:szCs w:val="24"/>
                <w:highlight w:val="none"/>
                <w:lang w:val="en-US" w:eastAsia="zh-CN" w:bidi="ar-SA"/>
              </w:rPr>
              <w:t>石灰石粉</w:t>
            </w:r>
            <w:r>
              <w:rPr>
                <w:rFonts w:hint="default" w:ascii="Times New Roman" w:hAnsi="Times New Roman" w:eastAsia="宋体" w:cs="Times New Roman"/>
                <w:color w:val="auto"/>
                <w:kern w:val="2"/>
                <w:sz w:val="24"/>
                <w:szCs w:val="24"/>
                <w:highlight w:val="none"/>
                <w:lang w:val="en-US" w:eastAsia="zh-CN" w:bidi="ar-SA"/>
              </w:rPr>
              <w:t>筒仓粉尘产生量为</w:t>
            </w:r>
            <w:r>
              <w:rPr>
                <w:rFonts w:hint="eastAsia" w:cs="Times New Roman"/>
                <w:color w:val="auto"/>
                <w:kern w:val="2"/>
                <w:sz w:val="24"/>
                <w:szCs w:val="24"/>
                <w:highlight w:val="none"/>
                <w:lang w:val="en-US" w:eastAsia="zh-CN" w:bidi="ar-SA"/>
              </w:rPr>
              <w:t>5.8682</w:t>
            </w:r>
            <w:r>
              <w:rPr>
                <w:rFonts w:hint="default" w:ascii="Times New Roman" w:hAnsi="Times New Roman" w:eastAsia="宋体" w:cs="Times New Roman"/>
                <w:color w:val="auto"/>
                <w:kern w:val="2"/>
                <w:sz w:val="24"/>
                <w:szCs w:val="24"/>
                <w:highlight w:val="none"/>
                <w:lang w:val="en-US" w:eastAsia="zh-CN" w:bidi="ar-SA"/>
              </w:rPr>
              <w:t>t/a，排放量为0.</w:t>
            </w:r>
            <w:r>
              <w:rPr>
                <w:rFonts w:hint="eastAsia" w:cs="Times New Roman"/>
                <w:color w:val="auto"/>
                <w:kern w:val="2"/>
                <w:sz w:val="24"/>
                <w:szCs w:val="24"/>
                <w:highlight w:val="none"/>
                <w:lang w:val="en-US" w:eastAsia="zh-CN" w:bidi="ar-SA"/>
              </w:rPr>
              <w:t>0235</w:t>
            </w:r>
            <w:r>
              <w:rPr>
                <w:rFonts w:hint="default" w:ascii="Times New Roman" w:hAnsi="Times New Roman" w:eastAsia="宋体" w:cs="Times New Roman"/>
                <w:color w:val="auto"/>
                <w:kern w:val="2"/>
                <w:sz w:val="24"/>
                <w:szCs w:val="24"/>
                <w:highlight w:val="none"/>
                <w:lang w:val="en-US" w:eastAsia="zh-CN" w:bidi="ar-SA"/>
              </w:rPr>
              <w:t>t/a，</w:t>
            </w:r>
            <w:r>
              <w:rPr>
                <w:rFonts w:hint="eastAsia" w:cs="Times New Roman"/>
                <w:color w:val="auto"/>
                <w:kern w:val="2"/>
                <w:sz w:val="24"/>
                <w:szCs w:val="24"/>
                <w:highlight w:val="none"/>
                <w:lang w:val="en-US" w:eastAsia="zh-CN" w:bidi="ar-SA"/>
              </w:rPr>
              <w:t>排放</w:t>
            </w:r>
            <w:r>
              <w:rPr>
                <w:rFonts w:hint="default" w:ascii="Times New Roman" w:hAnsi="Times New Roman" w:eastAsia="宋体" w:cs="Times New Roman"/>
                <w:color w:val="auto"/>
                <w:kern w:val="2"/>
                <w:sz w:val="24"/>
                <w:szCs w:val="24"/>
                <w:highlight w:val="none"/>
                <w:lang w:val="en-US" w:eastAsia="zh-CN" w:bidi="ar-SA"/>
              </w:rPr>
              <w:t>浓度为</w:t>
            </w:r>
            <w:r>
              <w:rPr>
                <w:rFonts w:hint="eastAsia" w:cs="Times New Roman"/>
                <w:color w:val="auto"/>
                <w:kern w:val="2"/>
                <w:sz w:val="24"/>
                <w:szCs w:val="24"/>
                <w:highlight w:val="none"/>
                <w:lang w:val="en-US" w:eastAsia="zh-CN" w:bidi="ar-SA"/>
              </w:rPr>
              <w:t>35.55</w:t>
            </w:r>
            <w:r>
              <w:rPr>
                <w:rFonts w:hint="default" w:ascii="Times New Roman" w:hAnsi="Times New Roman" w:eastAsia="宋体" w:cs="Times New Roman"/>
                <w:color w:val="auto"/>
                <w:kern w:val="2"/>
                <w:sz w:val="24"/>
                <w:szCs w:val="24"/>
                <w:highlight w:val="none"/>
                <w:lang w:val="en-US" w:eastAsia="zh-CN" w:bidi="ar-SA"/>
              </w:rPr>
              <w:t>mg/m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，可达到</w:t>
            </w:r>
            <w:r>
              <w:rPr>
                <w:rFonts w:hint="default" w:ascii="Times New Roman" w:hAnsi="Times New Roman" w:cs="Times New Roman"/>
                <w:color w:val="auto"/>
                <w:sz w:val="24"/>
                <w:szCs w:val="24"/>
                <w:shd w:val="clear" w:color="auto" w:fill="auto"/>
                <w:lang w:val="zh-CN" w:eastAsia="zh-CN"/>
              </w:rPr>
              <w:t>《大气污染物综合排放标准》（GB16297-1996）表2中二级标准</w:t>
            </w:r>
            <w:r>
              <w:rPr>
                <w:rFonts w:hint="default" w:ascii="Times New Roman" w:hAnsi="Times New Roman" w:eastAsia="宋体" w:cs="Times New Roman"/>
                <w:color w:val="auto"/>
                <w:kern w:val="2"/>
                <w:sz w:val="24"/>
                <w:szCs w:val="24"/>
                <w:highlight w:val="none"/>
                <w:lang w:val="en-US" w:eastAsia="zh-CN" w:bidi="ar-SA"/>
              </w:rPr>
              <w:t>，即</w:t>
            </w:r>
            <w:r>
              <w:rPr>
                <w:rFonts w:hint="eastAsia" w:cs="Times New Roman"/>
                <w:color w:val="auto"/>
                <w:kern w:val="2"/>
                <w:sz w:val="24"/>
                <w:szCs w:val="24"/>
                <w:highlight w:val="none"/>
                <w:lang w:val="en-US" w:eastAsia="zh-CN" w:bidi="ar-SA"/>
              </w:rPr>
              <w:t>颗粒物≤1</w:t>
            </w:r>
            <w:r>
              <w:rPr>
                <w:rFonts w:hint="default" w:ascii="Times New Roman" w:hAnsi="Times New Roman" w:eastAsia="宋体" w:cs="Times New Roman"/>
                <w:color w:val="auto"/>
                <w:kern w:val="2"/>
                <w:sz w:val="24"/>
                <w:szCs w:val="24"/>
                <w:highlight w:val="none"/>
                <w:lang w:val="en-US" w:eastAsia="zh-CN" w:bidi="ar-SA"/>
              </w:rPr>
              <w:t>20mg/m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p>
          <w:p w14:paraId="7DE063BC">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b/>
                <w:bCs/>
                <w:color w:val="auto"/>
              </w:rPr>
            </w:pPr>
            <w:r>
              <w:rPr>
                <w:rFonts w:hint="default" w:ascii="Times New Roman" w:hAnsi="Times New Roman" w:cs="Times New Roman"/>
                <w:b/>
                <w:bCs/>
                <w:color w:val="auto"/>
              </w:rPr>
              <w:t>表4-</w:t>
            </w:r>
            <w:r>
              <w:rPr>
                <w:rFonts w:hint="eastAsia" w:ascii="Times New Roman" w:hAnsi="Times New Roman" w:cs="Times New Roman"/>
                <w:b/>
                <w:bCs/>
                <w:color w:val="auto"/>
                <w:lang w:val="en-US" w:eastAsia="zh-CN"/>
              </w:rPr>
              <w:t>20</w:t>
            </w:r>
            <w:r>
              <w:rPr>
                <w:rFonts w:hint="default" w:ascii="Times New Roman" w:hAnsi="Times New Roman" w:cs="Times New Roman"/>
                <w:b/>
                <w:bCs/>
                <w:color w:val="auto"/>
              </w:rPr>
              <w:t xml:space="preserve"> </w:t>
            </w:r>
            <w:r>
              <w:rPr>
                <w:rFonts w:hint="default" w:ascii="Times New Roman" w:hAnsi="Times New Roman" w:eastAsia="宋体" w:cs="Times New Roman"/>
                <w:b/>
                <w:bCs/>
                <w:color w:val="auto"/>
              </w:rPr>
              <w:t xml:space="preserve"> 筒仓呼吸孔</w:t>
            </w:r>
            <w:r>
              <w:rPr>
                <w:rFonts w:hint="default" w:ascii="Times New Roman" w:hAnsi="Times New Roman" w:eastAsia="宋体" w:cs="Times New Roman"/>
                <w:b/>
                <w:bCs/>
                <w:color w:val="auto"/>
                <w:lang w:eastAsia="zh-CN"/>
              </w:rPr>
              <w:t>粉尘废气</w:t>
            </w:r>
            <w:r>
              <w:rPr>
                <w:rFonts w:hint="default" w:ascii="Times New Roman" w:hAnsi="Times New Roman" w:eastAsia="宋体" w:cs="Times New Roman"/>
                <w:b/>
                <w:bCs/>
                <w:color w:val="auto"/>
              </w:rPr>
              <w:t>分</w:t>
            </w:r>
            <w:r>
              <w:rPr>
                <w:rFonts w:hint="default" w:ascii="Times New Roman" w:hAnsi="Times New Roman" w:cs="Times New Roman"/>
                <w:b/>
                <w:bCs/>
                <w:color w:val="auto"/>
              </w:rPr>
              <w:t>析表</w:t>
            </w:r>
          </w:p>
          <w:tbl>
            <w:tblPr>
              <w:tblStyle w:val="28"/>
              <w:tblpPr w:leftFromText="180" w:rightFromText="180" w:vertAnchor="text" w:horzAnchor="page" w:tblpX="124" w:tblpY="264"/>
              <w:tblOverlap w:val="never"/>
              <w:tblW w:w="8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441"/>
              <w:gridCol w:w="5585"/>
            </w:tblGrid>
            <w:tr w14:paraId="01C1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80" w:type="dxa"/>
                  <w:gridSpan w:val="2"/>
                  <w:vAlign w:val="center"/>
                </w:tcPr>
                <w:p w14:paraId="1D88E918">
                  <w:pPr>
                    <w:keepNext w:val="0"/>
                    <w:keepLines w:val="0"/>
                    <w:pageBreakBefore w:val="0"/>
                    <w:widowControl w:val="0"/>
                    <w:kinsoku/>
                    <w:wordWrap/>
                    <w:overflowPunct/>
                    <w:topLinePunct w:val="0"/>
                    <w:autoSpaceDE/>
                    <w:autoSpaceDN/>
                    <w:bidi w:val="0"/>
                    <w:adjustRightInd w:val="0"/>
                    <w:snapToGrid w:val="0"/>
                    <w:jc w:val="center"/>
                    <w:textAlignment w:val="auto"/>
                    <w:rPr>
                      <w:b/>
                      <w:color w:val="auto"/>
                      <w:spacing w:val="-10"/>
                      <w:szCs w:val="21"/>
                    </w:rPr>
                  </w:pPr>
                  <w:r>
                    <w:rPr>
                      <w:b/>
                      <w:color w:val="auto"/>
                      <w:spacing w:val="-10"/>
                      <w:szCs w:val="21"/>
                    </w:rPr>
                    <w:t>产污排污环节</w:t>
                  </w:r>
                </w:p>
              </w:tc>
              <w:tc>
                <w:tcPr>
                  <w:tcW w:w="5585" w:type="dxa"/>
                  <w:vAlign w:val="center"/>
                </w:tcPr>
                <w:p w14:paraId="16C14FF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石灰石粉</w:t>
                  </w:r>
                  <w:r>
                    <w:rPr>
                      <w:rFonts w:hint="eastAsia" w:ascii="Times New Roman" w:hAnsi="Times New Roman" w:eastAsia="宋体" w:cs="Times New Roman"/>
                      <w:bCs/>
                      <w:color w:val="auto"/>
                      <w:kern w:val="0"/>
                      <w:sz w:val="21"/>
                      <w:szCs w:val="21"/>
                      <w:lang w:val="en-US" w:eastAsia="zh-CN" w:bidi="ar-SA"/>
                    </w:rPr>
                    <w:t>筒仓</w:t>
                  </w:r>
                </w:p>
              </w:tc>
            </w:tr>
            <w:tr w14:paraId="1BFC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880" w:type="dxa"/>
                  <w:gridSpan w:val="2"/>
                  <w:vAlign w:val="center"/>
                </w:tcPr>
                <w:p w14:paraId="69A59578">
                  <w:pPr>
                    <w:adjustRightInd w:val="0"/>
                    <w:snapToGrid w:val="0"/>
                    <w:jc w:val="center"/>
                    <w:rPr>
                      <w:b/>
                      <w:color w:val="auto"/>
                      <w:spacing w:val="-10"/>
                      <w:szCs w:val="21"/>
                    </w:rPr>
                  </w:pPr>
                  <w:r>
                    <w:rPr>
                      <w:b/>
                      <w:color w:val="auto"/>
                      <w:spacing w:val="-10"/>
                      <w:szCs w:val="21"/>
                    </w:rPr>
                    <w:t>污染物种类</w:t>
                  </w:r>
                </w:p>
              </w:tc>
              <w:tc>
                <w:tcPr>
                  <w:tcW w:w="5585" w:type="dxa"/>
                  <w:vAlign w:val="center"/>
                </w:tcPr>
                <w:p w14:paraId="666FEDE4">
                  <w:pPr>
                    <w:jc w:val="center"/>
                    <w:rPr>
                      <w:rFonts w:ascii="Times New Roman" w:hAnsi="Times New Roman"/>
                      <w:bCs/>
                      <w:color w:val="auto"/>
                      <w:spacing w:val="-10"/>
                    </w:rPr>
                  </w:pPr>
                  <w:r>
                    <w:rPr>
                      <w:rFonts w:hint="eastAsia" w:ascii="Times New Roman" w:hAnsi="Times New Roman"/>
                      <w:bCs/>
                      <w:color w:val="auto"/>
                      <w:spacing w:val="-10"/>
                    </w:rPr>
                    <w:t>颗粒物</w:t>
                  </w:r>
                </w:p>
              </w:tc>
            </w:tr>
            <w:tr w14:paraId="5B32F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gridSpan w:val="2"/>
                  <w:vAlign w:val="center"/>
                </w:tcPr>
                <w:p w14:paraId="276F00A5">
                  <w:pPr>
                    <w:adjustRightInd w:val="0"/>
                    <w:snapToGrid w:val="0"/>
                    <w:jc w:val="center"/>
                    <w:rPr>
                      <w:b/>
                      <w:color w:val="auto"/>
                      <w:spacing w:val="-10"/>
                      <w:szCs w:val="21"/>
                    </w:rPr>
                  </w:pPr>
                  <w:r>
                    <w:rPr>
                      <w:b/>
                      <w:color w:val="auto"/>
                      <w:spacing w:val="-10"/>
                      <w:szCs w:val="21"/>
                    </w:rPr>
                    <w:t>污染物产生量</w:t>
                  </w:r>
                </w:p>
              </w:tc>
              <w:tc>
                <w:tcPr>
                  <w:tcW w:w="5585" w:type="dxa"/>
                  <w:vAlign w:val="center"/>
                </w:tcPr>
                <w:p w14:paraId="20100582">
                  <w:pPr>
                    <w:pStyle w:val="16"/>
                    <w:jc w:val="center"/>
                    <w:rPr>
                      <w:bCs/>
                      <w:color w:val="auto"/>
                      <w:spacing w:val="-10"/>
                    </w:rPr>
                  </w:pPr>
                  <w:r>
                    <w:rPr>
                      <w:rFonts w:hint="eastAsia" w:ascii="Times New Roman" w:hAnsi="Times New Roman"/>
                      <w:bCs/>
                      <w:color w:val="auto"/>
                      <w:lang w:val="en-US" w:eastAsia="zh-CN"/>
                    </w:rPr>
                    <w:t>0.3065t/a</w:t>
                  </w:r>
                </w:p>
              </w:tc>
            </w:tr>
            <w:tr w14:paraId="674C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880" w:type="dxa"/>
                  <w:gridSpan w:val="2"/>
                  <w:vAlign w:val="center"/>
                </w:tcPr>
                <w:p w14:paraId="2BA5215B">
                  <w:pPr>
                    <w:adjustRightInd w:val="0"/>
                    <w:snapToGrid w:val="0"/>
                    <w:jc w:val="center"/>
                    <w:rPr>
                      <w:b/>
                      <w:color w:val="auto"/>
                      <w:spacing w:val="-10"/>
                      <w:szCs w:val="21"/>
                    </w:rPr>
                  </w:pPr>
                  <w:r>
                    <w:rPr>
                      <w:b/>
                      <w:color w:val="auto"/>
                      <w:spacing w:val="-10"/>
                      <w:szCs w:val="21"/>
                    </w:rPr>
                    <w:t>污染物产生浓度</w:t>
                  </w:r>
                </w:p>
              </w:tc>
              <w:tc>
                <w:tcPr>
                  <w:tcW w:w="5585" w:type="dxa"/>
                  <w:vAlign w:val="center"/>
                </w:tcPr>
                <w:p w14:paraId="6DF5D702">
                  <w:pPr>
                    <w:widowControl/>
                    <w:jc w:val="center"/>
                    <w:textAlignment w:val="center"/>
                    <w:rPr>
                      <w:bCs/>
                      <w:color w:val="auto"/>
                      <w:spacing w:val="-10"/>
                      <w:szCs w:val="21"/>
                    </w:rPr>
                  </w:pPr>
                  <w:r>
                    <w:rPr>
                      <w:rFonts w:hint="eastAsia"/>
                      <w:bCs/>
                      <w:color w:val="auto"/>
                      <w:kern w:val="0"/>
                      <w:szCs w:val="21"/>
                      <w:lang w:val="en-US" w:eastAsia="zh-CN"/>
                    </w:rPr>
                    <w:t>7662.5</w:t>
                  </w:r>
                  <w:r>
                    <w:rPr>
                      <w:bCs/>
                      <w:color w:val="auto"/>
                      <w:spacing w:val="-10"/>
                      <w:szCs w:val="21"/>
                    </w:rPr>
                    <w:t>mg/m</w:t>
                  </w:r>
                  <w:r>
                    <w:rPr>
                      <w:bCs/>
                      <w:color w:val="auto"/>
                      <w:spacing w:val="-10"/>
                      <w:szCs w:val="21"/>
                      <w:vertAlign w:val="superscript"/>
                    </w:rPr>
                    <w:t>3</w:t>
                  </w:r>
                </w:p>
              </w:tc>
            </w:tr>
            <w:tr w14:paraId="2E0B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gridSpan w:val="2"/>
                  <w:vAlign w:val="center"/>
                </w:tcPr>
                <w:p w14:paraId="7A595844">
                  <w:pPr>
                    <w:adjustRightInd w:val="0"/>
                    <w:snapToGrid w:val="0"/>
                    <w:jc w:val="center"/>
                    <w:rPr>
                      <w:b/>
                      <w:color w:val="auto"/>
                      <w:spacing w:val="-10"/>
                      <w:szCs w:val="21"/>
                    </w:rPr>
                  </w:pPr>
                  <w:r>
                    <w:rPr>
                      <w:b/>
                      <w:color w:val="auto"/>
                      <w:spacing w:val="-10"/>
                      <w:szCs w:val="21"/>
                    </w:rPr>
                    <w:t>排放形式</w:t>
                  </w:r>
                </w:p>
              </w:tc>
              <w:tc>
                <w:tcPr>
                  <w:tcW w:w="5585" w:type="dxa"/>
                  <w:vAlign w:val="center"/>
                </w:tcPr>
                <w:p w14:paraId="2EAFFA4A">
                  <w:pPr>
                    <w:adjustRightInd w:val="0"/>
                    <w:snapToGrid w:val="0"/>
                    <w:jc w:val="center"/>
                    <w:rPr>
                      <w:bCs/>
                      <w:color w:val="auto"/>
                      <w:spacing w:val="-10"/>
                      <w:szCs w:val="21"/>
                    </w:rPr>
                  </w:pPr>
                  <w:r>
                    <w:rPr>
                      <w:bCs/>
                      <w:color w:val="auto"/>
                      <w:spacing w:val="-10"/>
                      <w:szCs w:val="21"/>
                    </w:rPr>
                    <w:t>有组织</w:t>
                  </w:r>
                </w:p>
              </w:tc>
            </w:tr>
            <w:tr w14:paraId="3BA5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restart"/>
                  <w:vAlign w:val="center"/>
                </w:tcPr>
                <w:p w14:paraId="6CE74263">
                  <w:pPr>
                    <w:adjustRightInd w:val="0"/>
                    <w:snapToGrid w:val="0"/>
                    <w:jc w:val="center"/>
                    <w:rPr>
                      <w:b/>
                      <w:color w:val="auto"/>
                      <w:spacing w:val="-10"/>
                      <w:szCs w:val="21"/>
                    </w:rPr>
                  </w:pPr>
                  <w:r>
                    <w:rPr>
                      <w:b/>
                      <w:color w:val="auto"/>
                      <w:spacing w:val="-10"/>
                      <w:szCs w:val="21"/>
                    </w:rPr>
                    <w:t>治理设施</w:t>
                  </w:r>
                </w:p>
              </w:tc>
              <w:tc>
                <w:tcPr>
                  <w:tcW w:w="1441" w:type="dxa"/>
                  <w:vAlign w:val="center"/>
                </w:tcPr>
                <w:p w14:paraId="5E5C7DE1">
                  <w:pPr>
                    <w:adjustRightInd w:val="0"/>
                    <w:snapToGrid w:val="0"/>
                    <w:jc w:val="center"/>
                    <w:rPr>
                      <w:b/>
                      <w:color w:val="auto"/>
                      <w:spacing w:val="-10"/>
                      <w:szCs w:val="21"/>
                    </w:rPr>
                  </w:pPr>
                  <w:r>
                    <w:rPr>
                      <w:b/>
                      <w:color w:val="auto"/>
                      <w:spacing w:val="-10"/>
                      <w:szCs w:val="21"/>
                    </w:rPr>
                    <w:t>处理能力</w:t>
                  </w:r>
                </w:p>
              </w:tc>
              <w:tc>
                <w:tcPr>
                  <w:tcW w:w="5585" w:type="dxa"/>
                  <w:vAlign w:val="center"/>
                </w:tcPr>
                <w:p w14:paraId="05C6ED5C">
                  <w:pPr>
                    <w:adjustRightInd w:val="0"/>
                    <w:snapToGrid w:val="0"/>
                    <w:jc w:val="center"/>
                    <w:rPr>
                      <w:rFonts w:hint="default" w:eastAsia="宋体"/>
                      <w:color w:val="auto"/>
                      <w:lang w:val="en-US" w:eastAsia="zh-CN"/>
                    </w:rPr>
                  </w:pPr>
                  <w:r>
                    <w:rPr>
                      <w:rFonts w:hint="eastAsia"/>
                      <w:color w:val="auto"/>
                      <w:lang w:val="en-US" w:eastAsia="zh-CN"/>
                    </w:rPr>
                    <w:t>/</w:t>
                  </w:r>
                </w:p>
              </w:tc>
            </w:tr>
            <w:tr w14:paraId="34FF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vAlign w:val="center"/>
                </w:tcPr>
                <w:p w14:paraId="0D1501D2">
                  <w:pPr>
                    <w:adjustRightInd w:val="0"/>
                    <w:snapToGrid w:val="0"/>
                    <w:jc w:val="center"/>
                    <w:rPr>
                      <w:b/>
                      <w:color w:val="auto"/>
                      <w:spacing w:val="-10"/>
                      <w:szCs w:val="21"/>
                    </w:rPr>
                  </w:pPr>
                </w:p>
              </w:tc>
              <w:tc>
                <w:tcPr>
                  <w:tcW w:w="1441" w:type="dxa"/>
                  <w:vAlign w:val="center"/>
                </w:tcPr>
                <w:p w14:paraId="7C933005">
                  <w:pPr>
                    <w:adjustRightInd w:val="0"/>
                    <w:snapToGrid w:val="0"/>
                    <w:jc w:val="center"/>
                    <w:rPr>
                      <w:b/>
                      <w:color w:val="auto"/>
                      <w:spacing w:val="-10"/>
                      <w:szCs w:val="21"/>
                    </w:rPr>
                  </w:pPr>
                  <w:r>
                    <w:rPr>
                      <w:b/>
                      <w:color w:val="auto"/>
                      <w:spacing w:val="-10"/>
                      <w:szCs w:val="21"/>
                    </w:rPr>
                    <w:t>收集效率</w:t>
                  </w:r>
                </w:p>
              </w:tc>
              <w:tc>
                <w:tcPr>
                  <w:tcW w:w="5585" w:type="dxa"/>
                  <w:vAlign w:val="center"/>
                </w:tcPr>
                <w:p w14:paraId="224EECE7">
                  <w:pPr>
                    <w:adjustRightInd w:val="0"/>
                    <w:snapToGrid w:val="0"/>
                    <w:jc w:val="center"/>
                    <w:rPr>
                      <w:bCs/>
                      <w:color w:val="auto"/>
                      <w:spacing w:val="-10"/>
                      <w:szCs w:val="21"/>
                    </w:rPr>
                  </w:pPr>
                  <w:r>
                    <w:rPr>
                      <w:bCs/>
                      <w:color w:val="auto"/>
                      <w:spacing w:val="-10"/>
                      <w:szCs w:val="21"/>
                    </w:rPr>
                    <w:t>100%</w:t>
                  </w:r>
                </w:p>
              </w:tc>
            </w:tr>
            <w:tr w14:paraId="1795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vAlign w:val="center"/>
                </w:tcPr>
                <w:p w14:paraId="5449C360">
                  <w:pPr>
                    <w:adjustRightInd w:val="0"/>
                    <w:snapToGrid w:val="0"/>
                    <w:jc w:val="center"/>
                    <w:rPr>
                      <w:b/>
                      <w:color w:val="auto"/>
                      <w:spacing w:val="-10"/>
                      <w:szCs w:val="21"/>
                    </w:rPr>
                  </w:pPr>
                </w:p>
              </w:tc>
              <w:tc>
                <w:tcPr>
                  <w:tcW w:w="1441" w:type="dxa"/>
                  <w:vAlign w:val="center"/>
                </w:tcPr>
                <w:p w14:paraId="0B53499A">
                  <w:pPr>
                    <w:adjustRightInd w:val="0"/>
                    <w:snapToGrid w:val="0"/>
                    <w:jc w:val="center"/>
                    <w:rPr>
                      <w:b/>
                      <w:color w:val="auto"/>
                      <w:spacing w:val="-10"/>
                      <w:szCs w:val="21"/>
                    </w:rPr>
                  </w:pPr>
                  <w:r>
                    <w:rPr>
                      <w:b/>
                      <w:color w:val="auto"/>
                      <w:spacing w:val="-10"/>
                      <w:szCs w:val="21"/>
                    </w:rPr>
                    <w:t>治理工艺</w:t>
                  </w:r>
                </w:p>
              </w:tc>
              <w:tc>
                <w:tcPr>
                  <w:tcW w:w="5585" w:type="dxa"/>
                  <w:vAlign w:val="center"/>
                </w:tcPr>
                <w:p w14:paraId="3D828387">
                  <w:pPr>
                    <w:adjustRightInd w:val="0"/>
                    <w:snapToGrid w:val="0"/>
                    <w:jc w:val="center"/>
                    <w:rPr>
                      <w:bCs/>
                      <w:color w:val="auto"/>
                      <w:spacing w:val="-10"/>
                      <w:szCs w:val="21"/>
                    </w:rPr>
                  </w:pPr>
                  <w:r>
                    <w:rPr>
                      <w:rFonts w:hint="default" w:ascii="Times New Roman" w:hAnsi="Times New Roman" w:eastAsia="宋体" w:cs="Times New Roman"/>
                      <w:b w:val="0"/>
                      <w:bCs w:val="0"/>
                      <w:color w:val="auto"/>
                      <w:kern w:val="0"/>
                      <w:sz w:val="21"/>
                      <w:szCs w:val="21"/>
                      <w:highlight w:val="none"/>
                      <w:lang w:val="en-US" w:eastAsia="zh-CN"/>
                    </w:rPr>
                    <w:t>仓顶布袋除尘器</w:t>
                  </w:r>
                </w:p>
              </w:tc>
            </w:tr>
            <w:tr w14:paraId="7A3A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vAlign w:val="center"/>
                </w:tcPr>
                <w:p w14:paraId="6D85CD00">
                  <w:pPr>
                    <w:adjustRightInd w:val="0"/>
                    <w:snapToGrid w:val="0"/>
                    <w:jc w:val="center"/>
                    <w:rPr>
                      <w:b/>
                      <w:color w:val="auto"/>
                      <w:spacing w:val="-10"/>
                      <w:szCs w:val="21"/>
                    </w:rPr>
                  </w:pPr>
                </w:p>
              </w:tc>
              <w:tc>
                <w:tcPr>
                  <w:tcW w:w="1441" w:type="dxa"/>
                  <w:vAlign w:val="center"/>
                </w:tcPr>
                <w:p w14:paraId="5FE0A421">
                  <w:pPr>
                    <w:adjustRightInd w:val="0"/>
                    <w:snapToGrid w:val="0"/>
                    <w:jc w:val="center"/>
                    <w:rPr>
                      <w:b/>
                      <w:color w:val="auto"/>
                      <w:spacing w:val="-10"/>
                      <w:szCs w:val="21"/>
                    </w:rPr>
                  </w:pPr>
                  <w:r>
                    <w:rPr>
                      <w:b/>
                      <w:color w:val="auto"/>
                      <w:spacing w:val="-10"/>
                      <w:szCs w:val="21"/>
                    </w:rPr>
                    <w:t>治理工艺去除率</w:t>
                  </w:r>
                </w:p>
              </w:tc>
              <w:tc>
                <w:tcPr>
                  <w:tcW w:w="5585" w:type="dxa"/>
                  <w:vAlign w:val="center"/>
                </w:tcPr>
                <w:p w14:paraId="7CA5A02D">
                  <w:pPr>
                    <w:pStyle w:val="16"/>
                    <w:jc w:val="center"/>
                    <w:rPr>
                      <w:rFonts w:ascii="Times New Roman" w:hAnsi="Times New Roman"/>
                      <w:bCs/>
                      <w:color w:val="auto"/>
                      <w:spacing w:val="-10"/>
                    </w:rPr>
                  </w:pPr>
                  <w:r>
                    <w:rPr>
                      <w:rFonts w:hint="eastAsia" w:ascii="Times New Roman" w:hAnsi="Times New Roman" w:eastAsia="宋体" w:cs="Times New Roman"/>
                      <w:bCs/>
                      <w:color w:val="auto"/>
                      <w:spacing w:val="-10"/>
                      <w:kern w:val="2"/>
                      <w:sz w:val="21"/>
                      <w:szCs w:val="21"/>
                      <w:lang w:val="en-US" w:eastAsia="zh-CN" w:bidi="ar-SA"/>
                    </w:rPr>
                    <w:t>99.</w:t>
                  </w:r>
                  <w:r>
                    <w:rPr>
                      <w:rFonts w:hint="eastAsia" w:ascii="Times New Roman" w:hAnsi="Times New Roman" w:cs="Times New Roman"/>
                      <w:bCs/>
                      <w:color w:val="auto"/>
                      <w:spacing w:val="-10"/>
                      <w:kern w:val="2"/>
                      <w:sz w:val="21"/>
                      <w:szCs w:val="21"/>
                      <w:lang w:val="en-US" w:eastAsia="zh-CN" w:bidi="ar-SA"/>
                    </w:rPr>
                    <w:t>6</w:t>
                  </w:r>
                  <w:r>
                    <w:rPr>
                      <w:rFonts w:hint="eastAsia" w:ascii="Times New Roman" w:hAnsi="Times New Roman" w:eastAsia="宋体" w:cs="Times New Roman"/>
                      <w:bCs/>
                      <w:color w:val="auto"/>
                      <w:spacing w:val="-10"/>
                      <w:kern w:val="2"/>
                      <w:sz w:val="21"/>
                      <w:szCs w:val="21"/>
                      <w:lang w:val="en-US" w:eastAsia="zh-CN" w:bidi="ar-SA"/>
                    </w:rPr>
                    <w:t>%</w:t>
                  </w:r>
                </w:p>
              </w:tc>
            </w:tr>
            <w:tr w14:paraId="6800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vAlign w:val="center"/>
                </w:tcPr>
                <w:p w14:paraId="7004E09D">
                  <w:pPr>
                    <w:adjustRightInd w:val="0"/>
                    <w:snapToGrid w:val="0"/>
                    <w:jc w:val="center"/>
                    <w:rPr>
                      <w:b/>
                      <w:color w:val="auto"/>
                      <w:spacing w:val="-10"/>
                      <w:szCs w:val="21"/>
                    </w:rPr>
                  </w:pPr>
                </w:p>
              </w:tc>
              <w:tc>
                <w:tcPr>
                  <w:tcW w:w="1441" w:type="dxa"/>
                  <w:vAlign w:val="center"/>
                </w:tcPr>
                <w:p w14:paraId="5953EDAF">
                  <w:pPr>
                    <w:adjustRightInd w:val="0"/>
                    <w:snapToGrid w:val="0"/>
                    <w:jc w:val="center"/>
                    <w:rPr>
                      <w:b/>
                      <w:color w:val="auto"/>
                      <w:spacing w:val="-10"/>
                      <w:szCs w:val="21"/>
                    </w:rPr>
                  </w:pPr>
                  <w:r>
                    <w:rPr>
                      <w:b/>
                      <w:color w:val="auto"/>
                      <w:spacing w:val="-10"/>
                      <w:szCs w:val="21"/>
                    </w:rPr>
                    <w:t>是否为可行技术</w:t>
                  </w:r>
                </w:p>
              </w:tc>
              <w:tc>
                <w:tcPr>
                  <w:tcW w:w="5585" w:type="dxa"/>
                  <w:vAlign w:val="center"/>
                </w:tcPr>
                <w:p w14:paraId="3C406B5F">
                  <w:pPr>
                    <w:adjustRightInd w:val="0"/>
                    <w:snapToGrid w:val="0"/>
                    <w:jc w:val="center"/>
                    <w:rPr>
                      <w:bCs/>
                      <w:color w:val="auto"/>
                      <w:spacing w:val="-10"/>
                      <w:szCs w:val="21"/>
                    </w:rPr>
                  </w:pPr>
                  <w:r>
                    <w:rPr>
                      <w:bCs/>
                      <w:color w:val="auto"/>
                      <w:spacing w:val="-10"/>
                      <w:szCs w:val="21"/>
                    </w:rPr>
                    <w:t>是</w:t>
                  </w:r>
                </w:p>
              </w:tc>
            </w:tr>
            <w:tr w14:paraId="0A9A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gridSpan w:val="2"/>
                  <w:vAlign w:val="center"/>
                </w:tcPr>
                <w:p w14:paraId="399D75AB">
                  <w:pPr>
                    <w:adjustRightInd w:val="0"/>
                    <w:snapToGrid w:val="0"/>
                    <w:jc w:val="center"/>
                    <w:rPr>
                      <w:b/>
                      <w:color w:val="auto"/>
                      <w:spacing w:val="-10"/>
                      <w:szCs w:val="21"/>
                    </w:rPr>
                  </w:pPr>
                  <w:r>
                    <w:rPr>
                      <w:b/>
                      <w:color w:val="auto"/>
                      <w:spacing w:val="-10"/>
                      <w:szCs w:val="21"/>
                    </w:rPr>
                    <w:t>污染物排放浓度</w:t>
                  </w:r>
                </w:p>
              </w:tc>
              <w:tc>
                <w:tcPr>
                  <w:tcW w:w="5585" w:type="dxa"/>
                  <w:vAlign w:val="center"/>
                </w:tcPr>
                <w:p w14:paraId="6B659600">
                  <w:pPr>
                    <w:widowControl/>
                    <w:jc w:val="center"/>
                    <w:textAlignment w:val="center"/>
                    <w:rPr>
                      <w:bCs/>
                      <w:color w:val="auto"/>
                      <w:spacing w:val="-10"/>
                      <w:szCs w:val="21"/>
                    </w:rPr>
                  </w:pPr>
                  <w:r>
                    <w:rPr>
                      <w:rFonts w:hint="eastAsia"/>
                      <w:bCs/>
                      <w:color w:val="auto"/>
                      <w:kern w:val="0"/>
                      <w:szCs w:val="21"/>
                      <w:lang w:val="en-US" w:eastAsia="zh-CN"/>
                    </w:rPr>
                    <w:t>30.65</w:t>
                  </w:r>
                  <w:r>
                    <w:rPr>
                      <w:bCs/>
                      <w:color w:val="auto"/>
                      <w:spacing w:val="-10"/>
                      <w:szCs w:val="21"/>
                    </w:rPr>
                    <w:t>mg/m</w:t>
                  </w:r>
                  <w:r>
                    <w:rPr>
                      <w:bCs/>
                      <w:color w:val="auto"/>
                      <w:spacing w:val="-10"/>
                      <w:szCs w:val="21"/>
                      <w:vertAlign w:val="superscript"/>
                    </w:rPr>
                    <w:t>3</w:t>
                  </w:r>
                </w:p>
              </w:tc>
            </w:tr>
            <w:tr w14:paraId="4FAE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gridSpan w:val="2"/>
                  <w:vAlign w:val="center"/>
                </w:tcPr>
                <w:p w14:paraId="3BE62FF9">
                  <w:pPr>
                    <w:adjustRightInd w:val="0"/>
                    <w:snapToGrid w:val="0"/>
                    <w:jc w:val="center"/>
                    <w:rPr>
                      <w:b/>
                      <w:color w:val="auto"/>
                      <w:spacing w:val="-10"/>
                      <w:szCs w:val="21"/>
                    </w:rPr>
                  </w:pPr>
                  <w:r>
                    <w:rPr>
                      <w:b/>
                      <w:color w:val="auto"/>
                      <w:spacing w:val="-10"/>
                      <w:szCs w:val="21"/>
                    </w:rPr>
                    <w:t>污染物排放速率</w:t>
                  </w:r>
                </w:p>
              </w:tc>
              <w:tc>
                <w:tcPr>
                  <w:tcW w:w="5585" w:type="dxa"/>
                  <w:vAlign w:val="center"/>
                </w:tcPr>
                <w:p w14:paraId="28E431D3">
                  <w:pPr>
                    <w:pStyle w:val="16"/>
                    <w:jc w:val="center"/>
                    <w:rPr>
                      <w:rFonts w:ascii="Times New Roman" w:hAnsi="Times New Roman"/>
                      <w:bCs/>
                      <w:color w:val="auto"/>
                      <w:spacing w:val="-10"/>
                    </w:rPr>
                  </w:pPr>
                  <w:r>
                    <w:rPr>
                      <w:rFonts w:hint="eastAsia" w:ascii="Times New Roman" w:hAnsi="Times New Roman"/>
                      <w:bCs/>
                      <w:color w:val="auto"/>
                      <w:lang w:val="en-US" w:eastAsia="zh-CN"/>
                    </w:rPr>
                    <w:t>0.0613kg/h</w:t>
                  </w:r>
                </w:p>
              </w:tc>
            </w:tr>
            <w:tr w14:paraId="1BF5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gridSpan w:val="2"/>
                  <w:vAlign w:val="center"/>
                </w:tcPr>
                <w:p w14:paraId="1A4095B9">
                  <w:pPr>
                    <w:adjustRightInd w:val="0"/>
                    <w:snapToGrid w:val="0"/>
                    <w:jc w:val="center"/>
                    <w:rPr>
                      <w:b/>
                      <w:color w:val="auto"/>
                      <w:spacing w:val="-10"/>
                      <w:szCs w:val="21"/>
                    </w:rPr>
                  </w:pPr>
                  <w:r>
                    <w:rPr>
                      <w:b/>
                      <w:color w:val="auto"/>
                      <w:spacing w:val="-10"/>
                      <w:szCs w:val="21"/>
                    </w:rPr>
                    <w:t>污染物排放量</w:t>
                  </w:r>
                </w:p>
              </w:tc>
              <w:tc>
                <w:tcPr>
                  <w:tcW w:w="5585" w:type="dxa"/>
                  <w:vAlign w:val="center"/>
                </w:tcPr>
                <w:p w14:paraId="597B6659">
                  <w:pPr>
                    <w:pStyle w:val="16"/>
                    <w:jc w:val="center"/>
                    <w:rPr>
                      <w:bCs/>
                      <w:color w:val="auto"/>
                      <w:spacing w:val="-10"/>
                    </w:rPr>
                  </w:pPr>
                  <w:r>
                    <w:rPr>
                      <w:rFonts w:hint="eastAsia" w:ascii="Times New Roman" w:hAnsi="Times New Roman"/>
                      <w:bCs/>
                      <w:color w:val="auto"/>
                      <w:lang w:val="en-US" w:eastAsia="zh-CN"/>
                    </w:rPr>
                    <w:t>0.0012t/a</w:t>
                  </w:r>
                </w:p>
              </w:tc>
            </w:tr>
            <w:tr w14:paraId="606C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restart"/>
                  <w:vAlign w:val="center"/>
                </w:tcPr>
                <w:p w14:paraId="4E323A12">
                  <w:pPr>
                    <w:adjustRightInd w:val="0"/>
                    <w:snapToGrid w:val="0"/>
                    <w:jc w:val="center"/>
                    <w:rPr>
                      <w:b/>
                      <w:color w:val="auto"/>
                      <w:spacing w:val="-10"/>
                      <w:szCs w:val="21"/>
                    </w:rPr>
                  </w:pPr>
                  <w:r>
                    <w:rPr>
                      <w:b/>
                      <w:color w:val="auto"/>
                      <w:spacing w:val="-10"/>
                      <w:szCs w:val="21"/>
                    </w:rPr>
                    <w:t>排放口基本情况</w:t>
                  </w:r>
                </w:p>
              </w:tc>
              <w:tc>
                <w:tcPr>
                  <w:tcW w:w="1441" w:type="dxa"/>
                  <w:vAlign w:val="center"/>
                </w:tcPr>
                <w:p w14:paraId="6F7BE746">
                  <w:pPr>
                    <w:adjustRightInd w:val="0"/>
                    <w:snapToGrid w:val="0"/>
                    <w:jc w:val="center"/>
                    <w:rPr>
                      <w:b/>
                      <w:color w:val="auto"/>
                      <w:spacing w:val="-10"/>
                      <w:szCs w:val="21"/>
                    </w:rPr>
                  </w:pPr>
                  <w:r>
                    <w:rPr>
                      <w:b/>
                      <w:color w:val="auto"/>
                      <w:spacing w:val="-10"/>
                      <w:szCs w:val="21"/>
                    </w:rPr>
                    <w:t>排气筒高度</w:t>
                  </w:r>
                </w:p>
              </w:tc>
              <w:tc>
                <w:tcPr>
                  <w:tcW w:w="5585" w:type="dxa"/>
                  <w:vAlign w:val="center"/>
                </w:tcPr>
                <w:p w14:paraId="0C707D2D">
                  <w:pPr>
                    <w:adjustRightInd w:val="0"/>
                    <w:snapToGrid w:val="0"/>
                    <w:jc w:val="center"/>
                    <w:rPr>
                      <w:bCs/>
                      <w:color w:val="auto"/>
                      <w:spacing w:val="-10"/>
                      <w:szCs w:val="21"/>
                    </w:rPr>
                  </w:pPr>
                  <w:r>
                    <w:rPr>
                      <w:rFonts w:hint="eastAsia"/>
                      <w:bCs/>
                      <w:color w:val="auto"/>
                      <w:spacing w:val="-10"/>
                      <w:szCs w:val="21"/>
                      <w:lang w:val="en-US" w:eastAsia="zh-CN"/>
                    </w:rPr>
                    <w:t>16</w:t>
                  </w:r>
                  <w:r>
                    <w:rPr>
                      <w:rFonts w:hint="eastAsia"/>
                      <w:bCs/>
                      <w:color w:val="auto"/>
                      <w:spacing w:val="-10"/>
                      <w:szCs w:val="21"/>
                    </w:rPr>
                    <w:t>m</w:t>
                  </w:r>
                </w:p>
              </w:tc>
            </w:tr>
            <w:tr w14:paraId="2301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vAlign w:val="center"/>
                </w:tcPr>
                <w:p w14:paraId="63D331AB">
                  <w:pPr>
                    <w:adjustRightInd w:val="0"/>
                    <w:snapToGrid w:val="0"/>
                    <w:jc w:val="center"/>
                    <w:rPr>
                      <w:b/>
                      <w:color w:val="auto"/>
                      <w:spacing w:val="-10"/>
                      <w:szCs w:val="21"/>
                    </w:rPr>
                  </w:pPr>
                </w:p>
              </w:tc>
              <w:tc>
                <w:tcPr>
                  <w:tcW w:w="1441" w:type="dxa"/>
                  <w:vAlign w:val="center"/>
                </w:tcPr>
                <w:p w14:paraId="21612ECC">
                  <w:pPr>
                    <w:adjustRightInd w:val="0"/>
                    <w:snapToGrid w:val="0"/>
                    <w:jc w:val="center"/>
                    <w:rPr>
                      <w:b/>
                      <w:color w:val="auto"/>
                      <w:spacing w:val="-10"/>
                      <w:szCs w:val="21"/>
                    </w:rPr>
                  </w:pPr>
                  <w:r>
                    <w:rPr>
                      <w:b/>
                      <w:color w:val="auto"/>
                      <w:spacing w:val="-10"/>
                      <w:szCs w:val="21"/>
                    </w:rPr>
                    <w:t>排气筒内径</w:t>
                  </w:r>
                </w:p>
              </w:tc>
              <w:tc>
                <w:tcPr>
                  <w:tcW w:w="5585" w:type="dxa"/>
                  <w:vAlign w:val="center"/>
                </w:tcPr>
                <w:p w14:paraId="0D7DDC3F">
                  <w:pPr>
                    <w:adjustRightInd w:val="0"/>
                    <w:snapToGrid w:val="0"/>
                    <w:jc w:val="center"/>
                    <w:rPr>
                      <w:rFonts w:hint="default" w:eastAsia="宋体"/>
                      <w:bCs/>
                      <w:color w:val="auto"/>
                      <w:spacing w:val="-10"/>
                      <w:szCs w:val="21"/>
                      <w:lang w:val="en-US" w:eastAsia="zh-CN"/>
                    </w:rPr>
                  </w:pPr>
                  <w:r>
                    <w:rPr>
                      <w:rFonts w:hint="eastAsia"/>
                      <w:bCs/>
                      <w:color w:val="auto"/>
                      <w:spacing w:val="-10"/>
                      <w:szCs w:val="21"/>
                      <w:lang w:val="en-US" w:eastAsia="zh-CN"/>
                    </w:rPr>
                    <w:t>0.25m</w:t>
                  </w:r>
                </w:p>
              </w:tc>
            </w:tr>
            <w:tr w14:paraId="659A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vAlign w:val="center"/>
                </w:tcPr>
                <w:p w14:paraId="7DD25090">
                  <w:pPr>
                    <w:adjustRightInd w:val="0"/>
                    <w:snapToGrid w:val="0"/>
                    <w:jc w:val="center"/>
                    <w:rPr>
                      <w:b/>
                      <w:color w:val="auto"/>
                      <w:spacing w:val="-10"/>
                      <w:szCs w:val="21"/>
                    </w:rPr>
                  </w:pPr>
                </w:p>
              </w:tc>
              <w:tc>
                <w:tcPr>
                  <w:tcW w:w="1441" w:type="dxa"/>
                  <w:vAlign w:val="center"/>
                </w:tcPr>
                <w:p w14:paraId="426F3C9D">
                  <w:pPr>
                    <w:adjustRightInd w:val="0"/>
                    <w:snapToGrid w:val="0"/>
                    <w:jc w:val="center"/>
                    <w:rPr>
                      <w:b/>
                      <w:color w:val="auto"/>
                      <w:spacing w:val="-10"/>
                      <w:szCs w:val="21"/>
                    </w:rPr>
                  </w:pPr>
                  <w:r>
                    <w:rPr>
                      <w:b/>
                      <w:color w:val="auto"/>
                      <w:spacing w:val="-10"/>
                      <w:szCs w:val="21"/>
                    </w:rPr>
                    <w:t>温度</w:t>
                  </w:r>
                </w:p>
              </w:tc>
              <w:tc>
                <w:tcPr>
                  <w:tcW w:w="5585" w:type="dxa"/>
                  <w:vAlign w:val="center"/>
                </w:tcPr>
                <w:p w14:paraId="373C6BCB">
                  <w:pPr>
                    <w:adjustRightInd w:val="0"/>
                    <w:snapToGrid w:val="0"/>
                    <w:jc w:val="center"/>
                    <w:rPr>
                      <w:bCs/>
                      <w:color w:val="auto"/>
                      <w:spacing w:val="-10"/>
                      <w:szCs w:val="21"/>
                    </w:rPr>
                  </w:pPr>
                  <w:r>
                    <w:rPr>
                      <w:rFonts w:hint="eastAsia"/>
                      <w:bCs/>
                      <w:color w:val="auto"/>
                      <w:spacing w:val="-10"/>
                      <w:szCs w:val="21"/>
                      <w:lang w:val="en-US" w:eastAsia="zh-CN"/>
                    </w:rPr>
                    <w:t>25</w:t>
                  </w:r>
                  <w:r>
                    <w:rPr>
                      <w:bCs/>
                      <w:color w:val="auto"/>
                      <w:spacing w:val="-10"/>
                      <w:szCs w:val="21"/>
                    </w:rPr>
                    <w:t>℃</w:t>
                  </w:r>
                </w:p>
              </w:tc>
            </w:tr>
            <w:tr w14:paraId="1BC5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vAlign w:val="center"/>
                </w:tcPr>
                <w:p w14:paraId="5D1692C6">
                  <w:pPr>
                    <w:adjustRightInd w:val="0"/>
                    <w:snapToGrid w:val="0"/>
                    <w:jc w:val="center"/>
                    <w:rPr>
                      <w:b/>
                      <w:color w:val="auto"/>
                      <w:spacing w:val="-10"/>
                      <w:szCs w:val="21"/>
                    </w:rPr>
                  </w:pPr>
                </w:p>
              </w:tc>
              <w:tc>
                <w:tcPr>
                  <w:tcW w:w="1441" w:type="dxa"/>
                  <w:vAlign w:val="center"/>
                </w:tcPr>
                <w:p w14:paraId="4A8201EF">
                  <w:pPr>
                    <w:adjustRightInd w:val="0"/>
                    <w:snapToGrid w:val="0"/>
                    <w:jc w:val="center"/>
                    <w:rPr>
                      <w:b/>
                      <w:color w:val="auto"/>
                      <w:spacing w:val="-10"/>
                      <w:szCs w:val="21"/>
                    </w:rPr>
                  </w:pPr>
                  <w:r>
                    <w:rPr>
                      <w:b/>
                      <w:color w:val="auto"/>
                      <w:spacing w:val="-10"/>
                      <w:szCs w:val="21"/>
                    </w:rPr>
                    <w:t>编号</w:t>
                  </w:r>
                </w:p>
              </w:tc>
              <w:tc>
                <w:tcPr>
                  <w:tcW w:w="5585" w:type="dxa"/>
                  <w:vAlign w:val="center"/>
                </w:tcPr>
                <w:p w14:paraId="34760907">
                  <w:pPr>
                    <w:adjustRightInd w:val="0"/>
                    <w:snapToGrid w:val="0"/>
                    <w:jc w:val="center"/>
                    <w:rPr>
                      <w:rFonts w:hint="default" w:eastAsia="宋体"/>
                      <w:bCs/>
                      <w:color w:val="auto"/>
                      <w:spacing w:val="-10"/>
                      <w:szCs w:val="21"/>
                      <w:lang w:val="en-US" w:eastAsia="zh-CN"/>
                    </w:rPr>
                  </w:pPr>
                  <w:r>
                    <w:rPr>
                      <w:rFonts w:hint="eastAsia"/>
                      <w:bCs/>
                      <w:color w:val="auto"/>
                      <w:spacing w:val="-10"/>
                      <w:szCs w:val="21"/>
                    </w:rPr>
                    <w:t>DA0</w:t>
                  </w:r>
                  <w:r>
                    <w:rPr>
                      <w:rFonts w:hint="eastAsia"/>
                      <w:bCs/>
                      <w:color w:val="auto"/>
                      <w:spacing w:val="-10"/>
                      <w:szCs w:val="21"/>
                      <w:lang w:val="en-US" w:eastAsia="zh-CN"/>
                    </w:rPr>
                    <w:t>19</w:t>
                  </w:r>
                </w:p>
              </w:tc>
            </w:tr>
            <w:tr w14:paraId="6A1F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vAlign w:val="center"/>
                </w:tcPr>
                <w:p w14:paraId="34A17F08">
                  <w:pPr>
                    <w:adjustRightInd w:val="0"/>
                    <w:snapToGrid w:val="0"/>
                    <w:jc w:val="center"/>
                    <w:rPr>
                      <w:b/>
                      <w:color w:val="auto"/>
                      <w:spacing w:val="-10"/>
                      <w:szCs w:val="21"/>
                    </w:rPr>
                  </w:pPr>
                </w:p>
              </w:tc>
              <w:tc>
                <w:tcPr>
                  <w:tcW w:w="1441" w:type="dxa"/>
                  <w:vAlign w:val="center"/>
                </w:tcPr>
                <w:p w14:paraId="5105A0CB">
                  <w:pPr>
                    <w:adjustRightInd w:val="0"/>
                    <w:snapToGrid w:val="0"/>
                    <w:jc w:val="center"/>
                    <w:rPr>
                      <w:b/>
                      <w:color w:val="auto"/>
                      <w:spacing w:val="-10"/>
                      <w:szCs w:val="21"/>
                    </w:rPr>
                  </w:pPr>
                  <w:r>
                    <w:rPr>
                      <w:b/>
                      <w:color w:val="auto"/>
                      <w:spacing w:val="-10"/>
                      <w:szCs w:val="21"/>
                    </w:rPr>
                    <w:t>类型</w:t>
                  </w:r>
                </w:p>
              </w:tc>
              <w:tc>
                <w:tcPr>
                  <w:tcW w:w="5585" w:type="dxa"/>
                  <w:vAlign w:val="center"/>
                </w:tcPr>
                <w:p w14:paraId="75859FB5">
                  <w:pPr>
                    <w:adjustRightInd w:val="0"/>
                    <w:snapToGrid w:val="0"/>
                    <w:jc w:val="center"/>
                    <w:rPr>
                      <w:bCs/>
                      <w:color w:val="auto"/>
                      <w:spacing w:val="-10"/>
                      <w:szCs w:val="21"/>
                    </w:rPr>
                  </w:pPr>
                  <w:r>
                    <w:rPr>
                      <w:rFonts w:hint="eastAsia"/>
                      <w:bCs/>
                      <w:color w:val="auto"/>
                      <w:spacing w:val="-10"/>
                      <w:szCs w:val="21"/>
                    </w:rPr>
                    <w:t>一般排放口</w:t>
                  </w:r>
                </w:p>
              </w:tc>
            </w:tr>
            <w:tr w14:paraId="0533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vAlign w:val="center"/>
                </w:tcPr>
                <w:p w14:paraId="1A03ABED">
                  <w:pPr>
                    <w:adjustRightInd w:val="0"/>
                    <w:snapToGrid w:val="0"/>
                    <w:jc w:val="center"/>
                    <w:rPr>
                      <w:b/>
                      <w:color w:val="auto"/>
                      <w:spacing w:val="-10"/>
                      <w:szCs w:val="21"/>
                    </w:rPr>
                  </w:pPr>
                </w:p>
              </w:tc>
              <w:tc>
                <w:tcPr>
                  <w:tcW w:w="1441" w:type="dxa"/>
                  <w:vAlign w:val="center"/>
                </w:tcPr>
                <w:p w14:paraId="2680B2CA">
                  <w:pPr>
                    <w:adjustRightInd w:val="0"/>
                    <w:snapToGrid w:val="0"/>
                    <w:jc w:val="center"/>
                    <w:rPr>
                      <w:b/>
                      <w:color w:val="auto"/>
                      <w:spacing w:val="-10"/>
                      <w:szCs w:val="21"/>
                    </w:rPr>
                  </w:pPr>
                  <w:r>
                    <w:rPr>
                      <w:b/>
                      <w:color w:val="auto"/>
                      <w:spacing w:val="-10"/>
                      <w:szCs w:val="21"/>
                    </w:rPr>
                    <w:t>地理坐标</w:t>
                  </w:r>
                </w:p>
                <w:p w14:paraId="53EDD8D4">
                  <w:pPr>
                    <w:adjustRightInd w:val="0"/>
                    <w:snapToGrid w:val="0"/>
                    <w:jc w:val="center"/>
                    <w:rPr>
                      <w:color w:val="auto"/>
                    </w:rPr>
                  </w:pPr>
                </w:p>
              </w:tc>
              <w:tc>
                <w:tcPr>
                  <w:tcW w:w="5585" w:type="dxa"/>
                  <w:vAlign w:val="center"/>
                </w:tcPr>
                <w:p w14:paraId="11E4DC39">
                  <w:pPr>
                    <w:adjustRightInd w:val="0"/>
                    <w:snapToGrid w:val="0"/>
                    <w:jc w:val="center"/>
                    <w:rPr>
                      <w:rFonts w:hint="eastAsia"/>
                      <w:color w:val="auto"/>
                      <w:lang w:val="en-US" w:eastAsia="zh-CN"/>
                    </w:rPr>
                  </w:pPr>
                  <w:r>
                    <w:rPr>
                      <w:rFonts w:hint="eastAsia"/>
                      <w:color w:val="auto"/>
                      <w:highlight w:val="none"/>
                    </w:rPr>
                    <w:t>东</w:t>
                  </w:r>
                  <w:r>
                    <w:rPr>
                      <w:color w:val="auto"/>
                      <w:highlight w:val="none"/>
                    </w:rPr>
                    <w:t>经103°</w:t>
                  </w:r>
                  <w:r>
                    <w:rPr>
                      <w:rFonts w:hint="eastAsia"/>
                      <w:color w:val="auto"/>
                      <w:highlight w:val="none"/>
                      <w:lang w:val="en-US" w:eastAsia="zh-CN"/>
                    </w:rPr>
                    <w:t>11</w:t>
                  </w:r>
                  <w:r>
                    <w:rPr>
                      <w:color w:val="auto"/>
                      <w:highlight w:val="none"/>
                    </w:rPr>
                    <w:t>′</w:t>
                  </w:r>
                  <w:r>
                    <w:rPr>
                      <w:rFonts w:hint="eastAsia"/>
                      <w:color w:val="auto"/>
                      <w:highlight w:val="none"/>
                      <w:lang w:val="en-US" w:eastAsia="zh-CN"/>
                    </w:rPr>
                    <w:t>46.242</w:t>
                  </w:r>
                  <w:r>
                    <w:rPr>
                      <w:color w:val="auto"/>
                      <w:highlight w:val="none"/>
                    </w:rPr>
                    <w:t>″，北纬2</w:t>
                  </w:r>
                  <w:r>
                    <w:rPr>
                      <w:rFonts w:hint="eastAsia"/>
                      <w:color w:val="auto"/>
                      <w:highlight w:val="none"/>
                      <w:lang w:val="en-US" w:eastAsia="zh-CN"/>
                    </w:rPr>
                    <w:t>5</w:t>
                  </w:r>
                  <w:r>
                    <w:rPr>
                      <w:color w:val="auto"/>
                      <w:highlight w:val="none"/>
                    </w:rPr>
                    <w:t>°</w:t>
                  </w:r>
                  <w:r>
                    <w:rPr>
                      <w:rFonts w:hint="eastAsia"/>
                      <w:color w:val="auto"/>
                      <w:highlight w:val="none"/>
                      <w:lang w:val="en-US" w:eastAsia="zh-CN"/>
                    </w:rPr>
                    <w:t>33</w:t>
                  </w:r>
                  <w:r>
                    <w:rPr>
                      <w:color w:val="auto"/>
                      <w:highlight w:val="none"/>
                    </w:rPr>
                    <w:t>′</w:t>
                  </w:r>
                  <w:r>
                    <w:rPr>
                      <w:rFonts w:hint="eastAsia"/>
                      <w:color w:val="auto"/>
                      <w:highlight w:val="none"/>
                      <w:lang w:val="en-US" w:eastAsia="zh-CN"/>
                    </w:rPr>
                    <w:t>39.772</w:t>
                  </w:r>
                  <w:r>
                    <w:rPr>
                      <w:color w:val="auto"/>
                      <w:highlight w:val="none"/>
                    </w:rPr>
                    <w:t>″</w:t>
                  </w:r>
                </w:p>
              </w:tc>
            </w:tr>
            <w:tr w14:paraId="7201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Align w:val="center"/>
                </w:tcPr>
                <w:p w14:paraId="5D5675AD">
                  <w:pPr>
                    <w:adjustRightInd w:val="0"/>
                    <w:snapToGrid w:val="0"/>
                    <w:jc w:val="center"/>
                    <w:rPr>
                      <w:bCs/>
                      <w:color w:val="auto"/>
                      <w:spacing w:val="-10"/>
                      <w:szCs w:val="21"/>
                    </w:rPr>
                  </w:pPr>
                  <w:r>
                    <w:rPr>
                      <w:b/>
                      <w:color w:val="auto"/>
                      <w:spacing w:val="-10"/>
                      <w:szCs w:val="21"/>
                    </w:rPr>
                    <w:t>排放标准</w:t>
                  </w:r>
                </w:p>
              </w:tc>
              <w:tc>
                <w:tcPr>
                  <w:tcW w:w="7026" w:type="dxa"/>
                  <w:gridSpan w:val="2"/>
                  <w:vAlign w:val="center"/>
                </w:tcPr>
                <w:p w14:paraId="34BE0DD5">
                  <w:pPr>
                    <w:adjustRightInd w:val="0"/>
                    <w:snapToGrid w:val="0"/>
                    <w:jc w:val="center"/>
                    <w:rPr>
                      <w:rFonts w:hint="default" w:ascii="Times New Roman" w:hAnsi="Times New Roman" w:eastAsia="宋体" w:cs="Times New Roman"/>
                      <w:bCs/>
                      <w:color w:val="auto"/>
                      <w:spacing w:val="-10"/>
                      <w:kern w:val="0"/>
                      <w:sz w:val="21"/>
                      <w:szCs w:val="21"/>
                      <w:lang w:val="en-US" w:eastAsia="zh-CN" w:bidi="ar-SA"/>
                    </w:rPr>
                  </w:pPr>
                  <w:r>
                    <w:rPr>
                      <w:rFonts w:hint="default" w:ascii="Times New Roman" w:hAnsi="Times New Roman" w:cs="Times New Roman"/>
                      <w:color w:val="auto"/>
                      <w:sz w:val="21"/>
                      <w:szCs w:val="21"/>
                      <w:shd w:val="clear" w:color="auto" w:fill="auto"/>
                      <w:lang w:val="zh-CN" w:eastAsia="zh-CN"/>
                    </w:rPr>
                    <w:t>《大气污染物综合排放标准》（GB16297-1996）表2中二级标准</w:t>
                  </w:r>
                </w:p>
              </w:tc>
            </w:tr>
            <w:tr w14:paraId="603A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restart"/>
                  <w:vAlign w:val="center"/>
                </w:tcPr>
                <w:p w14:paraId="66E39786">
                  <w:pPr>
                    <w:adjustRightInd w:val="0"/>
                    <w:snapToGrid w:val="0"/>
                    <w:jc w:val="center"/>
                    <w:rPr>
                      <w:b/>
                      <w:color w:val="auto"/>
                      <w:spacing w:val="-10"/>
                      <w:szCs w:val="21"/>
                    </w:rPr>
                  </w:pPr>
                  <w:r>
                    <w:rPr>
                      <w:b/>
                      <w:color w:val="auto"/>
                      <w:spacing w:val="-10"/>
                      <w:szCs w:val="21"/>
                    </w:rPr>
                    <w:t>监测要求</w:t>
                  </w:r>
                </w:p>
              </w:tc>
              <w:tc>
                <w:tcPr>
                  <w:tcW w:w="1441" w:type="dxa"/>
                  <w:vAlign w:val="center"/>
                </w:tcPr>
                <w:p w14:paraId="43E436A8">
                  <w:pPr>
                    <w:adjustRightInd w:val="0"/>
                    <w:snapToGrid w:val="0"/>
                    <w:jc w:val="center"/>
                    <w:rPr>
                      <w:bCs/>
                      <w:color w:val="auto"/>
                      <w:spacing w:val="-10"/>
                      <w:szCs w:val="21"/>
                    </w:rPr>
                  </w:pPr>
                  <w:r>
                    <w:rPr>
                      <w:b/>
                      <w:color w:val="auto"/>
                      <w:spacing w:val="-10"/>
                      <w:szCs w:val="21"/>
                    </w:rPr>
                    <w:t>监测点位</w:t>
                  </w:r>
                </w:p>
              </w:tc>
              <w:tc>
                <w:tcPr>
                  <w:tcW w:w="5585" w:type="dxa"/>
                  <w:vAlign w:val="center"/>
                </w:tcPr>
                <w:p w14:paraId="506473AF">
                  <w:pPr>
                    <w:adjustRightInd w:val="0"/>
                    <w:snapToGrid w:val="0"/>
                    <w:jc w:val="center"/>
                    <w:rPr>
                      <w:bCs/>
                      <w:color w:val="auto"/>
                      <w:spacing w:val="-10"/>
                      <w:szCs w:val="21"/>
                    </w:rPr>
                  </w:pPr>
                  <w:r>
                    <w:rPr>
                      <w:bCs/>
                      <w:color w:val="auto"/>
                      <w:spacing w:val="-10"/>
                      <w:szCs w:val="21"/>
                    </w:rPr>
                    <w:t>排气筒出口</w:t>
                  </w:r>
                </w:p>
              </w:tc>
            </w:tr>
            <w:tr w14:paraId="4C8F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vAlign w:val="center"/>
                </w:tcPr>
                <w:p w14:paraId="330DCE9A">
                  <w:pPr>
                    <w:adjustRightInd w:val="0"/>
                    <w:snapToGrid w:val="0"/>
                    <w:jc w:val="center"/>
                    <w:rPr>
                      <w:b/>
                      <w:color w:val="auto"/>
                      <w:spacing w:val="-10"/>
                      <w:szCs w:val="21"/>
                    </w:rPr>
                  </w:pPr>
                </w:p>
              </w:tc>
              <w:tc>
                <w:tcPr>
                  <w:tcW w:w="1441" w:type="dxa"/>
                  <w:vAlign w:val="center"/>
                </w:tcPr>
                <w:p w14:paraId="7C88E533">
                  <w:pPr>
                    <w:adjustRightInd w:val="0"/>
                    <w:snapToGrid w:val="0"/>
                    <w:jc w:val="center"/>
                    <w:rPr>
                      <w:rFonts w:ascii="Times New Roman" w:hAnsi="Times New Roman"/>
                      <w:bCs/>
                      <w:color w:val="auto"/>
                      <w:spacing w:val="-10"/>
                    </w:rPr>
                  </w:pPr>
                  <w:r>
                    <w:rPr>
                      <w:b/>
                      <w:color w:val="auto"/>
                      <w:spacing w:val="-10"/>
                      <w:szCs w:val="21"/>
                    </w:rPr>
                    <w:t>监测因子</w:t>
                  </w:r>
                </w:p>
              </w:tc>
              <w:tc>
                <w:tcPr>
                  <w:tcW w:w="5585" w:type="dxa"/>
                  <w:vAlign w:val="center"/>
                </w:tcPr>
                <w:p w14:paraId="68B1D14A">
                  <w:pPr>
                    <w:jc w:val="center"/>
                    <w:rPr>
                      <w:rFonts w:hint="eastAsia" w:ascii="Times New Roman" w:hAnsi="Times New Roman"/>
                      <w:bCs/>
                      <w:color w:val="auto"/>
                      <w:spacing w:val="-10"/>
                    </w:rPr>
                  </w:pPr>
                  <w:r>
                    <w:rPr>
                      <w:rFonts w:hint="eastAsia"/>
                      <w:bCs/>
                      <w:color w:val="auto"/>
                      <w:spacing w:val="-10"/>
                      <w:lang w:eastAsia="zh-CN"/>
                    </w:rPr>
                    <w:t>颗粒物</w:t>
                  </w:r>
                </w:p>
              </w:tc>
            </w:tr>
            <w:tr w14:paraId="56D6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vAlign w:val="center"/>
                </w:tcPr>
                <w:p w14:paraId="45DFBCEC">
                  <w:pPr>
                    <w:adjustRightInd w:val="0"/>
                    <w:snapToGrid w:val="0"/>
                    <w:jc w:val="center"/>
                    <w:rPr>
                      <w:b/>
                      <w:color w:val="auto"/>
                      <w:spacing w:val="-10"/>
                      <w:szCs w:val="21"/>
                    </w:rPr>
                  </w:pPr>
                </w:p>
              </w:tc>
              <w:tc>
                <w:tcPr>
                  <w:tcW w:w="1441" w:type="dxa"/>
                  <w:vAlign w:val="center"/>
                </w:tcPr>
                <w:p w14:paraId="738B0E79">
                  <w:pPr>
                    <w:adjustRightInd w:val="0"/>
                    <w:snapToGrid w:val="0"/>
                    <w:jc w:val="center"/>
                    <w:rPr>
                      <w:rFonts w:hint="eastAsia" w:eastAsia="宋体"/>
                      <w:bCs/>
                      <w:color w:val="auto"/>
                      <w:spacing w:val="-10"/>
                      <w:szCs w:val="21"/>
                      <w:lang w:eastAsia="zh-CN"/>
                    </w:rPr>
                  </w:pPr>
                  <w:r>
                    <w:rPr>
                      <w:b/>
                      <w:color w:val="auto"/>
                      <w:spacing w:val="-10"/>
                      <w:szCs w:val="21"/>
                    </w:rPr>
                    <w:t>监测频次</w:t>
                  </w:r>
                </w:p>
              </w:tc>
              <w:tc>
                <w:tcPr>
                  <w:tcW w:w="5585" w:type="dxa"/>
                  <w:vAlign w:val="center"/>
                </w:tcPr>
                <w:p w14:paraId="5F563653">
                  <w:pPr>
                    <w:adjustRightInd w:val="0"/>
                    <w:snapToGrid w:val="0"/>
                    <w:jc w:val="center"/>
                    <w:rPr>
                      <w:rFonts w:hint="eastAsia"/>
                      <w:bCs/>
                      <w:color w:val="auto"/>
                      <w:spacing w:val="-10"/>
                      <w:szCs w:val="21"/>
                    </w:rPr>
                  </w:pPr>
                  <w:r>
                    <w:rPr>
                      <w:rFonts w:hint="eastAsia"/>
                      <w:bCs/>
                      <w:color w:val="auto"/>
                      <w:spacing w:val="-10"/>
                      <w:szCs w:val="21"/>
                    </w:rPr>
                    <w:t>1次/年</w:t>
                  </w:r>
                </w:p>
              </w:tc>
            </w:tr>
          </w:tbl>
          <w:p w14:paraId="72D1B7A6">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⑬氨水储罐呼吸废气</w:t>
            </w:r>
          </w:p>
          <w:p w14:paraId="3E654B47">
            <w:pPr>
              <w:keepNext w:val="0"/>
              <w:keepLines w:val="0"/>
              <w:pageBreakBefore w:val="0"/>
              <w:widowControl w:val="0"/>
              <w:kinsoku/>
              <w:wordWrap/>
              <w:overflowPunct/>
              <w:topLinePunct w:val="0"/>
              <w:autoSpaceDE/>
              <w:autoSpaceDN/>
              <w:bidi w:val="0"/>
              <w:adjustRightInd/>
              <w:snapToGrid/>
              <w:spacing w:line="348" w:lineRule="auto"/>
              <w:ind w:left="0" w:leftChars="0" w:firstLine="480" w:firstLineChars="200"/>
              <w:textAlignment w:val="auto"/>
              <w:outlineLvl w:val="9"/>
              <w:rPr>
                <w:rFonts w:hint="eastAsia"/>
                <w:color w:val="auto"/>
                <w:sz w:val="24"/>
              </w:rPr>
            </w:pPr>
            <w:r>
              <w:rPr>
                <w:rFonts w:hint="eastAsia"/>
                <w:color w:val="auto"/>
                <w:sz w:val="24"/>
              </w:rPr>
              <w:t>本项目</w:t>
            </w:r>
            <w:r>
              <w:rPr>
                <w:rFonts w:hint="eastAsia"/>
                <w:color w:val="auto"/>
                <w:sz w:val="24"/>
                <w:lang w:eastAsia="zh-CN"/>
              </w:rPr>
              <w:t>使用氨水对烘干废气进行脱硝处理，因此</w:t>
            </w:r>
            <w:r>
              <w:rPr>
                <w:rFonts w:hint="eastAsia"/>
                <w:color w:val="auto"/>
                <w:sz w:val="24"/>
              </w:rPr>
              <w:t>设有</w:t>
            </w:r>
            <w:r>
              <w:rPr>
                <w:rFonts w:hint="eastAsia"/>
                <w:color w:val="auto"/>
                <w:sz w:val="24"/>
                <w:lang w:val="en-US" w:eastAsia="zh-CN"/>
              </w:rPr>
              <w:t>1</w:t>
            </w:r>
            <w:r>
              <w:rPr>
                <w:rFonts w:hint="eastAsia"/>
                <w:color w:val="auto"/>
                <w:sz w:val="24"/>
              </w:rPr>
              <w:t>个</w:t>
            </w:r>
            <w:r>
              <w:rPr>
                <w:rFonts w:hint="eastAsia"/>
                <w:color w:val="auto"/>
                <w:sz w:val="24"/>
                <w:lang w:val="en-US" w:eastAsia="zh-CN"/>
              </w:rPr>
              <w:t>30</w:t>
            </w:r>
            <w:r>
              <w:rPr>
                <w:rFonts w:hint="eastAsia"/>
                <w:color w:val="auto"/>
                <w:sz w:val="24"/>
              </w:rPr>
              <w:t>m</w:t>
            </w:r>
            <w:r>
              <w:rPr>
                <w:rFonts w:hint="eastAsia"/>
                <w:color w:val="auto"/>
                <w:sz w:val="24"/>
                <w:vertAlign w:val="superscript"/>
              </w:rPr>
              <w:t>3</w:t>
            </w:r>
            <w:r>
              <w:rPr>
                <w:rFonts w:hint="eastAsia"/>
                <w:color w:val="auto"/>
                <w:sz w:val="24"/>
              </w:rPr>
              <w:t>的氨水储罐(＞</w:t>
            </w:r>
            <w:r>
              <w:rPr>
                <w:rFonts w:hint="eastAsia"/>
                <w:color w:val="auto"/>
                <w:sz w:val="24"/>
                <w:lang w:val="en-US" w:eastAsia="zh-CN"/>
              </w:rPr>
              <w:t>2</w:t>
            </w:r>
            <w:r>
              <w:rPr>
                <w:rFonts w:hint="eastAsia"/>
                <w:color w:val="auto"/>
                <w:sz w:val="24"/>
              </w:rPr>
              <w:t>0%)</w:t>
            </w:r>
            <w:r>
              <w:rPr>
                <w:rFonts w:hint="eastAsia"/>
                <w:color w:val="auto"/>
                <w:sz w:val="24"/>
                <w:lang w:eastAsia="zh-CN"/>
              </w:rPr>
              <w:t>，</w:t>
            </w:r>
            <w:r>
              <w:rPr>
                <w:rFonts w:hint="eastAsia"/>
                <w:color w:val="auto"/>
                <w:sz w:val="24"/>
              </w:rPr>
              <w:t>其大小呼吸产生的氨气排放量根据以下公式进行计算：</w:t>
            </w:r>
          </w:p>
          <w:p w14:paraId="4ADB89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outlineLvl w:val="9"/>
              <w:rPr>
                <w:rFonts w:hint="eastAsia"/>
                <w:b/>
                <w:bCs/>
                <w:color w:val="auto"/>
                <w:sz w:val="24"/>
                <w:szCs w:val="24"/>
              </w:rPr>
            </w:pPr>
            <w:r>
              <w:rPr>
                <w:rFonts w:hint="eastAsia"/>
                <w:b/>
                <w:bCs/>
                <w:color w:val="auto"/>
                <w:sz w:val="24"/>
                <w:szCs w:val="24"/>
              </w:rPr>
              <w:t>呼吸排放</w:t>
            </w:r>
            <w:r>
              <w:rPr>
                <w:rFonts w:hint="eastAsia"/>
                <w:b/>
                <w:bCs/>
                <w:color w:val="auto"/>
                <w:sz w:val="24"/>
                <w:szCs w:val="24"/>
                <w:lang w:eastAsia="zh-CN"/>
              </w:rPr>
              <w:t>（小呼吸）</w:t>
            </w:r>
            <w:r>
              <w:rPr>
                <w:rFonts w:hint="eastAsia"/>
                <w:b/>
                <w:bCs/>
                <w:color w:val="auto"/>
                <w:sz w:val="24"/>
                <w:szCs w:val="24"/>
              </w:rPr>
              <w:t>：</w:t>
            </w:r>
          </w:p>
          <w:p w14:paraId="1A44680A">
            <w:pPr>
              <w:keepNext w:val="0"/>
              <w:keepLines w:val="0"/>
              <w:pageBreakBefore w:val="0"/>
              <w:widowControl w:val="0"/>
              <w:kinsoku/>
              <w:wordWrap/>
              <w:overflowPunct/>
              <w:topLinePunct w:val="0"/>
              <w:autoSpaceDE/>
              <w:autoSpaceDN/>
              <w:bidi w:val="0"/>
              <w:adjustRightInd w:val="0"/>
              <w:snapToGrid w:val="0"/>
              <w:spacing w:line="360" w:lineRule="auto"/>
              <w:ind w:left="0" w:right="0" w:firstLine="493"/>
              <w:textAlignment w:val="auto"/>
              <w:rPr>
                <w:rFonts w:ascii="宋体" w:hAnsi="宋体" w:eastAsia="宋体" w:cs="宋体"/>
                <w:color w:val="auto"/>
                <w:sz w:val="24"/>
                <w:szCs w:val="24"/>
              </w:rPr>
            </w:pPr>
            <w:r>
              <w:rPr>
                <w:rFonts w:ascii="宋体" w:hAnsi="宋体" w:eastAsia="宋体" w:cs="宋体"/>
                <w:color w:val="auto"/>
                <w:spacing w:val="14"/>
                <w:sz w:val="24"/>
                <w:szCs w:val="24"/>
              </w:rPr>
              <w:t>呼吸排放是由于温度和大气压力的变化引起蒸气的膨胀和收缩而产生的蒸</w:t>
            </w:r>
            <w:r>
              <w:rPr>
                <w:rFonts w:ascii="宋体" w:hAnsi="宋体" w:eastAsia="宋体" w:cs="宋体"/>
                <w:color w:val="auto"/>
                <w:spacing w:val="10"/>
                <w:sz w:val="24"/>
                <w:szCs w:val="24"/>
              </w:rPr>
              <w:t>气</w:t>
            </w:r>
            <w:r>
              <w:rPr>
                <w:rFonts w:ascii="宋体" w:hAnsi="宋体" w:eastAsia="宋体" w:cs="宋体"/>
                <w:color w:val="auto"/>
                <w:spacing w:val="14"/>
                <w:sz w:val="24"/>
                <w:szCs w:val="24"/>
              </w:rPr>
              <w:t>排</w:t>
            </w:r>
            <w:r>
              <w:rPr>
                <w:rFonts w:ascii="宋体" w:hAnsi="宋体" w:eastAsia="宋体" w:cs="宋体"/>
                <w:color w:val="auto"/>
                <w:spacing w:val="9"/>
                <w:sz w:val="24"/>
                <w:szCs w:val="24"/>
              </w:rPr>
              <w:t>出</w:t>
            </w:r>
            <w:r>
              <w:rPr>
                <w:rFonts w:ascii="宋体" w:hAnsi="宋体" w:eastAsia="宋体" w:cs="宋体"/>
                <w:color w:val="auto"/>
                <w:spacing w:val="7"/>
                <w:sz w:val="24"/>
                <w:szCs w:val="24"/>
              </w:rPr>
              <w:t>，它出现在罐内液面无任何变化的情况，是非人为干扰的自然排放方式。固定</w:t>
            </w:r>
            <w:r>
              <w:rPr>
                <w:rFonts w:ascii="宋体" w:hAnsi="宋体" w:eastAsia="宋体" w:cs="宋体"/>
                <w:color w:val="auto"/>
                <w:spacing w:val="11"/>
                <w:sz w:val="24"/>
                <w:szCs w:val="24"/>
              </w:rPr>
              <w:t>顶</w:t>
            </w:r>
            <w:r>
              <w:rPr>
                <w:rFonts w:ascii="宋体" w:hAnsi="宋体" w:eastAsia="宋体" w:cs="宋体"/>
                <w:color w:val="auto"/>
                <w:spacing w:val="9"/>
                <w:sz w:val="24"/>
                <w:szCs w:val="24"/>
              </w:rPr>
              <w:t>罐的呼吸排放可以下式估算其污染物的排放量：</w:t>
            </w:r>
          </w:p>
          <w:p w14:paraId="73E71749">
            <w:pPr>
              <w:keepNext w:val="0"/>
              <w:keepLines w:val="0"/>
              <w:pageBreakBefore w:val="0"/>
              <w:widowControl w:val="0"/>
              <w:kinsoku/>
              <w:wordWrap/>
              <w:overflowPunct/>
              <w:topLinePunct w:val="0"/>
              <w:autoSpaceDE/>
              <w:autoSpaceDN/>
              <w:bidi w:val="0"/>
              <w:adjustRightInd w:val="0"/>
              <w:snapToGrid w:val="0"/>
              <w:spacing w:line="360" w:lineRule="auto"/>
              <w:ind w:left="0" w:right="0" w:firstLine="720" w:firstLineChars="300"/>
              <w:textAlignment w:val="auto"/>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position w:val="13"/>
                <w:sz w:val="24"/>
                <w:szCs w:val="24"/>
              </w:rPr>
              <w:t>L</w:t>
            </w:r>
            <w:r>
              <w:rPr>
                <w:rFonts w:ascii="Times New Roman" w:hAnsi="Times New Roman" w:eastAsia="Times New Roman" w:cs="Times New Roman"/>
                <w:color w:val="auto"/>
                <w:position w:val="11"/>
                <w:sz w:val="24"/>
                <w:szCs w:val="24"/>
                <w:vertAlign w:val="subscript"/>
              </w:rPr>
              <w:t>B</w:t>
            </w:r>
            <w:r>
              <w:rPr>
                <w:rFonts w:ascii="Times New Roman" w:hAnsi="Times New Roman" w:eastAsia="Times New Roman" w:cs="Times New Roman"/>
                <w:color w:val="auto"/>
                <w:spacing w:val="2"/>
                <w:position w:val="13"/>
                <w:sz w:val="24"/>
                <w:szCs w:val="24"/>
              </w:rPr>
              <w:t>=0.191*</w:t>
            </w:r>
            <w:r>
              <w:rPr>
                <w:rFonts w:ascii="Times New Roman" w:hAnsi="Times New Roman" w:eastAsia="Times New Roman" w:cs="Times New Roman"/>
                <w:color w:val="auto"/>
                <w:position w:val="13"/>
                <w:sz w:val="24"/>
                <w:szCs w:val="24"/>
              </w:rPr>
              <w:t>M</w:t>
            </w:r>
            <w:r>
              <w:rPr>
                <w:rFonts w:ascii="宋体" w:hAnsi="宋体" w:eastAsia="宋体" w:cs="宋体"/>
                <w:color w:val="auto"/>
                <w:spacing w:val="2"/>
                <w:position w:val="13"/>
                <w:sz w:val="24"/>
                <w:szCs w:val="24"/>
              </w:rPr>
              <w:t>(</w:t>
            </w:r>
            <w:r>
              <w:rPr>
                <w:rFonts w:ascii="Times New Roman" w:hAnsi="Times New Roman" w:eastAsia="Times New Roman" w:cs="Times New Roman"/>
                <w:color w:val="auto"/>
                <w:position w:val="13"/>
                <w:sz w:val="24"/>
                <w:szCs w:val="24"/>
              </w:rPr>
              <w:t>P</w:t>
            </w:r>
            <w:r>
              <w:rPr>
                <w:rFonts w:ascii="Times New Roman" w:hAnsi="Times New Roman" w:eastAsia="Times New Roman" w:cs="Times New Roman"/>
                <w:color w:val="auto"/>
                <w:spacing w:val="2"/>
                <w:position w:val="13"/>
                <w:sz w:val="24"/>
                <w:szCs w:val="24"/>
              </w:rPr>
              <w:t>/</w:t>
            </w:r>
            <w:r>
              <w:rPr>
                <w:rFonts w:hint="eastAsia" w:ascii="Times New Roman" w:hAnsi="Times New Roman" w:eastAsia="宋体" w:cs="Times New Roman"/>
                <w:color w:val="auto"/>
                <w:spacing w:val="2"/>
                <w:position w:val="13"/>
                <w:sz w:val="24"/>
                <w:szCs w:val="24"/>
                <w:lang w:eastAsia="zh-CN"/>
              </w:rPr>
              <w:t>（</w:t>
            </w:r>
            <w:r>
              <w:rPr>
                <w:rFonts w:ascii="Times New Roman" w:hAnsi="Times New Roman" w:eastAsia="Times New Roman" w:cs="Times New Roman"/>
                <w:color w:val="auto"/>
                <w:spacing w:val="2"/>
                <w:position w:val="13"/>
                <w:sz w:val="24"/>
                <w:szCs w:val="24"/>
              </w:rPr>
              <w:t>100910-</w:t>
            </w:r>
            <w:r>
              <w:rPr>
                <w:rFonts w:ascii="Times New Roman" w:hAnsi="Times New Roman" w:eastAsia="Times New Roman" w:cs="Times New Roman"/>
                <w:color w:val="auto"/>
                <w:position w:val="13"/>
                <w:sz w:val="24"/>
                <w:szCs w:val="24"/>
              </w:rPr>
              <w:t>P</w:t>
            </w:r>
            <w:r>
              <w:rPr>
                <w:rFonts w:hint="eastAsia" w:ascii="Times New Roman" w:hAnsi="Times New Roman" w:eastAsia="宋体" w:cs="Times New Roman"/>
                <w:color w:val="auto"/>
                <w:spacing w:val="2"/>
                <w:position w:val="13"/>
                <w:sz w:val="24"/>
                <w:szCs w:val="24"/>
                <w:lang w:eastAsia="zh-CN"/>
              </w:rPr>
              <w:t>）</w:t>
            </w:r>
            <w:r>
              <w:rPr>
                <w:rFonts w:ascii="宋体" w:hAnsi="宋体" w:eastAsia="宋体" w:cs="宋体"/>
                <w:color w:val="auto"/>
                <w:spacing w:val="2"/>
                <w:position w:val="13"/>
                <w:sz w:val="24"/>
                <w:szCs w:val="24"/>
              </w:rPr>
              <w:t>)</w:t>
            </w:r>
            <w:r>
              <w:rPr>
                <w:rFonts w:ascii="Times New Roman" w:hAnsi="Times New Roman" w:eastAsia="Times New Roman" w:cs="Times New Roman"/>
                <w:color w:val="auto"/>
                <w:spacing w:val="2"/>
                <w:position w:val="20"/>
                <w:sz w:val="24"/>
                <w:szCs w:val="24"/>
                <w:vertAlign w:val="superscript"/>
              </w:rPr>
              <w:t>0.68</w:t>
            </w:r>
            <w:r>
              <w:rPr>
                <w:rFonts w:ascii="Times New Roman" w:hAnsi="Times New Roman" w:eastAsia="Times New Roman" w:cs="Times New Roman"/>
                <w:color w:val="auto"/>
                <w:spacing w:val="2"/>
                <w:position w:val="13"/>
                <w:sz w:val="24"/>
                <w:szCs w:val="24"/>
                <w:vertAlign w:val="superscript"/>
              </w:rPr>
              <w:t>*</w:t>
            </w:r>
            <w:r>
              <w:rPr>
                <w:rFonts w:ascii="Times New Roman" w:hAnsi="Times New Roman" w:eastAsia="Times New Roman" w:cs="Times New Roman"/>
                <w:color w:val="auto"/>
                <w:position w:val="13"/>
                <w:sz w:val="24"/>
                <w:szCs w:val="24"/>
                <w:vertAlign w:val="superscript"/>
              </w:rPr>
              <w:t>D</w:t>
            </w:r>
            <w:r>
              <w:rPr>
                <w:rFonts w:ascii="Times New Roman" w:hAnsi="Times New Roman" w:eastAsia="Times New Roman" w:cs="Times New Roman"/>
                <w:color w:val="auto"/>
                <w:spacing w:val="2"/>
                <w:position w:val="20"/>
                <w:sz w:val="24"/>
                <w:szCs w:val="24"/>
                <w:vertAlign w:val="superscript"/>
              </w:rPr>
              <w:t>1.73</w:t>
            </w:r>
            <w:r>
              <w:rPr>
                <w:rFonts w:ascii="Times New Roman" w:hAnsi="Times New Roman" w:eastAsia="Times New Roman" w:cs="Times New Roman"/>
                <w:color w:val="auto"/>
                <w:spacing w:val="2"/>
                <w:position w:val="13"/>
                <w:sz w:val="24"/>
                <w:szCs w:val="24"/>
                <w:vertAlign w:val="superscript"/>
              </w:rPr>
              <w:t>*</w:t>
            </w:r>
            <w:r>
              <w:rPr>
                <w:rFonts w:ascii="Times New Roman" w:hAnsi="Times New Roman" w:eastAsia="Times New Roman" w:cs="Times New Roman"/>
                <w:color w:val="auto"/>
                <w:position w:val="13"/>
                <w:sz w:val="24"/>
                <w:szCs w:val="24"/>
                <w:vertAlign w:val="superscript"/>
              </w:rPr>
              <w:t>H</w:t>
            </w:r>
            <w:r>
              <w:rPr>
                <w:rFonts w:ascii="Times New Roman" w:hAnsi="Times New Roman" w:eastAsia="Times New Roman" w:cs="Times New Roman"/>
                <w:color w:val="auto"/>
                <w:spacing w:val="2"/>
                <w:position w:val="20"/>
                <w:sz w:val="24"/>
                <w:szCs w:val="24"/>
                <w:vertAlign w:val="superscript"/>
              </w:rPr>
              <w:t>0</w:t>
            </w:r>
            <w:r>
              <w:rPr>
                <w:rFonts w:ascii="Times New Roman" w:hAnsi="Times New Roman" w:eastAsia="Times New Roman" w:cs="Times New Roman"/>
                <w:color w:val="auto"/>
                <w:spacing w:val="1"/>
                <w:position w:val="20"/>
                <w:sz w:val="24"/>
                <w:szCs w:val="24"/>
                <w:vertAlign w:val="superscript"/>
              </w:rPr>
              <w:t>.51</w:t>
            </w:r>
            <w:r>
              <w:rPr>
                <w:rFonts w:ascii="Times New Roman" w:hAnsi="Times New Roman" w:eastAsia="Times New Roman" w:cs="Times New Roman"/>
                <w:color w:val="auto"/>
                <w:spacing w:val="1"/>
                <w:position w:val="13"/>
                <w:sz w:val="24"/>
                <w:szCs w:val="24"/>
                <w:vertAlign w:val="superscript"/>
              </w:rPr>
              <w:t>*Δ</w:t>
            </w:r>
            <w:r>
              <w:rPr>
                <w:rFonts w:ascii="Times New Roman" w:hAnsi="Times New Roman" w:eastAsia="Times New Roman" w:cs="Times New Roman"/>
                <w:color w:val="auto"/>
                <w:position w:val="13"/>
                <w:sz w:val="24"/>
                <w:szCs w:val="24"/>
                <w:vertAlign w:val="superscript"/>
              </w:rPr>
              <w:t>T</w:t>
            </w:r>
            <w:r>
              <w:rPr>
                <w:rFonts w:ascii="Times New Roman" w:hAnsi="Times New Roman" w:eastAsia="Times New Roman" w:cs="Times New Roman"/>
                <w:color w:val="auto"/>
                <w:spacing w:val="1"/>
                <w:position w:val="20"/>
                <w:sz w:val="24"/>
                <w:szCs w:val="24"/>
                <w:vertAlign w:val="superscript"/>
              </w:rPr>
              <w:t>0.45</w:t>
            </w:r>
            <w:r>
              <w:rPr>
                <w:rFonts w:ascii="Times New Roman" w:hAnsi="Times New Roman" w:eastAsia="Times New Roman" w:cs="Times New Roman"/>
                <w:color w:val="auto"/>
                <w:spacing w:val="1"/>
                <w:position w:val="13"/>
                <w:sz w:val="24"/>
                <w:szCs w:val="24"/>
                <w:vertAlign w:val="superscript"/>
              </w:rPr>
              <w:t>*</w:t>
            </w:r>
            <w:r>
              <w:rPr>
                <w:rFonts w:ascii="Times New Roman" w:hAnsi="Times New Roman" w:eastAsia="Times New Roman" w:cs="Times New Roman"/>
                <w:color w:val="auto"/>
                <w:position w:val="13"/>
                <w:sz w:val="24"/>
                <w:szCs w:val="24"/>
                <w:vertAlign w:val="superscript"/>
              </w:rPr>
              <w:t>F</w:t>
            </w:r>
            <w:r>
              <w:rPr>
                <w:rFonts w:ascii="Times New Roman" w:hAnsi="Times New Roman" w:eastAsia="Times New Roman" w:cs="Times New Roman"/>
                <w:color w:val="auto"/>
                <w:position w:val="11"/>
                <w:sz w:val="24"/>
                <w:szCs w:val="24"/>
                <w:vertAlign w:val="superscript"/>
              </w:rPr>
              <w:t>P</w:t>
            </w:r>
            <w:r>
              <w:rPr>
                <w:rFonts w:ascii="Times New Roman" w:hAnsi="Times New Roman" w:eastAsia="Times New Roman" w:cs="Times New Roman"/>
                <w:color w:val="auto"/>
                <w:spacing w:val="1"/>
                <w:position w:val="11"/>
                <w:sz w:val="24"/>
                <w:szCs w:val="24"/>
                <w:vertAlign w:val="superscript"/>
              </w:rPr>
              <w:t xml:space="preserve"> </w:t>
            </w:r>
            <w:r>
              <w:rPr>
                <w:rFonts w:ascii="Times New Roman" w:hAnsi="Times New Roman" w:eastAsia="Times New Roman" w:cs="Times New Roman"/>
                <w:color w:val="auto"/>
                <w:spacing w:val="1"/>
                <w:position w:val="13"/>
                <w:sz w:val="24"/>
                <w:szCs w:val="24"/>
                <w:vertAlign w:val="superscript"/>
              </w:rPr>
              <w:t>*</w:t>
            </w:r>
            <w:r>
              <w:rPr>
                <w:rFonts w:ascii="Times New Roman" w:hAnsi="Times New Roman" w:eastAsia="Times New Roman" w:cs="Times New Roman"/>
                <w:color w:val="auto"/>
                <w:position w:val="13"/>
                <w:sz w:val="24"/>
                <w:szCs w:val="24"/>
                <w:vertAlign w:val="superscript"/>
              </w:rPr>
              <w:t>C</w:t>
            </w:r>
            <w:r>
              <w:rPr>
                <w:rFonts w:ascii="Times New Roman" w:hAnsi="Times New Roman" w:eastAsia="Times New Roman" w:cs="Times New Roman"/>
                <w:color w:val="auto"/>
                <w:spacing w:val="1"/>
                <w:position w:val="13"/>
                <w:sz w:val="24"/>
                <w:szCs w:val="24"/>
                <w:vertAlign w:val="superscript"/>
              </w:rPr>
              <w:t>*</w:t>
            </w:r>
            <w:r>
              <w:rPr>
                <w:rFonts w:ascii="Times New Roman" w:hAnsi="Times New Roman" w:eastAsia="Times New Roman" w:cs="Times New Roman"/>
                <w:color w:val="auto"/>
                <w:position w:val="13"/>
                <w:sz w:val="24"/>
                <w:szCs w:val="24"/>
                <w:vertAlign w:val="superscript"/>
              </w:rPr>
              <w:t>K</w:t>
            </w:r>
            <w:r>
              <w:rPr>
                <w:rFonts w:ascii="Times New Roman" w:hAnsi="Times New Roman" w:eastAsia="Times New Roman" w:cs="Times New Roman"/>
                <w:color w:val="auto"/>
                <w:position w:val="11"/>
                <w:sz w:val="24"/>
                <w:szCs w:val="24"/>
                <w:vertAlign w:val="superscript"/>
              </w:rPr>
              <w:t>C</w:t>
            </w:r>
          </w:p>
          <w:p w14:paraId="283DA4D9">
            <w:pPr>
              <w:keepNext w:val="0"/>
              <w:keepLines w:val="0"/>
              <w:pageBreakBefore w:val="0"/>
              <w:widowControl w:val="0"/>
              <w:kinsoku/>
              <w:wordWrap/>
              <w:overflowPunct/>
              <w:topLinePunct w:val="0"/>
              <w:autoSpaceDE/>
              <w:autoSpaceDN/>
              <w:bidi w:val="0"/>
              <w:adjustRightInd w:val="0"/>
              <w:snapToGrid w:val="0"/>
              <w:spacing w:line="360" w:lineRule="auto"/>
              <w:ind w:left="0" w:right="0" w:firstLine="512" w:firstLineChars="200"/>
              <w:jc w:val="both"/>
              <w:textAlignment w:val="auto"/>
              <w:rPr>
                <w:rFonts w:ascii="宋体" w:hAnsi="宋体" w:eastAsia="宋体" w:cs="宋体"/>
                <w:color w:val="auto"/>
                <w:sz w:val="24"/>
                <w:szCs w:val="24"/>
              </w:rPr>
            </w:pPr>
            <w:r>
              <w:rPr>
                <w:rFonts w:ascii="宋体" w:hAnsi="宋体" w:eastAsia="宋体" w:cs="宋体"/>
                <w:color w:val="auto"/>
                <w:spacing w:val="8"/>
                <w:position w:val="3"/>
                <w:sz w:val="24"/>
                <w:szCs w:val="24"/>
              </w:rPr>
              <w:t>式</w:t>
            </w:r>
            <w:r>
              <w:rPr>
                <w:rFonts w:ascii="宋体" w:hAnsi="宋体" w:eastAsia="宋体" w:cs="宋体"/>
                <w:color w:val="auto"/>
                <w:spacing w:val="6"/>
                <w:position w:val="3"/>
                <w:sz w:val="24"/>
                <w:szCs w:val="24"/>
              </w:rPr>
              <w:t>中：</w:t>
            </w:r>
            <w:r>
              <w:rPr>
                <w:rFonts w:ascii="Times New Roman" w:hAnsi="Times New Roman" w:eastAsia="Times New Roman" w:cs="Times New Roman"/>
                <w:color w:val="auto"/>
                <w:position w:val="3"/>
                <w:sz w:val="24"/>
                <w:szCs w:val="24"/>
              </w:rPr>
              <w:t>L</w:t>
            </w:r>
            <w:r>
              <w:rPr>
                <w:rFonts w:ascii="Times New Roman" w:hAnsi="Times New Roman" w:eastAsia="Times New Roman" w:cs="Times New Roman"/>
                <w:color w:val="auto"/>
                <w:position w:val="3"/>
                <w:sz w:val="24"/>
                <w:szCs w:val="24"/>
                <w:vertAlign w:val="subscript"/>
              </w:rPr>
              <w:t>B</w:t>
            </w:r>
            <w:r>
              <w:rPr>
                <w:rFonts w:ascii="Times New Roman" w:hAnsi="Times New Roman" w:eastAsia="Times New Roman" w:cs="Times New Roman"/>
                <w:color w:val="auto"/>
                <w:spacing w:val="6"/>
                <w:position w:val="3"/>
                <w:sz w:val="24"/>
                <w:szCs w:val="24"/>
              </w:rPr>
              <w:t>—</w:t>
            </w:r>
            <w:r>
              <w:rPr>
                <w:rFonts w:ascii="宋体" w:hAnsi="宋体" w:eastAsia="宋体" w:cs="宋体"/>
                <w:color w:val="auto"/>
                <w:spacing w:val="6"/>
                <w:position w:val="3"/>
                <w:sz w:val="24"/>
                <w:szCs w:val="24"/>
              </w:rPr>
              <w:t>固定顶罐年小呼吸损失，</w:t>
            </w:r>
            <w:r>
              <w:rPr>
                <w:rFonts w:ascii="Times New Roman" w:hAnsi="Times New Roman" w:eastAsia="Times New Roman" w:cs="Times New Roman"/>
                <w:color w:val="auto"/>
                <w:position w:val="3"/>
                <w:sz w:val="24"/>
                <w:szCs w:val="24"/>
              </w:rPr>
              <w:t>kg</w:t>
            </w:r>
            <w:r>
              <w:rPr>
                <w:rFonts w:ascii="Times New Roman" w:hAnsi="Times New Roman" w:eastAsia="Times New Roman" w:cs="Times New Roman"/>
                <w:color w:val="auto"/>
                <w:spacing w:val="6"/>
                <w:position w:val="3"/>
                <w:sz w:val="24"/>
                <w:szCs w:val="24"/>
              </w:rPr>
              <w:t>/</w:t>
            </w:r>
            <w:r>
              <w:rPr>
                <w:rFonts w:ascii="Times New Roman" w:hAnsi="Times New Roman" w:eastAsia="Times New Roman" w:cs="Times New Roman"/>
                <w:color w:val="auto"/>
                <w:position w:val="3"/>
                <w:sz w:val="24"/>
                <w:szCs w:val="24"/>
              </w:rPr>
              <w:t>a</w:t>
            </w:r>
            <w:r>
              <w:rPr>
                <w:rFonts w:ascii="宋体" w:hAnsi="宋体" w:eastAsia="宋体" w:cs="宋体"/>
                <w:color w:val="auto"/>
                <w:spacing w:val="6"/>
                <w:position w:val="3"/>
                <w:sz w:val="24"/>
                <w:szCs w:val="24"/>
              </w:rPr>
              <w:t>。</w:t>
            </w:r>
          </w:p>
          <w:p w14:paraId="5F6F3153">
            <w:pPr>
              <w:keepNext w:val="0"/>
              <w:keepLines w:val="0"/>
              <w:pageBreakBefore w:val="0"/>
              <w:widowControl w:val="0"/>
              <w:kinsoku/>
              <w:wordWrap/>
              <w:overflowPunct/>
              <w:topLinePunct w:val="0"/>
              <w:autoSpaceDE/>
              <w:autoSpaceDN/>
              <w:bidi w:val="0"/>
              <w:adjustRightInd w:val="0"/>
              <w:snapToGrid w:val="0"/>
              <w:spacing w:line="360" w:lineRule="auto"/>
              <w:ind w:left="0" w:right="0" w:firstLine="1200" w:firstLineChars="500"/>
              <w:jc w:val="both"/>
              <w:textAlignment w:val="auto"/>
              <w:rPr>
                <w:rFonts w:hint="default" w:ascii="宋体" w:hAnsi="宋体" w:eastAsia="宋体" w:cs="宋体"/>
                <w:color w:val="auto"/>
                <w:sz w:val="24"/>
                <w:szCs w:val="24"/>
                <w:lang w:val="en-US" w:eastAsia="zh-CN"/>
              </w:rPr>
            </w:pPr>
            <w:r>
              <w:rPr>
                <w:rFonts w:ascii="Times New Roman" w:hAnsi="Times New Roman" w:eastAsia="Times New Roman" w:cs="Times New Roman"/>
                <w:color w:val="auto"/>
                <w:sz w:val="24"/>
                <w:szCs w:val="24"/>
              </w:rPr>
              <w:t>M</w:t>
            </w:r>
            <w:r>
              <w:rPr>
                <w:rFonts w:ascii="Times New Roman" w:hAnsi="Times New Roman" w:eastAsia="Times New Roman" w:cs="Times New Roman"/>
                <w:color w:val="auto"/>
                <w:spacing w:val="15"/>
                <w:sz w:val="24"/>
                <w:szCs w:val="24"/>
              </w:rPr>
              <w:t>—</w:t>
            </w:r>
            <w:r>
              <w:rPr>
                <w:rFonts w:ascii="宋体" w:hAnsi="宋体" w:eastAsia="宋体" w:cs="宋体"/>
                <w:color w:val="auto"/>
                <w:spacing w:val="9"/>
                <w:sz w:val="24"/>
                <w:szCs w:val="24"/>
              </w:rPr>
              <w:t>罐内蒸汽的分子量</w:t>
            </w:r>
            <w:r>
              <w:rPr>
                <w:rFonts w:hint="eastAsia" w:ascii="宋体" w:hAnsi="宋体" w:eastAsia="宋体" w:cs="宋体"/>
                <w:color w:val="auto"/>
                <w:spacing w:val="9"/>
                <w:sz w:val="24"/>
                <w:szCs w:val="24"/>
                <w:lang w:eastAsia="zh-CN"/>
              </w:rPr>
              <w:t>，</w:t>
            </w:r>
            <w:r>
              <w:rPr>
                <w:rFonts w:hint="eastAsia" w:ascii="Times New Roman" w:hAnsi="Times New Roman" w:eastAsia="Times New Roman" w:cs="Times New Roman"/>
                <w:color w:val="auto"/>
                <w:spacing w:val="5"/>
                <w:sz w:val="24"/>
                <w:szCs w:val="24"/>
                <w:lang w:val="en-US" w:eastAsia="zh-CN"/>
              </w:rPr>
              <w:t>35.045</w:t>
            </w:r>
          </w:p>
          <w:p w14:paraId="2A99DF27">
            <w:pPr>
              <w:keepNext w:val="0"/>
              <w:keepLines w:val="0"/>
              <w:pageBreakBefore w:val="0"/>
              <w:widowControl w:val="0"/>
              <w:kinsoku/>
              <w:wordWrap/>
              <w:overflowPunct/>
              <w:topLinePunct w:val="0"/>
              <w:autoSpaceDE/>
              <w:autoSpaceDN/>
              <w:bidi w:val="0"/>
              <w:adjustRightInd w:val="0"/>
              <w:snapToGrid w:val="0"/>
              <w:spacing w:line="360" w:lineRule="auto"/>
              <w:ind w:left="0" w:right="0" w:firstLine="1262" w:firstLineChars="526"/>
              <w:textAlignment w:val="auto"/>
              <w:rPr>
                <w:rFonts w:ascii="宋体" w:hAnsi="宋体" w:eastAsia="宋体" w:cs="宋体"/>
                <w:color w:val="auto"/>
                <w:sz w:val="24"/>
                <w:szCs w:val="24"/>
              </w:rPr>
            </w:pPr>
            <w:r>
              <w:rPr>
                <w:rFonts w:ascii="Times New Roman" w:hAnsi="Times New Roman" w:eastAsia="Times New Roman" w:cs="Times New Roman"/>
                <w:color w:val="auto"/>
                <w:sz w:val="24"/>
                <w:szCs w:val="24"/>
              </w:rPr>
              <w:t>P</w:t>
            </w:r>
            <w:r>
              <w:rPr>
                <w:rFonts w:ascii="Times New Roman" w:hAnsi="Times New Roman" w:eastAsia="Times New Roman" w:cs="Times New Roman"/>
                <w:color w:val="auto"/>
                <w:spacing w:val="7"/>
                <w:sz w:val="24"/>
                <w:szCs w:val="24"/>
              </w:rPr>
              <w:t>—</w:t>
            </w:r>
            <w:r>
              <w:rPr>
                <w:rFonts w:ascii="宋体" w:hAnsi="宋体" w:eastAsia="宋体" w:cs="宋体"/>
                <w:color w:val="auto"/>
                <w:spacing w:val="7"/>
                <w:sz w:val="24"/>
                <w:szCs w:val="24"/>
              </w:rPr>
              <w:t>在大量液体状态下，真实的蒸</w:t>
            </w:r>
            <w:r>
              <w:rPr>
                <w:rFonts w:hint="eastAsia" w:ascii="宋体" w:hAnsi="宋体" w:cs="宋体"/>
                <w:color w:val="auto"/>
                <w:spacing w:val="7"/>
                <w:sz w:val="24"/>
                <w:szCs w:val="24"/>
                <w:lang w:eastAsia="zh-CN"/>
              </w:rPr>
              <w:t>气压</w:t>
            </w:r>
            <w:r>
              <w:rPr>
                <w:rFonts w:ascii="宋体" w:hAnsi="宋体" w:eastAsia="宋体" w:cs="宋体"/>
                <w:color w:val="auto"/>
                <w:spacing w:val="7"/>
                <w:sz w:val="24"/>
                <w:szCs w:val="24"/>
              </w:rPr>
              <w:t>力，根据《化学化工物性数据手册</w:t>
            </w:r>
            <w:r>
              <w:rPr>
                <w:rFonts w:ascii="宋体" w:hAnsi="宋体" w:eastAsia="宋体" w:cs="宋体"/>
                <w:color w:val="auto"/>
                <w:spacing w:val="3"/>
                <w:sz w:val="24"/>
                <w:szCs w:val="24"/>
              </w:rPr>
              <w:t>无</w:t>
            </w:r>
            <w:r>
              <w:rPr>
                <w:rFonts w:ascii="宋体" w:hAnsi="宋体" w:eastAsia="宋体" w:cs="宋体"/>
                <w:color w:val="auto"/>
                <w:spacing w:val="9"/>
                <w:sz w:val="24"/>
                <w:szCs w:val="24"/>
              </w:rPr>
              <w:t>机</w:t>
            </w:r>
            <w:r>
              <w:rPr>
                <w:rFonts w:ascii="宋体" w:hAnsi="宋体" w:eastAsia="宋体" w:cs="宋体"/>
                <w:color w:val="auto"/>
                <w:spacing w:val="5"/>
                <w:sz w:val="24"/>
                <w:szCs w:val="24"/>
              </w:rPr>
              <w:t>卷》，</w:t>
            </w:r>
            <w:r>
              <w:rPr>
                <w:rFonts w:ascii="Times New Roman" w:hAnsi="Times New Roman" w:eastAsia="Times New Roman" w:cs="Times New Roman"/>
                <w:color w:val="auto"/>
                <w:spacing w:val="5"/>
                <w:sz w:val="24"/>
                <w:szCs w:val="24"/>
              </w:rPr>
              <w:t>2</w:t>
            </w:r>
            <w:r>
              <w:rPr>
                <w:rFonts w:hint="eastAsia" w:ascii="Times New Roman" w:hAnsi="Times New Roman" w:eastAsia="宋体" w:cs="Times New Roman"/>
                <w:color w:val="auto"/>
                <w:spacing w:val="5"/>
                <w:sz w:val="24"/>
                <w:szCs w:val="24"/>
                <w:lang w:val="en-US" w:eastAsia="zh-CN"/>
              </w:rPr>
              <w:t>0</w:t>
            </w:r>
            <w:r>
              <w:rPr>
                <w:rFonts w:ascii="Times New Roman" w:hAnsi="Times New Roman" w:eastAsia="Times New Roman" w:cs="Times New Roman"/>
                <w:color w:val="auto"/>
                <w:spacing w:val="5"/>
                <w:sz w:val="24"/>
                <w:szCs w:val="24"/>
              </w:rPr>
              <w:t>%</w:t>
            </w:r>
            <w:r>
              <w:rPr>
                <w:rFonts w:ascii="宋体" w:hAnsi="宋体" w:eastAsia="宋体" w:cs="宋体"/>
                <w:color w:val="auto"/>
                <w:spacing w:val="5"/>
                <w:sz w:val="24"/>
                <w:szCs w:val="24"/>
              </w:rPr>
              <w:t>氨水的蒸气压力为</w:t>
            </w:r>
            <w:r>
              <w:rPr>
                <w:rFonts w:ascii="Times New Roman" w:hAnsi="Times New Roman" w:eastAsia="Times New Roman" w:cs="Times New Roman"/>
                <w:color w:val="auto"/>
                <w:spacing w:val="5"/>
                <w:sz w:val="24"/>
                <w:szCs w:val="24"/>
              </w:rPr>
              <w:t>1.63</w:t>
            </w:r>
            <w:r>
              <w:rPr>
                <w:rFonts w:ascii="Times New Roman" w:hAnsi="Times New Roman" w:eastAsia="Times New Roman" w:cs="Times New Roman"/>
                <w:color w:val="auto"/>
                <w:sz w:val="24"/>
                <w:szCs w:val="24"/>
              </w:rPr>
              <w:t>KPa</w:t>
            </w:r>
            <w:r>
              <w:rPr>
                <w:rFonts w:ascii="宋体" w:hAnsi="宋体" w:eastAsia="宋体" w:cs="宋体"/>
                <w:color w:val="auto"/>
                <w:spacing w:val="5"/>
                <w:sz w:val="24"/>
                <w:szCs w:val="24"/>
              </w:rPr>
              <w:t>。</w:t>
            </w:r>
          </w:p>
          <w:p w14:paraId="2AED8B43">
            <w:pPr>
              <w:keepNext w:val="0"/>
              <w:keepLines w:val="0"/>
              <w:pageBreakBefore w:val="0"/>
              <w:widowControl w:val="0"/>
              <w:kinsoku/>
              <w:wordWrap/>
              <w:overflowPunct/>
              <w:topLinePunct w:val="0"/>
              <w:autoSpaceDE/>
              <w:autoSpaceDN/>
              <w:bidi w:val="0"/>
              <w:adjustRightInd w:val="0"/>
              <w:snapToGrid w:val="0"/>
              <w:spacing w:line="360" w:lineRule="auto"/>
              <w:ind w:left="0" w:right="0" w:firstLine="1200" w:firstLineChars="500"/>
              <w:textAlignment w:val="auto"/>
              <w:rPr>
                <w:rFonts w:ascii="宋体" w:hAnsi="宋体" w:eastAsia="宋体" w:cs="宋体"/>
                <w:color w:val="auto"/>
                <w:sz w:val="24"/>
                <w:szCs w:val="24"/>
              </w:rPr>
            </w:pPr>
            <w:r>
              <w:rPr>
                <w:rFonts w:ascii="Times New Roman" w:hAnsi="Times New Roman" w:eastAsia="Times New Roman" w:cs="Times New Roman"/>
                <w:color w:val="auto"/>
                <w:sz w:val="24"/>
                <w:szCs w:val="24"/>
              </w:rPr>
              <w:t>D</w:t>
            </w:r>
            <w:r>
              <w:rPr>
                <w:rFonts w:ascii="Times New Roman" w:hAnsi="Times New Roman" w:eastAsia="Times New Roman" w:cs="Times New Roman"/>
                <w:color w:val="auto"/>
                <w:spacing w:val="7"/>
                <w:sz w:val="24"/>
                <w:szCs w:val="24"/>
              </w:rPr>
              <w:t>—</w:t>
            </w:r>
            <w:r>
              <w:rPr>
                <w:rFonts w:ascii="宋体" w:hAnsi="宋体" w:eastAsia="宋体" w:cs="宋体"/>
                <w:color w:val="auto"/>
                <w:spacing w:val="7"/>
                <w:sz w:val="24"/>
                <w:szCs w:val="24"/>
              </w:rPr>
              <w:t>罐的直径，</w:t>
            </w:r>
            <w:r>
              <w:rPr>
                <w:rFonts w:ascii="Times New Roman" w:hAnsi="Times New Roman" w:eastAsia="Times New Roman" w:cs="Times New Roman"/>
                <w:color w:val="auto"/>
                <w:sz w:val="24"/>
                <w:szCs w:val="24"/>
              </w:rPr>
              <w:t>m</w:t>
            </w:r>
            <w:r>
              <w:rPr>
                <w:rFonts w:ascii="宋体" w:hAnsi="宋体" w:eastAsia="宋体" w:cs="宋体"/>
                <w:color w:val="auto"/>
                <w:spacing w:val="7"/>
                <w:sz w:val="24"/>
                <w:szCs w:val="24"/>
              </w:rPr>
              <w:t>，卧式储罐按等效直径估算</w:t>
            </w:r>
            <w:r>
              <w:rPr>
                <w:rFonts w:ascii="宋体" w:hAnsi="宋体" w:eastAsia="宋体" w:cs="宋体"/>
                <w:color w:val="auto"/>
                <w:spacing w:val="3"/>
                <w:sz w:val="24"/>
                <w:szCs w:val="24"/>
              </w:rPr>
              <w:t>。</w:t>
            </w:r>
          </w:p>
          <w:p w14:paraId="6D5B3834">
            <w:pPr>
              <w:keepNext w:val="0"/>
              <w:keepLines w:val="0"/>
              <w:pageBreakBefore w:val="0"/>
              <w:widowControl w:val="0"/>
              <w:kinsoku/>
              <w:wordWrap/>
              <w:overflowPunct/>
              <w:topLinePunct w:val="0"/>
              <w:autoSpaceDE/>
              <w:autoSpaceDN/>
              <w:bidi w:val="0"/>
              <w:adjustRightInd w:val="0"/>
              <w:snapToGrid w:val="0"/>
              <w:spacing w:line="360" w:lineRule="auto"/>
              <w:ind w:left="239" w:leftChars="114" w:right="0" w:firstLine="957" w:firstLineChars="399"/>
              <w:textAlignment w:val="auto"/>
              <w:rPr>
                <w:rFonts w:hint="eastAsia" w:ascii="宋体" w:hAnsi="宋体" w:eastAsia="宋体" w:cs="宋体"/>
                <w:color w:val="auto"/>
                <w:spacing w:val="4"/>
                <w:sz w:val="24"/>
                <w:szCs w:val="24"/>
                <w:lang w:val="en-US" w:eastAsia="zh-CN"/>
              </w:rPr>
            </w:pPr>
            <w:r>
              <w:rPr>
                <w:rFonts w:ascii="Times New Roman" w:hAnsi="Times New Roman" w:eastAsia="Times New Roman" w:cs="Times New Roman"/>
                <w:color w:val="auto"/>
                <w:sz w:val="24"/>
                <w:szCs w:val="24"/>
              </w:rPr>
              <w:t>H</w:t>
            </w:r>
            <w:r>
              <w:rPr>
                <w:rFonts w:ascii="Times New Roman" w:hAnsi="Times New Roman" w:eastAsia="Times New Roman" w:cs="Times New Roman"/>
                <w:color w:val="auto"/>
                <w:spacing w:val="7"/>
                <w:sz w:val="24"/>
                <w:szCs w:val="24"/>
              </w:rPr>
              <w:t>—</w:t>
            </w:r>
            <w:r>
              <w:rPr>
                <w:rFonts w:ascii="宋体" w:hAnsi="宋体" w:eastAsia="宋体" w:cs="宋体"/>
                <w:color w:val="auto"/>
                <w:spacing w:val="4"/>
                <w:sz w:val="24"/>
                <w:szCs w:val="24"/>
              </w:rPr>
              <w:t>平均蒸汽空间高度，</w:t>
            </w:r>
            <w:r>
              <w:rPr>
                <w:rFonts w:ascii="Times New Roman" w:hAnsi="Times New Roman" w:eastAsia="Times New Roman" w:cs="Times New Roman"/>
                <w:color w:val="auto"/>
                <w:sz w:val="24"/>
                <w:szCs w:val="24"/>
              </w:rPr>
              <w:t>m</w:t>
            </w:r>
            <w:r>
              <w:rPr>
                <w:rFonts w:ascii="宋体" w:hAnsi="宋体" w:eastAsia="宋体" w:cs="宋体"/>
                <w:color w:val="auto"/>
                <w:spacing w:val="4"/>
                <w:sz w:val="24"/>
                <w:szCs w:val="24"/>
              </w:rPr>
              <w:t>，本评价取</w:t>
            </w:r>
            <w:r>
              <w:rPr>
                <w:rFonts w:ascii="Times New Roman" w:hAnsi="Times New Roman" w:eastAsia="Times New Roman" w:cs="Times New Roman"/>
                <w:color w:val="auto"/>
                <w:spacing w:val="4"/>
                <w:sz w:val="24"/>
                <w:szCs w:val="24"/>
              </w:rPr>
              <w:t>20%</w:t>
            </w:r>
            <w:r>
              <w:rPr>
                <w:rFonts w:ascii="宋体" w:hAnsi="宋体" w:eastAsia="宋体" w:cs="宋体"/>
                <w:color w:val="auto"/>
                <w:spacing w:val="4"/>
                <w:sz w:val="24"/>
                <w:szCs w:val="24"/>
              </w:rPr>
              <w:t>高度(</w:t>
            </w:r>
            <w:r>
              <w:rPr>
                <w:rFonts w:ascii="Times New Roman" w:hAnsi="Times New Roman" w:eastAsia="Times New Roman" w:cs="Times New Roman"/>
                <w:color w:val="auto"/>
                <w:spacing w:val="4"/>
                <w:sz w:val="24"/>
                <w:szCs w:val="24"/>
              </w:rPr>
              <w:t>80%</w:t>
            </w:r>
            <w:r>
              <w:rPr>
                <w:rFonts w:ascii="宋体" w:hAnsi="宋体" w:eastAsia="宋体" w:cs="宋体"/>
                <w:color w:val="auto"/>
                <w:spacing w:val="4"/>
                <w:sz w:val="24"/>
                <w:szCs w:val="24"/>
              </w:rPr>
              <w:t>的充满率)。</w:t>
            </w:r>
          </w:p>
          <w:p w14:paraId="3976B699">
            <w:pPr>
              <w:keepNext w:val="0"/>
              <w:keepLines w:val="0"/>
              <w:pageBreakBefore w:val="0"/>
              <w:widowControl w:val="0"/>
              <w:kinsoku/>
              <w:wordWrap/>
              <w:overflowPunct/>
              <w:topLinePunct w:val="0"/>
              <w:autoSpaceDE/>
              <w:autoSpaceDN/>
              <w:bidi w:val="0"/>
              <w:adjustRightInd w:val="0"/>
              <w:snapToGrid w:val="0"/>
              <w:spacing w:line="360" w:lineRule="auto"/>
              <w:ind w:left="239" w:leftChars="114" w:right="0" w:firstLine="997" w:firstLineChars="399"/>
              <w:textAlignment w:val="auto"/>
              <w:rPr>
                <w:rFonts w:ascii="宋体" w:hAnsi="宋体" w:eastAsia="宋体" w:cs="宋体"/>
                <w:color w:val="auto"/>
                <w:sz w:val="24"/>
                <w:szCs w:val="24"/>
              </w:rPr>
            </w:pPr>
            <w:r>
              <w:rPr>
                <w:rFonts w:ascii="Times New Roman" w:hAnsi="Times New Roman" w:eastAsia="Times New Roman" w:cs="Times New Roman"/>
                <w:color w:val="auto"/>
                <w:spacing w:val="5"/>
                <w:sz w:val="24"/>
                <w:szCs w:val="24"/>
              </w:rPr>
              <w:t>Δ</w:t>
            </w:r>
            <w:r>
              <w:rPr>
                <w:rFonts w:ascii="Times New Roman" w:hAnsi="Times New Roman" w:eastAsia="Times New Roman" w:cs="Times New Roman"/>
                <w:color w:val="auto"/>
                <w:sz w:val="24"/>
                <w:szCs w:val="24"/>
              </w:rPr>
              <w:t>T</w:t>
            </w:r>
            <w:r>
              <w:rPr>
                <w:rFonts w:ascii="Times New Roman" w:hAnsi="Times New Roman" w:eastAsia="Times New Roman" w:cs="Times New Roman"/>
                <w:color w:val="auto"/>
                <w:spacing w:val="4"/>
                <w:sz w:val="24"/>
                <w:szCs w:val="24"/>
              </w:rPr>
              <w:t>—</w:t>
            </w:r>
            <w:r>
              <w:rPr>
                <w:rFonts w:ascii="宋体" w:hAnsi="宋体" w:eastAsia="宋体" w:cs="宋体"/>
                <w:color w:val="auto"/>
                <w:spacing w:val="4"/>
                <w:sz w:val="24"/>
                <w:szCs w:val="24"/>
              </w:rPr>
              <w:t>一天之内的平均温度差，</w:t>
            </w:r>
            <w:r>
              <w:rPr>
                <w:rFonts w:ascii="Times New Roman" w:hAnsi="Times New Roman" w:eastAsia="Times New Roman" w:cs="Times New Roman"/>
                <w:color w:val="auto"/>
                <w:spacing w:val="4"/>
                <w:sz w:val="24"/>
                <w:szCs w:val="24"/>
              </w:rPr>
              <w:t>℃</w:t>
            </w:r>
            <w:r>
              <w:rPr>
                <w:rFonts w:ascii="宋体" w:hAnsi="宋体" w:eastAsia="宋体" w:cs="宋体"/>
                <w:color w:val="auto"/>
                <w:spacing w:val="4"/>
                <w:sz w:val="24"/>
                <w:szCs w:val="24"/>
              </w:rPr>
              <w:t>，本评价取</w:t>
            </w:r>
            <w:r>
              <w:rPr>
                <w:rFonts w:ascii="Times New Roman" w:hAnsi="Times New Roman" w:eastAsia="Times New Roman" w:cs="Times New Roman"/>
                <w:color w:val="auto"/>
                <w:spacing w:val="4"/>
                <w:sz w:val="24"/>
                <w:szCs w:val="24"/>
              </w:rPr>
              <w:t>10℃</w:t>
            </w:r>
            <w:r>
              <w:rPr>
                <w:rFonts w:ascii="宋体" w:hAnsi="宋体" w:eastAsia="宋体" w:cs="宋体"/>
                <w:color w:val="auto"/>
                <w:spacing w:val="4"/>
                <w:sz w:val="24"/>
                <w:szCs w:val="24"/>
              </w:rPr>
              <w:t>。</w:t>
            </w:r>
          </w:p>
          <w:p w14:paraId="0A394813">
            <w:pPr>
              <w:keepNext w:val="0"/>
              <w:keepLines w:val="0"/>
              <w:pageBreakBefore w:val="0"/>
              <w:widowControl w:val="0"/>
              <w:kinsoku/>
              <w:wordWrap/>
              <w:overflowPunct/>
              <w:topLinePunct w:val="0"/>
              <w:autoSpaceDE/>
              <w:autoSpaceDN/>
              <w:bidi w:val="0"/>
              <w:adjustRightInd w:val="0"/>
              <w:snapToGrid w:val="0"/>
              <w:spacing w:line="360" w:lineRule="auto"/>
              <w:ind w:left="0" w:right="0" w:firstLine="1200" w:firstLineChars="500"/>
              <w:textAlignment w:val="auto"/>
              <w:rPr>
                <w:rFonts w:ascii="宋体" w:hAnsi="宋体" w:eastAsia="宋体" w:cs="宋体"/>
                <w:color w:val="auto"/>
                <w:sz w:val="24"/>
                <w:szCs w:val="24"/>
              </w:rPr>
            </w:pPr>
            <w:r>
              <w:rPr>
                <w:rFonts w:ascii="Times New Roman" w:hAnsi="Times New Roman" w:eastAsia="Times New Roman" w:cs="Times New Roman"/>
                <w:color w:val="auto"/>
                <w:sz w:val="24"/>
                <w:szCs w:val="24"/>
              </w:rPr>
              <w:t>Fp</w:t>
            </w:r>
            <w:r>
              <w:rPr>
                <w:rFonts w:ascii="Times New Roman" w:hAnsi="Times New Roman" w:eastAsia="Times New Roman" w:cs="Times New Roman"/>
                <w:color w:val="auto"/>
                <w:spacing w:val="4"/>
                <w:sz w:val="24"/>
                <w:szCs w:val="24"/>
              </w:rPr>
              <w:t>—</w:t>
            </w:r>
            <w:r>
              <w:rPr>
                <w:rFonts w:ascii="宋体" w:hAnsi="宋体" w:eastAsia="宋体" w:cs="宋体"/>
                <w:color w:val="auto"/>
                <w:spacing w:val="4"/>
                <w:sz w:val="24"/>
                <w:szCs w:val="24"/>
              </w:rPr>
              <w:t>涂层因子，无量纲。</w:t>
            </w:r>
            <w:r>
              <w:rPr>
                <w:rFonts w:ascii="宋体" w:hAnsi="宋体" w:eastAsia="宋体" w:cs="宋体"/>
                <w:color w:val="auto"/>
                <w:spacing w:val="2"/>
                <w:sz w:val="24"/>
                <w:szCs w:val="24"/>
              </w:rPr>
              <w:t>取值在</w:t>
            </w:r>
            <w:r>
              <w:rPr>
                <w:rFonts w:ascii="Times New Roman" w:hAnsi="Times New Roman" w:eastAsia="Times New Roman" w:cs="Times New Roman"/>
                <w:color w:val="auto"/>
                <w:spacing w:val="2"/>
                <w:sz w:val="24"/>
                <w:szCs w:val="24"/>
              </w:rPr>
              <w:t>1~1.5</w:t>
            </w:r>
            <w:r>
              <w:rPr>
                <w:rFonts w:ascii="宋体" w:hAnsi="宋体" w:eastAsia="宋体" w:cs="宋体"/>
                <w:color w:val="auto"/>
                <w:spacing w:val="2"/>
                <w:sz w:val="24"/>
                <w:szCs w:val="24"/>
              </w:rPr>
              <w:t>之间，本评价取</w:t>
            </w:r>
            <w:r>
              <w:rPr>
                <w:rFonts w:ascii="Times New Roman" w:hAnsi="Times New Roman" w:eastAsia="Times New Roman" w:cs="Times New Roman"/>
                <w:color w:val="auto"/>
                <w:spacing w:val="2"/>
                <w:sz w:val="24"/>
                <w:szCs w:val="24"/>
              </w:rPr>
              <w:t>1.25</w:t>
            </w:r>
            <w:r>
              <w:rPr>
                <w:rFonts w:ascii="宋体" w:hAnsi="宋体" w:eastAsia="宋体" w:cs="宋体"/>
                <w:color w:val="auto"/>
                <w:spacing w:val="2"/>
                <w:sz w:val="24"/>
                <w:szCs w:val="24"/>
              </w:rPr>
              <w:t>。</w:t>
            </w:r>
          </w:p>
          <w:p w14:paraId="1AE2302B">
            <w:pPr>
              <w:keepNext w:val="0"/>
              <w:keepLines w:val="0"/>
              <w:pageBreakBefore w:val="0"/>
              <w:widowControl w:val="0"/>
              <w:kinsoku/>
              <w:wordWrap/>
              <w:overflowPunct/>
              <w:topLinePunct w:val="0"/>
              <w:autoSpaceDE/>
              <w:autoSpaceDN/>
              <w:bidi w:val="0"/>
              <w:adjustRightInd w:val="0"/>
              <w:snapToGrid w:val="0"/>
              <w:spacing w:line="360" w:lineRule="auto"/>
              <w:ind w:left="0" w:right="0" w:firstLine="1241" w:firstLineChars="526"/>
              <w:textAlignment w:val="auto"/>
              <w:rPr>
                <w:rFonts w:ascii="宋体" w:hAnsi="宋体" w:eastAsia="宋体" w:cs="宋体"/>
                <w:color w:val="auto"/>
                <w:sz w:val="24"/>
                <w:szCs w:val="24"/>
              </w:rPr>
            </w:pPr>
            <w:r>
              <w:rPr>
                <w:rFonts w:ascii="Times New Roman" w:hAnsi="Times New Roman" w:eastAsia="Times New Roman" w:cs="Times New Roman"/>
                <w:color w:val="auto"/>
                <w:spacing w:val="-2"/>
                <w:sz w:val="24"/>
                <w:szCs w:val="24"/>
              </w:rPr>
              <w:t>C</w:t>
            </w:r>
            <w:r>
              <w:rPr>
                <w:rFonts w:ascii="Times New Roman" w:hAnsi="Times New Roman" w:eastAsia="Times New Roman" w:cs="Times New Roman"/>
                <w:color w:val="auto"/>
                <w:spacing w:val="-4"/>
                <w:sz w:val="24"/>
                <w:szCs w:val="24"/>
              </w:rPr>
              <w:t>—</w:t>
            </w:r>
            <w:r>
              <w:rPr>
                <w:rFonts w:ascii="宋体" w:hAnsi="宋体" w:eastAsia="宋体" w:cs="宋体"/>
                <w:color w:val="auto"/>
                <w:spacing w:val="-4"/>
                <w:sz w:val="24"/>
                <w:szCs w:val="24"/>
              </w:rPr>
              <w:t>用于小直径罐</w:t>
            </w:r>
            <w:r>
              <w:rPr>
                <w:rFonts w:ascii="宋体" w:hAnsi="宋体" w:eastAsia="宋体" w:cs="宋体"/>
                <w:color w:val="auto"/>
                <w:spacing w:val="-2"/>
                <w:sz w:val="24"/>
                <w:szCs w:val="24"/>
              </w:rPr>
              <w:t>的调节因子，无量纲。直径在</w:t>
            </w:r>
            <w:r>
              <w:rPr>
                <w:rFonts w:ascii="Times New Roman" w:hAnsi="Times New Roman" w:eastAsia="Times New Roman" w:cs="Times New Roman"/>
                <w:color w:val="auto"/>
                <w:spacing w:val="-2"/>
                <w:sz w:val="24"/>
                <w:szCs w:val="24"/>
              </w:rPr>
              <w:t>0-9m</w:t>
            </w:r>
            <w:r>
              <w:rPr>
                <w:rFonts w:ascii="宋体" w:hAnsi="宋体" w:eastAsia="宋体" w:cs="宋体"/>
                <w:color w:val="auto"/>
                <w:spacing w:val="-2"/>
                <w:sz w:val="24"/>
                <w:szCs w:val="24"/>
              </w:rPr>
              <w:t>之间的罐体，</w:t>
            </w:r>
            <w:r>
              <w:rPr>
                <w:rFonts w:ascii="Times New Roman" w:hAnsi="Times New Roman" w:eastAsia="Times New Roman" w:cs="Times New Roman"/>
                <w:color w:val="auto"/>
                <w:spacing w:val="-2"/>
                <w:sz w:val="24"/>
                <w:szCs w:val="24"/>
              </w:rPr>
              <w:t>C</w:t>
            </w:r>
            <w:r>
              <w:rPr>
                <w:rFonts w:ascii="Times New Roman" w:hAnsi="Times New Roman" w:eastAsia="Times New Roman" w:cs="Times New Roman"/>
                <w:color w:val="auto"/>
                <w:spacing w:val="-4"/>
                <w:sz w:val="24"/>
                <w:szCs w:val="24"/>
              </w:rPr>
              <w:t>=1-0.</w:t>
            </w:r>
            <w:r>
              <w:rPr>
                <w:rFonts w:ascii="Times New Roman" w:hAnsi="Times New Roman" w:eastAsia="Times New Roman" w:cs="Times New Roman"/>
                <w:color w:val="auto"/>
                <w:spacing w:val="-2"/>
                <w:sz w:val="24"/>
                <w:szCs w:val="24"/>
              </w:rPr>
              <w:t>0123*</w:t>
            </w: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D-9</w:t>
            </w:r>
            <w:r>
              <w:rPr>
                <w:rFonts w:ascii="宋体" w:hAnsi="宋体" w:eastAsia="宋体" w:cs="宋体"/>
                <w:color w:val="auto"/>
                <w:spacing w:val="-2"/>
                <w:sz w:val="24"/>
                <w:szCs w:val="24"/>
              </w:rPr>
              <w:t>)</w:t>
            </w:r>
            <w:r>
              <w:rPr>
                <w:rFonts w:ascii="Times New Roman" w:hAnsi="Times New Roman" w:eastAsia="Times New Roman" w:cs="Times New Roman"/>
                <w:color w:val="auto"/>
                <w:spacing w:val="-2"/>
                <w:position w:val="7"/>
                <w:sz w:val="24"/>
                <w:szCs w:val="24"/>
                <w:vertAlign w:val="superscript"/>
              </w:rPr>
              <w:t>2</w:t>
            </w:r>
            <w:r>
              <w:rPr>
                <w:rFonts w:ascii="宋体" w:hAnsi="宋体" w:eastAsia="宋体" w:cs="宋体"/>
                <w:color w:val="auto"/>
                <w:spacing w:val="-2"/>
                <w:sz w:val="24"/>
                <w:szCs w:val="24"/>
              </w:rPr>
              <w:t>，罐径大于</w:t>
            </w:r>
            <w:r>
              <w:rPr>
                <w:rFonts w:ascii="Times New Roman" w:hAnsi="Times New Roman" w:eastAsia="Times New Roman" w:cs="Times New Roman"/>
                <w:color w:val="auto"/>
                <w:spacing w:val="-2"/>
                <w:sz w:val="24"/>
                <w:szCs w:val="24"/>
              </w:rPr>
              <w:t>9m</w:t>
            </w:r>
            <w:r>
              <w:rPr>
                <w:rFonts w:ascii="宋体" w:hAnsi="宋体" w:eastAsia="宋体" w:cs="宋体"/>
                <w:color w:val="auto"/>
                <w:spacing w:val="-2"/>
                <w:sz w:val="24"/>
                <w:szCs w:val="24"/>
              </w:rPr>
              <w:t>的</w:t>
            </w:r>
            <w:r>
              <w:rPr>
                <w:rFonts w:ascii="Times New Roman" w:hAnsi="Times New Roman" w:eastAsia="Times New Roman" w:cs="Times New Roman"/>
                <w:color w:val="auto"/>
                <w:spacing w:val="-2"/>
                <w:sz w:val="24"/>
                <w:szCs w:val="24"/>
              </w:rPr>
              <w:t>C=1</w:t>
            </w:r>
            <w:r>
              <w:rPr>
                <w:rFonts w:ascii="宋体" w:hAnsi="宋体" w:eastAsia="宋体" w:cs="宋体"/>
                <w:color w:val="auto"/>
                <w:spacing w:val="-2"/>
                <w:sz w:val="24"/>
                <w:szCs w:val="24"/>
              </w:rPr>
              <w:t>。</w:t>
            </w:r>
          </w:p>
          <w:p w14:paraId="1E5DB16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1190" w:firstLineChars="500"/>
              <w:textAlignment w:val="auto"/>
              <w:outlineLvl w:val="9"/>
              <w:rPr>
                <w:rFonts w:hint="default" w:ascii="Times New Roman" w:hAnsi="Times New Roman" w:eastAsia="宋体" w:cs="Times New Roman"/>
                <w:b/>
                <w:bCs/>
                <w:color w:val="auto"/>
                <w:sz w:val="24"/>
                <w:szCs w:val="24"/>
                <w:highlight w:val="none"/>
                <w:lang w:val="en-US" w:eastAsia="zh-CN"/>
              </w:rPr>
            </w:pPr>
            <w:r>
              <w:rPr>
                <w:rFonts w:ascii="Times New Roman" w:hAnsi="Times New Roman" w:eastAsia="Times New Roman" w:cs="Times New Roman"/>
                <w:color w:val="auto"/>
                <w:spacing w:val="-1"/>
                <w:sz w:val="24"/>
                <w:szCs w:val="24"/>
              </w:rPr>
              <w:t>K</w:t>
            </w:r>
            <w:r>
              <w:rPr>
                <w:rFonts w:hint="eastAsia" w:ascii="Times New Roman" w:hAnsi="Times New Roman" w:eastAsia="宋体" w:cs="Times New Roman"/>
                <w:color w:val="auto"/>
                <w:spacing w:val="-1"/>
                <w:sz w:val="24"/>
                <w:szCs w:val="24"/>
                <w:lang w:val="en-US" w:eastAsia="zh-CN"/>
              </w:rPr>
              <w:t>c</w:t>
            </w:r>
            <w:r>
              <w:rPr>
                <w:rFonts w:ascii="Times New Roman" w:hAnsi="Times New Roman" w:eastAsia="Times New Roman" w:cs="Times New Roman"/>
                <w:color w:val="auto"/>
                <w:spacing w:val="-2"/>
                <w:sz w:val="24"/>
                <w:szCs w:val="24"/>
              </w:rPr>
              <w:t>—</w:t>
            </w:r>
            <w:r>
              <w:rPr>
                <w:rFonts w:ascii="宋体" w:hAnsi="宋体" w:eastAsia="宋体" w:cs="宋体"/>
                <w:color w:val="auto"/>
                <w:spacing w:val="-2"/>
                <w:sz w:val="24"/>
                <w:szCs w:val="24"/>
              </w:rPr>
              <w:t>产品因子，(石油原</w:t>
            </w:r>
            <w:r>
              <w:rPr>
                <w:rFonts w:ascii="宋体" w:hAnsi="宋体" w:eastAsia="宋体" w:cs="宋体"/>
                <w:color w:val="auto"/>
                <w:spacing w:val="-1"/>
                <w:sz w:val="24"/>
                <w:szCs w:val="24"/>
              </w:rPr>
              <w:t>油</w:t>
            </w:r>
            <w:r>
              <w:rPr>
                <w:rFonts w:ascii="Times New Roman" w:hAnsi="Times New Roman" w:eastAsia="Times New Roman" w:cs="Times New Roman"/>
                <w:color w:val="auto"/>
                <w:spacing w:val="-1"/>
                <w:sz w:val="24"/>
                <w:szCs w:val="24"/>
              </w:rPr>
              <w:t>Kc</w:t>
            </w:r>
            <w:r>
              <w:rPr>
                <w:rFonts w:ascii="宋体" w:hAnsi="宋体" w:eastAsia="宋体" w:cs="宋体"/>
                <w:color w:val="auto"/>
                <w:spacing w:val="-1"/>
                <w:sz w:val="24"/>
                <w:szCs w:val="24"/>
              </w:rPr>
              <w:t>取</w:t>
            </w:r>
            <w:r>
              <w:rPr>
                <w:rFonts w:ascii="Times New Roman" w:hAnsi="Times New Roman" w:eastAsia="Times New Roman" w:cs="Times New Roman"/>
                <w:color w:val="auto"/>
                <w:spacing w:val="-1"/>
                <w:sz w:val="24"/>
                <w:szCs w:val="24"/>
              </w:rPr>
              <w:t>0.65</w:t>
            </w:r>
            <w:r>
              <w:rPr>
                <w:rFonts w:ascii="宋体" w:hAnsi="宋体" w:eastAsia="宋体" w:cs="宋体"/>
                <w:color w:val="auto"/>
                <w:spacing w:val="-1"/>
                <w:sz w:val="24"/>
                <w:szCs w:val="24"/>
              </w:rPr>
              <w:t>，其他的有机液体取</w:t>
            </w:r>
            <w:r>
              <w:rPr>
                <w:rFonts w:ascii="Times New Roman" w:hAnsi="Times New Roman" w:eastAsia="Times New Roman" w:cs="Times New Roman"/>
                <w:color w:val="auto"/>
                <w:spacing w:val="-1"/>
                <w:sz w:val="24"/>
                <w:szCs w:val="24"/>
              </w:rPr>
              <w:t>1.0</w:t>
            </w:r>
            <w:r>
              <w:rPr>
                <w:rFonts w:ascii="宋体" w:hAnsi="宋体" w:eastAsia="宋体" w:cs="宋体"/>
                <w:color w:val="auto"/>
                <w:spacing w:val="-1"/>
                <w:sz w:val="24"/>
                <w:szCs w:val="24"/>
              </w:rPr>
              <w:t>)。</w:t>
            </w:r>
          </w:p>
          <w:p w14:paraId="5CA90DB5">
            <w:pPr>
              <w:keepNext w:val="0"/>
              <w:keepLines w:val="0"/>
              <w:pageBreakBefore w:val="0"/>
              <w:widowControl w:val="0"/>
              <w:kinsoku/>
              <w:wordWrap/>
              <w:overflowPunct/>
              <w:topLinePunct w:val="0"/>
              <w:autoSpaceDE/>
              <w:autoSpaceDN/>
              <w:bidi w:val="0"/>
              <w:adjustRightInd w:val="0"/>
              <w:snapToGrid w:val="0"/>
              <w:spacing w:line="360" w:lineRule="auto"/>
              <w:ind w:left="0" w:right="0" w:firstLine="481"/>
              <w:textAlignment w:val="auto"/>
              <w:rPr>
                <w:rFonts w:ascii="宋体" w:hAnsi="宋体" w:eastAsia="宋体" w:cs="宋体"/>
                <w:b/>
                <w:bCs/>
                <w:color w:val="auto"/>
                <w:spacing w:val="7"/>
                <w:sz w:val="24"/>
                <w:szCs w:val="24"/>
              </w:rPr>
            </w:pPr>
            <w:r>
              <w:rPr>
                <w:rFonts w:ascii="宋体" w:hAnsi="宋体" w:eastAsia="宋体" w:cs="宋体"/>
                <w:b/>
                <w:bCs/>
                <w:color w:val="auto"/>
                <w:spacing w:val="7"/>
                <w:sz w:val="24"/>
                <w:szCs w:val="24"/>
              </w:rPr>
              <w:t>工作排放(大呼吸)：</w:t>
            </w:r>
          </w:p>
          <w:p w14:paraId="3B3481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1"/>
              <w:textAlignment w:val="auto"/>
              <w:rPr>
                <w:rFonts w:ascii="宋体" w:hAnsi="宋体" w:eastAsia="宋体" w:cs="宋体"/>
                <w:color w:val="auto"/>
                <w:sz w:val="24"/>
                <w:szCs w:val="24"/>
              </w:rPr>
            </w:pPr>
            <w:r>
              <w:rPr>
                <w:rFonts w:ascii="宋体" w:hAnsi="宋体" w:eastAsia="宋体" w:cs="宋体"/>
                <w:color w:val="auto"/>
                <w:spacing w:val="7"/>
                <w:sz w:val="24"/>
                <w:szCs w:val="24"/>
              </w:rPr>
              <w:t>工作排放是由于人为的装料与卸料而产生的损失。因装料的结果，罐内压力超</w:t>
            </w:r>
            <w:r>
              <w:rPr>
                <w:rFonts w:ascii="宋体" w:hAnsi="宋体" w:eastAsia="宋体" w:cs="宋体"/>
                <w:color w:val="auto"/>
                <w:spacing w:val="4"/>
                <w:sz w:val="24"/>
                <w:szCs w:val="24"/>
              </w:rPr>
              <w:t>过释放压力时，蒸汽</w:t>
            </w:r>
            <w:r>
              <w:rPr>
                <w:rFonts w:ascii="宋体" w:hAnsi="宋体" w:eastAsia="宋体" w:cs="宋体"/>
                <w:color w:val="auto"/>
                <w:spacing w:val="2"/>
                <w:sz w:val="24"/>
                <w:szCs w:val="24"/>
              </w:rPr>
              <w:t>从罐内压出；而卸料损失发生于液面排出，空气被抽入罐体内，</w:t>
            </w:r>
            <w:r>
              <w:rPr>
                <w:rFonts w:ascii="宋体" w:hAnsi="宋体" w:eastAsia="宋体" w:cs="宋体"/>
                <w:color w:val="auto"/>
                <w:spacing w:val="14"/>
                <w:sz w:val="24"/>
                <w:szCs w:val="24"/>
              </w:rPr>
              <w:t>因</w:t>
            </w:r>
            <w:r>
              <w:rPr>
                <w:rFonts w:ascii="宋体" w:hAnsi="宋体" w:eastAsia="宋体" w:cs="宋体"/>
                <w:color w:val="auto"/>
                <w:spacing w:val="8"/>
                <w:sz w:val="24"/>
                <w:szCs w:val="24"/>
              </w:rPr>
              <w:t>空</w:t>
            </w:r>
            <w:r>
              <w:rPr>
                <w:rFonts w:ascii="宋体" w:hAnsi="宋体" w:eastAsia="宋体" w:cs="宋体"/>
                <w:color w:val="auto"/>
                <w:spacing w:val="7"/>
                <w:sz w:val="24"/>
                <w:szCs w:val="24"/>
              </w:rPr>
              <w:t>气变成有机</w:t>
            </w:r>
            <w:r>
              <w:rPr>
                <w:rFonts w:hint="eastAsia" w:ascii="宋体" w:hAnsi="宋体" w:cs="宋体"/>
                <w:color w:val="auto"/>
                <w:spacing w:val="7"/>
                <w:sz w:val="24"/>
                <w:szCs w:val="24"/>
                <w:lang w:eastAsia="zh-CN"/>
              </w:rPr>
              <w:t>蒸气</w:t>
            </w:r>
            <w:r>
              <w:rPr>
                <w:rFonts w:ascii="宋体" w:hAnsi="宋体" w:eastAsia="宋体" w:cs="宋体"/>
                <w:color w:val="auto"/>
                <w:spacing w:val="7"/>
                <w:sz w:val="24"/>
                <w:szCs w:val="24"/>
              </w:rPr>
              <w:t>饱和的气体而膨胀，因而超过蒸汽空间容纳的能力，可由下式</w:t>
            </w:r>
            <w:r>
              <w:rPr>
                <w:rFonts w:ascii="宋体" w:hAnsi="宋体" w:eastAsia="宋体" w:cs="宋体"/>
                <w:color w:val="auto"/>
                <w:spacing w:val="12"/>
                <w:sz w:val="24"/>
                <w:szCs w:val="24"/>
              </w:rPr>
              <w:t>估</w:t>
            </w:r>
            <w:r>
              <w:rPr>
                <w:rFonts w:ascii="宋体" w:hAnsi="宋体" w:eastAsia="宋体" w:cs="宋体"/>
                <w:color w:val="auto"/>
                <w:spacing w:val="8"/>
                <w:sz w:val="24"/>
                <w:szCs w:val="24"/>
              </w:rPr>
              <w:t>算固定顶罐的工作排放：</w:t>
            </w:r>
          </w:p>
          <w:p w14:paraId="1521AA3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center"/>
              <w:textAlignment w:val="auto"/>
              <w:rPr>
                <w:rFonts w:ascii="Times New Roman" w:hAnsi="Times New Roman" w:eastAsia="Times New Roman" w:cs="Times New Roman"/>
                <w:color w:val="auto"/>
                <w:sz w:val="24"/>
                <w:szCs w:val="24"/>
              </w:rPr>
            </w:pPr>
            <w:r>
              <w:rPr>
                <w:rFonts w:ascii="Times New Roman" w:hAnsi="Times New Roman" w:eastAsia="Times New Roman" w:cs="Times New Roman"/>
                <w:color w:val="auto"/>
                <w:position w:val="2"/>
                <w:sz w:val="24"/>
                <w:szCs w:val="24"/>
              </w:rPr>
              <w:t>Lw</w:t>
            </w:r>
            <w:r>
              <w:rPr>
                <w:rFonts w:ascii="Times New Roman" w:hAnsi="Times New Roman" w:eastAsia="Times New Roman" w:cs="Times New Roman"/>
                <w:color w:val="auto"/>
                <w:spacing w:val="-1"/>
                <w:position w:val="2"/>
                <w:sz w:val="24"/>
                <w:szCs w:val="24"/>
              </w:rPr>
              <w:t>=4.188</w:t>
            </w:r>
            <w:r>
              <w:rPr>
                <w:rFonts w:ascii="Arial" w:hAnsi="Arial" w:eastAsia="Arial" w:cs="Arial"/>
                <w:color w:val="auto"/>
                <w:spacing w:val="-1"/>
                <w:position w:val="2"/>
                <w:sz w:val="24"/>
                <w:szCs w:val="24"/>
              </w:rPr>
              <w:t>×</w:t>
            </w:r>
            <w:r>
              <w:rPr>
                <w:rFonts w:ascii="Times New Roman" w:hAnsi="Times New Roman" w:eastAsia="Times New Roman" w:cs="Times New Roman"/>
                <w:color w:val="auto"/>
                <w:spacing w:val="-1"/>
                <w:position w:val="2"/>
                <w:sz w:val="24"/>
                <w:szCs w:val="24"/>
              </w:rPr>
              <w:t>10</w:t>
            </w:r>
            <w:r>
              <w:rPr>
                <w:rFonts w:ascii="Times New Roman" w:hAnsi="Times New Roman" w:eastAsia="Times New Roman" w:cs="Times New Roman"/>
                <w:color w:val="auto"/>
                <w:spacing w:val="-1"/>
                <w:position w:val="9"/>
                <w:sz w:val="24"/>
                <w:szCs w:val="24"/>
                <w:vertAlign w:val="superscript"/>
              </w:rPr>
              <w:t>-7</w:t>
            </w:r>
            <w:r>
              <w:rPr>
                <w:rFonts w:ascii="Arial" w:hAnsi="Arial" w:eastAsia="Arial" w:cs="Arial"/>
                <w:color w:val="auto"/>
                <w:spacing w:val="-1"/>
                <w:position w:val="2"/>
                <w:sz w:val="24"/>
                <w:szCs w:val="24"/>
              </w:rPr>
              <w:t>×</w:t>
            </w:r>
            <w:r>
              <w:rPr>
                <w:rFonts w:ascii="Times New Roman" w:hAnsi="Times New Roman" w:eastAsia="Times New Roman" w:cs="Times New Roman"/>
                <w:color w:val="auto"/>
                <w:position w:val="2"/>
                <w:sz w:val="24"/>
                <w:szCs w:val="24"/>
              </w:rPr>
              <w:t>M</w:t>
            </w:r>
            <w:r>
              <w:rPr>
                <w:rFonts w:ascii="Arial" w:hAnsi="Arial" w:eastAsia="Arial" w:cs="Arial"/>
                <w:color w:val="auto"/>
                <w:spacing w:val="-1"/>
                <w:position w:val="2"/>
                <w:sz w:val="24"/>
                <w:szCs w:val="24"/>
              </w:rPr>
              <w:t>×</w:t>
            </w:r>
            <w:r>
              <w:rPr>
                <w:rFonts w:ascii="Times New Roman" w:hAnsi="Times New Roman" w:eastAsia="Times New Roman" w:cs="Times New Roman"/>
                <w:color w:val="auto"/>
                <w:position w:val="2"/>
                <w:sz w:val="24"/>
                <w:szCs w:val="24"/>
              </w:rPr>
              <w:t>P</w:t>
            </w:r>
            <w:r>
              <w:rPr>
                <w:rFonts w:ascii="Arial" w:hAnsi="Arial" w:eastAsia="Arial" w:cs="Arial"/>
                <w:color w:val="auto"/>
                <w:spacing w:val="-1"/>
                <w:position w:val="2"/>
                <w:sz w:val="24"/>
                <w:szCs w:val="24"/>
              </w:rPr>
              <w:t>×</w:t>
            </w:r>
            <w:r>
              <w:rPr>
                <w:rFonts w:ascii="Times New Roman" w:hAnsi="Times New Roman" w:eastAsia="Times New Roman" w:cs="Times New Roman"/>
                <w:color w:val="auto"/>
                <w:position w:val="2"/>
                <w:sz w:val="24"/>
                <w:szCs w:val="24"/>
              </w:rPr>
              <w:t>K</w:t>
            </w:r>
            <w:r>
              <w:rPr>
                <w:rFonts w:ascii="Times New Roman" w:hAnsi="Times New Roman" w:eastAsia="Times New Roman" w:cs="Times New Roman"/>
                <w:color w:val="auto"/>
                <w:position w:val="1"/>
                <w:sz w:val="24"/>
                <w:szCs w:val="24"/>
                <w:vertAlign w:val="subscript"/>
              </w:rPr>
              <w:t>N</w:t>
            </w:r>
            <w:r>
              <w:rPr>
                <w:rFonts w:ascii="Arial" w:hAnsi="Arial" w:eastAsia="Arial" w:cs="Arial"/>
                <w:color w:val="auto"/>
                <w:position w:val="2"/>
                <w:sz w:val="24"/>
                <w:szCs w:val="24"/>
              </w:rPr>
              <w:t>×</w:t>
            </w:r>
            <w:r>
              <w:rPr>
                <w:rFonts w:ascii="Times New Roman" w:hAnsi="Times New Roman" w:eastAsia="Times New Roman" w:cs="Times New Roman"/>
                <w:color w:val="auto"/>
                <w:position w:val="2"/>
                <w:sz w:val="24"/>
                <w:szCs w:val="24"/>
              </w:rPr>
              <w:t>K</w:t>
            </w:r>
            <w:r>
              <w:rPr>
                <w:rFonts w:ascii="Times New Roman" w:hAnsi="Times New Roman" w:eastAsia="Times New Roman" w:cs="Times New Roman"/>
                <w:color w:val="auto"/>
                <w:position w:val="1"/>
                <w:sz w:val="24"/>
                <w:szCs w:val="24"/>
                <w:vertAlign w:val="subscript"/>
              </w:rPr>
              <w:t>C</w:t>
            </w:r>
          </w:p>
          <w:p w14:paraId="02AF19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960" w:firstLineChars="400"/>
              <w:textAlignment w:val="auto"/>
              <w:rPr>
                <w:rFonts w:ascii="宋体" w:hAnsi="宋体" w:eastAsia="宋体" w:cs="宋体"/>
                <w:color w:val="auto"/>
                <w:sz w:val="24"/>
                <w:szCs w:val="24"/>
              </w:rPr>
            </w:pPr>
            <w:r>
              <w:rPr>
                <w:rFonts w:ascii="Times New Roman" w:hAnsi="Times New Roman" w:eastAsia="Times New Roman" w:cs="Times New Roman"/>
                <w:color w:val="auto"/>
                <w:position w:val="18"/>
                <w:sz w:val="24"/>
                <w:szCs w:val="24"/>
              </w:rPr>
              <w:t>Lw</w:t>
            </w:r>
            <w:r>
              <w:rPr>
                <w:rFonts w:ascii="Times New Roman" w:hAnsi="Times New Roman" w:eastAsia="Times New Roman" w:cs="Times New Roman"/>
                <w:color w:val="auto"/>
                <w:spacing w:val="10"/>
                <w:position w:val="18"/>
                <w:sz w:val="24"/>
                <w:szCs w:val="24"/>
              </w:rPr>
              <w:t>—</w:t>
            </w:r>
            <w:r>
              <w:rPr>
                <w:rFonts w:ascii="宋体" w:hAnsi="宋体" w:eastAsia="宋体" w:cs="宋体"/>
                <w:color w:val="auto"/>
                <w:spacing w:val="6"/>
                <w:position w:val="18"/>
                <w:sz w:val="24"/>
                <w:szCs w:val="24"/>
              </w:rPr>
              <w:t>固定顶罐的工作损失(</w:t>
            </w:r>
            <w:r>
              <w:rPr>
                <w:rFonts w:ascii="Times New Roman" w:hAnsi="Times New Roman" w:eastAsia="Times New Roman" w:cs="Times New Roman"/>
                <w:color w:val="auto"/>
                <w:position w:val="18"/>
                <w:sz w:val="24"/>
                <w:szCs w:val="24"/>
              </w:rPr>
              <w:t>kg</w:t>
            </w:r>
            <w:r>
              <w:rPr>
                <w:rFonts w:ascii="Times New Roman" w:hAnsi="Times New Roman" w:eastAsia="Times New Roman" w:cs="Times New Roman"/>
                <w:color w:val="auto"/>
                <w:spacing w:val="6"/>
                <w:position w:val="18"/>
                <w:sz w:val="24"/>
                <w:szCs w:val="24"/>
              </w:rPr>
              <w:t>/</w:t>
            </w:r>
            <w:r>
              <w:rPr>
                <w:rFonts w:ascii="Times New Roman" w:hAnsi="Times New Roman" w:eastAsia="Times New Roman" w:cs="Times New Roman"/>
                <w:color w:val="auto"/>
                <w:position w:val="18"/>
                <w:sz w:val="24"/>
                <w:szCs w:val="24"/>
              </w:rPr>
              <w:t>m</w:t>
            </w:r>
            <w:r>
              <w:rPr>
                <w:rFonts w:ascii="Times New Roman" w:hAnsi="Times New Roman" w:eastAsia="Times New Roman" w:cs="Times New Roman"/>
                <w:color w:val="auto"/>
                <w:spacing w:val="6"/>
                <w:position w:val="18"/>
                <w:sz w:val="24"/>
                <w:szCs w:val="24"/>
              </w:rPr>
              <w:t>³</w:t>
            </w:r>
            <w:r>
              <w:rPr>
                <w:rFonts w:ascii="宋体" w:hAnsi="宋体" w:eastAsia="宋体" w:cs="宋体"/>
                <w:color w:val="auto"/>
                <w:spacing w:val="6"/>
                <w:position w:val="18"/>
                <w:sz w:val="24"/>
                <w:szCs w:val="24"/>
              </w:rPr>
              <w:t>投入量)。</w:t>
            </w:r>
          </w:p>
          <w:p w14:paraId="715E2E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960" w:firstLineChars="400"/>
              <w:textAlignment w:val="auto"/>
              <w:rPr>
                <w:rFonts w:ascii="宋体" w:hAnsi="宋体" w:eastAsia="宋体" w:cs="宋体"/>
                <w:color w:val="auto"/>
                <w:sz w:val="24"/>
                <w:szCs w:val="24"/>
              </w:rPr>
            </w:pPr>
            <w:r>
              <w:rPr>
                <w:rFonts w:ascii="Times New Roman" w:hAnsi="Times New Roman" w:eastAsia="Times New Roman" w:cs="Times New Roman"/>
                <w:color w:val="auto"/>
                <w:sz w:val="24"/>
                <w:szCs w:val="24"/>
              </w:rPr>
              <w:t>M</w:t>
            </w:r>
            <w:r>
              <w:rPr>
                <w:rFonts w:ascii="Times New Roman" w:hAnsi="Times New Roman" w:eastAsia="Times New Roman" w:cs="Times New Roman"/>
                <w:color w:val="auto"/>
                <w:spacing w:val="16"/>
                <w:sz w:val="24"/>
                <w:szCs w:val="24"/>
              </w:rPr>
              <w:t>—</w:t>
            </w:r>
            <w:r>
              <w:rPr>
                <w:rFonts w:ascii="宋体" w:hAnsi="宋体" w:eastAsia="宋体" w:cs="宋体"/>
                <w:color w:val="auto"/>
                <w:spacing w:val="9"/>
                <w:sz w:val="24"/>
                <w:szCs w:val="24"/>
              </w:rPr>
              <w:t>储罐内蒸汽的分子量</w:t>
            </w:r>
            <w:r>
              <w:rPr>
                <w:rFonts w:hint="eastAsia" w:ascii="宋体" w:hAnsi="宋体" w:eastAsia="宋体" w:cs="宋体"/>
                <w:color w:val="auto"/>
                <w:spacing w:val="9"/>
                <w:sz w:val="24"/>
                <w:szCs w:val="24"/>
                <w:lang w:val="en-US" w:eastAsia="zh-CN"/>
              </w:rPr>
              <w:t>,</w:t>
            </w:r>
            <w:r>
              <w:rPr>
                <w:rFonts w:hint="default" w:ascii="Times New Roman" w:hAnsi="Times New Roman" w:eastAsia="宋体" w:cs="Times New Roman"/>
                <w:color w:val="auto"/>
                <w:spacing w:val="9"/>
                <w:sz w:val="24"/>
                <w:szCs w:val="24"/>
                <w:lang w:val="en-US" w:eastAsia="zh-CN"/>
              </w:rPr>
              <w:t>35.045</w:t>
            </w:r>
            <w:r>
              <w:rPr>
                <w:rFonts w:hint="default" w:ascii="Times New Roman" w:hAnsi="Times New Roman" w:eastAsia="宋体" w:cs="Times New Roman"/>
                <w:color w:val="auto"/>
                <w:spacing w:val="9"/>
                <w:sz w:val="24"/>
                <w:szCs w:val="24"/>
              </w:rPr>
              <w:t>。</w:t>
            </w:r>
          </w:p>
          <w:p w14:paraId="1CE4454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960" w:firstLineChars="400"/>
              <w:textAlignment w:val="auto"/>
              <w:rPr>
                <w:rFonts w:ascii="宋体" w:hAnsi="宋体" w:eastAsia="宋体" w:cs="宋体"/>
                <w:color w:val="auto"/>
                <w:sz w:val="24"/>
                <w:szCs w:val="24"/>
              </w:rPr>
            </w:pPr>
            <w:r>
              <w:rPr>
                <w:rFonts w:ascii="Times New Roman" w:hAnsi="Times New Roman" w:eastAsia="Times New Roman" w:cs="Times New Roman"/>
                <w:color w:val="auto"/>
                <w:sz w:val="24"/>
                <w:szCs w:val="24"/>
              </w:rPr>
              <w:t>P</w:t>
            </w:r>
            <w:r>
              <w:rPr>
                <w:rFonts w:ascii="Times New Roman" w:hAnsi="Times New Roman" w:eastAsia="Times New Roman" w:cs="Times New Roman"/>
                <w:color w:val="auto"/>
                <w:spacing w:val="13"/>
                <w:sz w:val="24"/>
                <w:szCs w:val="24"/>
              </w:rPr>
              <w:t>—</w:t>
            </w:r>
            <w:r>
              <w:rPr>
                <w:rFonts w:ascii="Times New Roman" w:hAnsi="Times New Roman" w:eastAsia="Times New Roman" w:cs="Times New Roman"/>
                <w:color w:val="auto"/>
                <w:spacing w:val="10"/>
                <w:sz w:val="24"/>
                <w:szCs w:val="24"/>
              </w:rPr>
              <w:t>—</w:t>
            </w:r>
            <w:r>
              <w:rPr>
                <w:rFonts w:ascii="宋体" w:hAnsi="宋体" w:eastAsia="宋体" w:cs="宋体"/>
                <w:color w:val="auto"/>
                <w:spacing w:val="10"/>
                <w:sz w:val="24"/>
                <w:szCs w:val="24"/>
              </w:rPr>
              <w:t>在大量液体状态下，真实的蒸汽压力，</w:t>
            </w:r>
            <w:r>
              <w:rPr>
                <w:rFonts w:ascii="Times New Roman" w:hAnsi="Times New Roman" w:eastAsia="Times New Roman" w:cs="Times New Roman"/>
                <w:color w:val="auto"/>
                <w:sz w:val="24"/>
                <w:szCs w:val="24"/>
              </w:rPr>
              <w:t>Pa</w:t>
            </w:r>
            <w:r>
              <w:rPr>
                <w:rFonts w:hint="eastAsia" w:ascii="Times New Roman" w:hAnsi="Times New Roman" w:eastAsia="宋体" w:cs="Times New Roman"/>
                <w:color w:val="auto"/>
                <w:sz w:val="24"/>
                <w:szCs w:val="24"/>
                <w:lang w:eastAsia="zh-CN"/>
              </w:rPr>
              <w:t>，</w:t>
            </w:r>
            <w:r>
              <w:rPr>
                <w:rFonts w:ascii="Times New Roman" w:hAnsi="Times New Roman" w:eastAsia="Times New Roman" w:cs="Times New Roman"/>
                <w:color w:val="auto"/>
                <w:spacing w:val="5"/>
                <w:sz w:val="24"/>
                <w:szCs w:val="24"/>
              </w:rPr>
              <w:t>2</w:t>
            </w:r>
            <w:r>
              <w:rPr>
                <w:rFonts w:hint="eastAsia" w:ascii="Times New Roman" w:hAnsi="Times New Roman" w:eastAsia="宋体" w:cs="Times New Roman"/>
                <w:color w:val="auto"/>
                <w:spacing w:val="5"/>
                <w:sz w:val="24"/>
                <w:szCs w:val="24"/>
                <w:lang w:val="en-US" w:eastAsia="zh-CN"/>
              </w:rPr>
              <w:t>0</w:t>
            </w:r>
            <w:r>
              <w:rPr>
                <w:rFonts w:ascii="Times New Roman" w:hAnsi="Times New Roman" w:eastAsia="Times New Roman" w:cs="Times New Roman"/>
                <w:color w:val="auto"/>
                <w:spacing w:val="5"/>
                <w:sz w:val="24"/>
                <w:szCs w:val="24"/>
              </w:rPr>
              <w:t>%</w:t>
            </w:r>
            <w:r>
              <w:rPr>
                <w:rFonts w:ascii="宋体" w:hAnsi="宋体" w:eastAsia="宋体" w:cs="宋体"/>
                <w:color w:val="auto"/>
                <w:spacing w:val="5"/>
                <w:sz w:val="24"/>
                <w:szCs w:val="24"/>
              </w:rPr>
              <w:t>氨水的蒸气压力为</w:t>
            </w:r>
            <w:r>
              <w:rPr>
                <w:rFonts w:ascii="Times New Roman" w:hAnsi="Times New Roman" w:eastAsia="Times New Roman" w:cs="Times New Roman"/>
                <w:color w:val="auto"/>
                <w:spacing w:val="5"/>
                <w:sz w:val="24"/>
                <w:szCs w:val="24"/>
              </w:rPr>
              <w:t>1.63</w:t>
            </w:r>
            <w:r>
              <w:rPr>
                <w:rFonts w:ascii="Times New Roman" w:hAnsi="Times New Roman" w:eastAsia="Times New Roman" w:cs="Times New Roman"/>
                <w:color w:val="auto"/>
                <w:sz w:val="24"/>
                <w:szCs w:val="24"/>
              </w:rPr>
              <w:t>KPa</w:t>
            </w:r>
            <w:r>
              <w:rPr>
                <w:rFonts w:ascii="宋体" w:hAnsi="宋体" w:eastAsia="宋体" w:cs="宋体"/>
                <w:color w:val="auto"/>
                <w:spacing w:val="10"/>
                <w:sz w:val="24"/>
                <w:szCs w:val="24"/>
              </w:rPr>
              <w:t>。</w:t>
            </w:r>
          </w:p>
          <w:p w14:paraId="47E3C00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960" w:firstLineChars="400"/>
              <w:textAlignment w:val="auto"/>
              <w:outlineLvl w:val="9"/>
              <w:rPr>
                <w:rFonts w:ascii="宋体" w:hAnsi="宋体" w:eastAsia="宋体" w:cs="宋体"/>
                <w:color w:val="auto"/>
                <w:sz w:val="24"/>
                <w:szCs w:val="24"/>
              </w:rPr>
            </w:pPr>
            <w:r>
              <w:rPr>
                <w:rFonts w:ascii="Times New Roman" w:hAnsi="Times New Roman" w:eastAsia="Times New Roman" w:cs="Times New Roman"/>
                <w:color w:val="auto"/>
                <w:position w:val="1"/>
                <w:sz w:val="24"/>
                <w:szCs w:val="24"/>
              </w:rPr>
              <w:t>K</w:t>
            </w:r>
            <w:r>
              <w:rPr>
                <w:rFonts w:ascii="Times New Roman" w:hAnsi="Times New Roman" w:eastAsia="Times New Roman" w:cs="Times New Roman"/>
                <w:color w:val="auto"/>
                <w:sz w:val="24"/>
                <w:szCs w:val="24"/>
                <w:vertAlign w:val="subscript"/>
              </w:rPr>
              <w:t>N</w:t>
            </w:r>
            <w:r>
              <w:rPr>
                <w:rFonts w:ascii="Times New Roman" w:hAnsi="Times New Roman" w:eastAsia="Times New Roman" w:cs="Times New Roman"/>
                <w:color w:val="auto"/>
                <w:spacing w:val="12"/>
                <w:position w:val="1"/>
                <w:sz w:val="24"/>
                <w:szCs w:val="24"/>
              </w:rPr>
              <w:t>——</w:t>
            </w:r>
            <w:r>
              <w:rPr>
                <w:rFonts w:ascii="宋体" w:hAnsi="宋体" w:eastAsia="宋体" w:cs="宋体"/>
                <w:color w:val="auto"/>
                <w:spacing w:val="12"/>
                <w:position w:val="1"/>
                <w:sz w:val="24"/>
                <w:szCs w:val="24"/>
              </w:rPr>
              <w:t>周</w:t>
            </w:r>
            <w:r>
              <w:rPr>
                <w:rFonts w:ascii="宋体" w:hAnsi="宋体" w:eastAsia="宋体" w:cs="宋体"/>
                <w:color w:val="auto"/>
                <w:spacing w:val="7"/>
                <w:position w:val="1"/>
                <w:sz w:val="24"/>
                <w:szCs w:val="24"/>
              </w:rPr>
              <w:t>转</w:t>
            </w:r>
            <w:r>
              <w:rPr>
                <w:rFonts w:ascii="宋体" w:hAnsi="宋体" w:eastAsia="宋体" w:cs="宋体"/>
                <w:color w:val="auto"/>
                <w:spacing w:val="6"/>
                <w:position w:val="1"/>
                <w:sz w:val="24"/>
                <w:szCs w:val="24"/>
              </w:rPr>
              <w:t>因子(无量纲)，取值按年周转次数(</w:t>
            </w:r>
            <w:r>
              <w:rPr>
                <w:rFonts w:ascii="Times New Roman" w:hAnsi="Times New Roman" w:eastAsia="Times New Roman" w:cs="Times New Roman"/>
                <w:color w:val="auto"/>
                <w:position w:val="1"/>
                <w:sz w:val="24"/>
                <w:szCs w:val="24"/>
              </w:rPr>
              <w:t>K</w:t>
            </w:r>
            <w:r>
              <w:rPr>
                <w:rFonts w:ascii="宋体" w:hAnsi="宋体" w:eastAsia="宋体" w:cs="宋体"/>
                <w:color w:val="auto"/>
                <w:spacing w:val="6"/>
                <w:position w:val="1"/>
                <w:sz w:val="24"/>
                <w:szCs w:val="24"/>
              </w:rPr>
              <w:t>)确定。</w:t>
            </w:r>
            <w:r>
              <w:rPr>
                <w:rFonts w:ascii="Times New Roman" w:hAnsi="Times New Roman" w:eastAsia="Times New Roman" w:cs="Times New Roman"/>
                <w:color w:val="auto"/>
                <w:position w:val="1"/>
                <w:sz w:val="24"/>
                <w:szCs w:val="24"/>
              </w:rPr>
              <w:t>K</w:t>
            </w:r>
            <w:r>
              <w:rPr>
                <w:rFonts w:ascii="Times New Roman" w:hAnsi="Times New Roman" w:eastAsia="Times New Roman" w:cs="Times New Roman"/>
                <w:color w:val="auto"/>
                <w:spacing w:val="6"/>
                <w:position w:val="1"/>
                <w:sz w:val="24"/>
                <w:szCs w:val="24"/>
              </w:rPr>
              <w:t>≤36</w:t>
            </w:r>
            <w:r>
              <w:rPr>
                <w:rFonts w:ascii="宋体" w:hAnsi="宋体" w:eastAsia="宋体" w:cs="宋体"/>
                <w:color w:val="auto"/>
                <w:spacing w:val="6"/>
                <w:position w:val="1"/>
                <w:sz w:val="24"/>
                <w:szCs w:val="24"/>
              </w:rPr>
              <w:t>，</w:t>
            </w:r>
            <w:r>
              <w:rPr>
                <w:rFonts w:ascii="Times New Roman" w:hAnsi="Times New Roman" w:eastAsia="Times New Roman" w:cs="Times New Roman"/>
                <w:color w:val="auto"/>
                <w:position w:val="1"/>
                <w:sz w:val="24"/>
                <w:szCs w:val="24"/>
              </w:rPr>
              <w:t>K</w:t>
            </w:r>
            <w:r>
              <w:rPr>
                <w:rFonts w:ascii="Times New Roman" w:hAnsi="Times New Roman" w:eastAsia="Times New Roman" w:cs="Times New Roman"/>
                <w:color w:val="auto"/>
                <w:sz w:val="24"/>
                <w:szCs w:val="24"/>
                <w:vertAlign w:val="subscript"/>
              </w:rPr>
              <w:t>N</w:t>
            </w:r>
            <w:r>
              <w:rPr>
                <w:rFonts w:ascii="Times New Roman" w:hAnsi="Times New Roman" w:eastAsia="Times New Roman" w:cs="Times New Roman"/>
                <w:color w:val="auto"/>
                <w:spacing w:val="6"/>
                <w:position w:val="1"/>
                <w:sz w:val="24"/>
                <w:szCs w:val="24"/>
              </w:rPr>
              <w:t>=1</w:t>
            </w:r>
            <w:r>
              <w:rPr>
                <w:rFonts w:ascii="宋体" w:hAnsi="宋体" w:eastAsia="宋体" w:cs="宋体"/>
                <w:color w:val="auto"/>
                <w:spacing w:val="6"/>
                <w:position w:val="1"/>
                <w:sz w:val="24"/>
                <w:szCs w:val="24"/>
              </w:rPr>
              <w:t>；</w:t>
            </w:r>
            <w:r>
              <w:rPr>
                <w:rFonts w:ascii="Times New Roman" w:hAnsi="Times New Roman" w:eastAsia="Times New Roman" w:cs="Times New Roman"/>
                <w:color w:val="auto"/>
                <w:spacing w:val="1"/>
                <w:position w:val="2"/>
                <w:sz w:val="24"/>
                <w:szCs w:val="24"/>
              </w:rPr>
              <w:t>36</w:t>
            </w:r>
            <w:r>
              <w:rPr>
                <w:rFonts w:ascii="宋体" w:hAnsi="宋体" w:eastAsia="宋体" w:cs="宋体"/>
                <w:color w:val="auto"/>
                <w:spacing w:val="1"/>
                <w:position w:val="2"/>
                <w:sz w:val="24"/>
                <w:szCs w:val="24"/>
              </w:rPr>
              <w:t>＜</w:t>
            </w:r>
            <w:r>
              <w:rPr>
                <w:rFonts w:ascii="Times New Roman" w:hAnsi="Times New Roman" w:eastAsia="Times New Roman" w:cs="Times New Roman"/>
                <w:color w:val="auto"/>
                <w:position w:val="2"/>
                <w:sz w:val="24"/>
                <w:szCs w:val="24"/>
              </w:rPr>
              <w:t>K</w:t>
            </w:r>
            <w:r>
              <w:rPr>
                <w:rFonts w:ascii="Times New Roman" w:hAnsi="Times New Roman" w:eastAsia="Times New Roman" w:cs="Times New Roman"/>
                <w:color w:val="auto"/>
                <w:spacing w:val="1"/>
                <w:position w:val="2"/>
                <w:sz w:val="24"/>
                <w:szCs w:val="24"/>
              </w:rPr>
              <w:t>≤220</w:t>
            </w:r>
            <w:r>
              <w:rPr>
                <w:rFonts w:ascii="宋体" w:hAnsi="宋体" w:eastAsia="宋体" w:cs="宋体"/>
                <w:color w:val="auto"/>
                <w:spacing w:val="1"/>
                <w:position w:val="2"/>
                <w:sz w:val="24"/>
                <w:szCs w:val="24"/>
              </w:rPr>
              <w:t>，</w:t>
            </w:r>
            <w:r>
              <w:rPr>
                <w:rFonts w:ascii="Times New Roman" w:hAnsi="Times New Roman" w:eastAsia="Times New Roman" w:cs="Times New Roman"/>
                <w:color w:val="auto"/>
                <w:position w:val="2"/>
                <w:sz w:val="24"/>
                <w:szCs w:val="24"/>
              </w:rPr>
              <w:t>K</w:t>
            </w:r>
            <w:r>
              <w:rPr>
                <w:rFonts w:ascii="Times New Roman" w:hAnsi="Times New Roman" w:eastAsia="Times New Roman" w:cs="Times New Roman"/>
                <w:color w:val="auto"/>
                <w:sz w:val="24"/>
                <w:szCs w:val="24"/>
              </w:rPr>
              <w:t>N</w:t>
            </w:r>
            <w:r>
              <w:rPr>
                <w:rFonts w:ascii="Times New Roman" w:hAnsi="Times New Roman" w:eastAsia="Times New Roman" w:cs="Times New Roman"/>
                <w:color w:val="auto"/>
                <w:spacing w:val="1"/>
                <w:position w:val="2"/>
                <w:sz w:val="24"/>
                <w:szCs w:val="24"/>
              </w:rPr>
              <w:t>=11.467*</w:t>
            </w:r>
            <w:r>
              <w:rPr>
                <w:rFonts w:ascii="Times New Roman" w:hAnsi="Times New Roman" w:eastAsia="Times New Roman" w:cs="Times New Roman"/>
                <w:color w:val="auto"/>
                <w:position w:val="2"/>
                <w:sz w:val="24"/>
                <w:szCs w:val="24"/>
              </w:rPr>
              <w:t>K</w:t>
            </w:r>
            <w:r>
              <w:rPr>
                <w:rFonts w:ascii="Times New Roman" w:hAnsi="Times New Roman" w:eastAsia="Times New Roman" w:cs="Times New Roman"/>
                <w:color w:val="auto"/>
                <w:spacing w:val="1"/>
                <w:position w:val="9"/>
                <w:sz w:val="24"/>
                <w:szCs w:val="24"/>
              </w:rPr>
              <w:t>-0.70</w:t>
            </w:r>
            <w:r>
              <w:rPr>
                <w:rFonts w:ascii="Times New Roman" w:hAnsi="Times New Roman" w:eastAsia="Times New Roman" w:cs="Times New Roman"/>
                <w:color w:val="auto"/>
                <w:position w:val="9"/>
                <w:sz w:val="24"/>
                <w:szCs w:val="24"/>
              </w:rPr>
              <w:t>26</w:t>
            </w:r>
            <w:r>
              <w:rPr>
                <w:rFonts w:ascii="宋体" w:hAnsi="宋体" w:eastAsia="宋体" w:cs="宋体"/>
                <w:color w:val="auto"/>
                <w:position w:val="2"/>
                <w:sz w:val="24"/>
                <w:szCs w:val="24"/>
              </w:rPr>
              <w:t>；</w:t>
            </w:r>
            <w:r>
              <w:rPr>
                <w:rFonts w:ascii="Times New Roman" w:hAnsi="Times New Roman" w:eastAsia="Times New Roman" w:cs="Times New Roman"/>
                <w:color w:val="auto"/>
                <w:position w:val="2"/>
                <w:sz w:val="24"/>
                <w:szCs w:val="24"/>
              </w:rPr>
              <w:t>K</w:t>
            </w:r>
            <w:r>
              <w:rPr>
                <w:rFonts w:ascii="宋体" w:hAnsi="宋体" w:eastAsia="宋体" w:cs="宋体"/>
                <w:color w:val="auto"/>
                <w:position w:val="2"/>
                <w:sz w:val="24"/>
                <w:szCs w:val="24"/>
              </w:rPr>
              <w:t>＞</w:t>
            </w:r>
            <w:r>
              <w:rPr>
                <w:rFonts w:ascii="Times New Roman" w:hAnsi="Times New Roman" w:eastAsia="Times New Roman" w:cs="Times New Roman"/>
                <w:color w:val="auto"/>
                <w:position w:val="2"/>
                <w:sz w:val="24"/>
                <w:szCs w:val="24"/>
              </w:rPr>
              <w:t>220</w:t>
            </w:r>
            <w:r>
              <w:rPr>
                <w:rFonts w:ascii="宋体" w:hAnsi="宋体" w:eastAsia="宋体" w:cs="宋体"/>
                <w:color w:val="auto"/>
                <w:position w:val="2"/>
                <w:sz w:val="24"/>
                <w:szCs w:val="24"/>
              </w:rPr>
              <w:t>，</w:t>
            </w:r>
            <w:r>
              <w:rPr>
                <w:rFonts w:ascii="Times New Roman" w:hAnsi="Times New Roman" w:eastAsia="Times New Roman" w:cs="Times New Roman"/>
                <w:color w:val="auto"/>
                <w:position w:val="2"/>
                <w:sz w:val="24"/>
                <w:szCs w:val="24"/>
              </w:rPr>
              <w:t>K</w:t>
            </w:r>
            <w:r>
              <w:rPr>
                <w:rFonts w:ascii="Times New Roman" w:hAnsi="Times New Roman" w:eastAsia="Times New Roman" w:cs="Times New Roman"/>
                <w:color w:val="auto"/>
                <w:sz w:val="24"/>
                <w:szCs w:val="24"/>
              </w:rPr>
              <w:t>N</w:t>
            </w:r>
            <w:r>
              <w:rPr>
                <w:rFonts w:ascii="Times New Roman" w:hAnsi="Times New Roman" w:eastAsia="Times New Roman" w:cs="Times New Roman"/>
                <w:color w:val="auto"/>
                <w:position w:val="2"/>
                <w:sz w:val="24"/>
                <w:szCs w:val="24"/>
              </w:rPr>
              <w:t>=0.26</w:t>
            </w:r>
            <w:r>
              <w:rPr>
                <w:rFonts w:ascii="宋体" w:hAnsi="宋体" w:eastAsia="宋体" w:cs="宋体"/>
                <w:color w:val="auto"/>
                <w:position w:val="2"/>
                <w:sz w:val="24"/>
                <w:szCs w:val="24"/>
              </w:rPr>
              <w:t>。</w:t>
            </w:r>
          </w:p>
          <w:p w14:paraId="2CBF6DE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ascii="宋体" w:hAnsi="宋体" w:eastAsia="宋体" w:cs="宋体"/>
                <w:color w:val="auto"/>
                <w:sz w:val="24"/>
                <w:szCs w:val="24"/>
              </w:rPr>
            </w:pPr>
            <w:r>
              <w:rPr>
                <w:rFonts w:ascii="Times New Roman" w:hAnsi="Times New Roman" w:eastAsia="Times New Roman" w:cs="Times New Roman"/>
                <w:color w:val="auto"/>
                <w:sz w:val="24"/>
                <w:szCs w:val="24"/>
              </w:rPr>
              <w:t>Kc</w:t>
            </w:r>
            <w:r>
              <w:rPr>
                <w:rFonts w:ascii="Times New Roman" w:hAnsi="Times New Roman" w:eastAsia="Times New Roman" w:cs="Times New Roman"/>
                <w:color w:val="auto"/>
                <w:spacing w:val="1"/>
                <w:sz w:val="24"/>
                <w:szCs w:val="24"/>
              </w:rPr>
              <w:t>=</w:t>
            </w:r>
            <w:r>
              <w:rPr>
                <w:rFonts w:ascii="宋体" w:hAnsi="宋体" w:eastAsia="宋体" w:cs="宋体"/>
                <w:color w:val="auto"/>
                <w:spacing w:val="1"/>
                <w:sz w:val="24"/>
                <w:szCs w:val="24"/>
              </w:rPr>
              <w:t>产品因子</w:t>
            </w:r>
            <w:r>
              <w:rPr>
                <w:rFonts w:ascii="宋体" w:hAnsi="宋体" w:eastAsia="宋体" w:cs="宋体"/>
                <w:color w:val="auto"/>
                <w:sz w:val="24"/>
                <w:szCs w:val="24"/>
              </w:rPr>
              <w:t>(石油原油</w:t>
            </w:r>
            <w:r>
              <w:rPr>
                <w:rFonts w:ascii="Times New Roman" w:hAnsi="Times New Roman" w:eastAsia="Times New Roman" w:cs="Times New Roman"/>
                <w:color w:val="auto"/>
                <w:sz w:val="24"/>
                <w:szCs w:val="24"/>
              </w:rPr>
              <w:t>Kc</w:t>
            </w:r>
            <w:r>
              <w:rPr>
                <w:rFonts w:ascii="宋体" w:hAnsi="宋体" w:eastAsia="宋体" w:cs="宋体"/>
                <w:color w:val="auto"/>
                <w:sz w:val="24"/>
                <w:szCs w:val="24"/>
              </w:rPr>
              <w:t>取</w:t>
            </w:r>
            <w:r>
              <w:rPr>
                <w:rFonts w:ascii="Times New Roman" w:hAnsi="Times New Roman" w:eastAsia="Times New Roman" w:cs="Times New Roman"/>
                <w:color w:val="auto"/>
                <w:sz w:val="24"/>
                <w:szCs w:val="24"/>
              </w:rPr>
              <w:t>0.65</w:t>
            </w:r>
            <w:r>
              <w:rPr>
                <w:rFonts w:ascii="宋体" w:hAnsi="宋体" w:eastAsia="宋体" w:cs="宋体"/>
                <w:color w:val="auto"/>
                <w:sz w:val="24"/>
                <w:szCs w:val="24"/>
              </w:rPr>
              <w:t>，其他的有机液体</w:t>
            </w:r>
            <w:r>
              <w:rPr>
                <w:rFonts w:hint="eastAsia" w:ascii="宋体" w:hAnsi="宋体" w:eastAsia="宋体" w:cs="宋体"/>
                <w:color w:val="auto"/>
                <w:sz w:val="24"/>
                <w:szCs w:val="24"/>
                <w:lang w:eastAsia="zh-CN"/>
              </w:rPr>
              <w:t>取</w:t>
            </w:r>
            <w:r>
              <w:rPr>
                <w:rFonts w:ascii="Times New Roman" w:hAnsi="Times New Roman" w:eastAsia="Times New Roman" w:cs="Times New Roman"/>
                <w:color w:val="auto"/>
                <w:sz w:val="24"/>
                <w:szCs w:val="24"/>
              </w:rPr>
              <w:t>1.0</w:t>
            </w:r>
            <w:r>
              <w:rPr>
                <w:rFonts w:ascii="宋体" w:hAnsi="宋体" w:eastAsia="宋体" w:cs="宋体"/>
                <w:color w:val="auto"/>
                <w:sz w:val="24"/>
                <w:szCs w:val="24"/>
              </w:rPr>
              <w:t>)。</w:t>
            </w:r>
          </w:p>
          <w:p w14:paraId="68073D6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default" w:ascii="Times New Roman" w:hAnsi="Times New Roman" w:eastAsia="宋体" w:cs="Times New Roman"/>
                <w:b/>
                <w:bCs/>
                <w:color w:val="auto"/>
                <w:spacing w:val="6"/>
                <w:sz w:val="21"/>
                <w:szCs w:val="21"/>
              </w:rPr>
            </w:pPr>
            <w:r>
              <w:rPr>
                <w:rFonts w:ascii="宋体" w:hAnsi="宋体" w:eastAsia="宋体" w:cs="宋体"/>
                <w:color w:val="auto"/>
                <w:spacing w:val="12"/>
                <w:sz w:val="24"/>
                <w:szCs w:val="24"/>
              </w:rPr>
              <w:t>根据以</w:t>
            </w:r>
            <w:r>
              <w:rPr>
                <w:rFonts w:ascii="宋体" w:hAnsi="宋体" w:eastAsia="宋体" w:cs="宋体"/>
                <w:color w:val="auto"/>
                <w:spacing w:val="9"/>
                <w:sz w:val="24"/>
                <w:szCs w:val="24"/>
              </w:rPr>
              <w:t>上</w:t>
            </w:r>
            <w:r>
              <w:rPr>
                <w:rFonts w:ascii="宋体" w:hAnsi="宋体" w:eastAsia="宋体" w:cs="宋体"/>
                <w:color w:val="auto"/>
                <w:spacing w:val="6"/>
                <w:sz w:val="24"/>
                <w:szCs w:val="24"/>
              </w:rPr>
              <w:t>公式计算，氨水储罐大小呼吸排放的污染物见</w:t>
            </w:r>
            <w:r>
              <w:rPr>
                <w:rFonts w:hint="eastAsia" w:ascii="宋体" w:hAnsi="宋体" w:eastAsia="宋体" w:cs="宋体"/>
                <w:color w:val="auto"/>
                <w:spacing w:val="6"/>
                <w:sz w:val="24"/>
                <w:szCs w:val="24"/>
                <w:lang w:eastAsia="zh-CN"/>
              </w:rPr>
              <w:t>表</w:t>
            </w:r>
            <w:r>
              <w:rPr>
                <w:rFonts w:hint="eastAsia" w:ascii="Times New Roman" w:hAnsi="Times New Roman" w:eastAsia="宋体" w:cs="Times New Roman"/>
                <w:color w:val="auto"/>
                <w:spacing w:val="6"/>
                <w:sz w:val="24"/>
                <w:szCs w:val="24"/>
                <w:lang w:val="en-US" w:eastAsia="zh-CN"/>
              </w:rPr>
              <w:t>4-</w:t>
            </w:r>
            <w:r>
              <w:rPr>
                <w:rFonts w:hint="eastAsia" w:cs="Times New Roman"/>
                <w:color w:val="auto"/>
                <w:spacing w:val="6"/>
                <w:sz w:val="24"/>
                <w:szCs w:val="24"/>
                <w:lang w:val="en-US" w:eastAsia="zh-CN"/>
              </w:rPr>
              <w:t>21</w:t>
            </w:r>
            <w:r>
              <w:rPr>
                <w:rFonts w:ascii="宋体" w:hAnsi="宋体" w:eastAsia="宋体" w:cs="宋体"/>
                <w:color w:val="auto"/>
                <w:spacing w:val="6"/>
                <w:sz w:val="24"/>
                <w:szCs w:val="24"/>
              </w:rPr>
              <w:t>。</w:t>
            </w:r>
          </w:p>
          <w:p w14:paraId="06BF9DF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46" w:firstLineChars="200"/>
              <w:jc w:val="center"/>
              <w:textAlignment w:val="auto"/>
              <w:rPr>
                <w:rFonts w:hint="default" w:ascii="Times New Roman" w:hAnsi="Times New Roman" w:eastAsia="宋体" w:cs="Times New Roman"/>
                <w:b/>
                <w:bCs/>
                <w:color w:val="auto"/>
                <w:spacing w:val="6"/>
                <w:sz w:val="21"/>
                <w:szCs w:val="21"/>
              </w:rPr>
            </w:pPr>
            <w:r>
              <w:rPr>
                <w:rFonts w:hint="default" w:ascii="Times New Roman" w:hAnsi="Times New Roman" w:eastAsia="宋体" w:cs="Times New Roman"/>
                <w:b/>
                <w:bCs/>
                <w:color w:val="auto"/>
                <w:spacing w:val="6"/>
                <w:sz w:val="21"/>
                <w:szCs w:val="21"/>
              </w:rPr>
              <w:t>表</w:t>
            </w:r>
            <w:r>
              <w:rPr>
                <w:rFonts w:hint="default" w:ascii="Times New Roman" w:hAnsi="Times New Roman" w:eastAsia="宋体" w:cs="Times New Roman"/>
                <w:b/>
                <w:bCs/>
                <w:color w:val="auto"/>
                <w:spacing w:val="6"/>
                <w:sz w:val="21"/>
                <w:szCs w:val="21"/>
                <w:lang w:val="en-US" w:eastAsia="zh-CN"/>
              </w:rPr>
              <w:t>4-</w:t>
            </w:r>
            <w:r>
              <w:rPr>
                <w:rFonts w:hint="eastAsia" w:cs="Times New Roman"/>
                <w:b/>
                <w:bCs/>
                <w:color w:val="auto"/>
                <w:spacing w:val="6"/>
                <w:sz w:val="21"/>
                <w:szCs w:val="21"/>
                <w:lang w:val="en-US" w:eastAsia="zh-CN"/>
              </w:rPr>
              <w:t>21</w:t>
            </w:r>
            <w:r>
              <w:rPr>
                <w:rFonts w:hint="default" w:ascii="Times New Roman" w:hAnsi="Times New Roman" w:eastAsia="宋体" w:cs="Times New Roman"/>
                <w:b/>
                <w:bCs/>
                <w:color w:val="auto"/>
                <w:spacing w:val="6"/>
                <w:sz w:val="21"/>
                <w:szCs w:val="21"/>
              </w:rPr>
              <w:t xml:space="preserve">  氨水储罐大小呼吸计算结果表(kg/a)</w:t>
            </w:r>
          </w:p>
          <w:tbl>
            <w:tblPr>
              <w:tblStyle w:val="118"/>
              <w:tblW w:w="8460" w:type="dxa"/>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1263"/>
              <w:gridCol w:w="1402"/>
              <w:gridCol w:w="711"/>
              <w:gridCol w:w="1814"/>
              <w:gridCol w:w="1814"/>
              <w:gridCol w:w="745"/>
              <w:gridCol w:w="711"/>
            </w:tblGrid>
            <w:tr w14:paraId="6353375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263" w:type="dxa"/>
                  <w:tcBorders>
                    <w:bottom w:val="single" w:color="auto" w:sz="4" w:space="0"/>
                  </w:tcBorders>
                  <w:vAlign w:val="top"/>
                </w:tcPr>
                <w:p w14:paraId="123B4272">
                  <w:pPr>
                    <w:spacing w:before="51" w:line="22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装</w:t>
                  </w:r>
                  <w:r>
                    <w:rPr>
                      <w:rFonts w:hint="default" w:ascii="Times New Roman" w:hAnsi="Times New Roman" w:eastAsia="宋体" w:cs="Times New Roman"/>
                      <w:color w:val="auto"/>
                      <w:spacing w:val="7"/>
                      <w:sz w:val="21"/>
                      <w:szCs w:val="21"/>
                    </w:rPr>
                    <w:t>置名称</w:t>
                  </w:r>
                </w:p>
              </w:tc>
              <w:tc>
                <w:tcPr>
                  <w:tcW w:w="1402" w:type="dxa"/>
                  <w:tcBorders>
                    <w:bottom w:val="single" w:color="auto" w:sz="4" w:space="0"/>
                  </w:tcBorders>
                  <w:vAlign w:val="top"/>
                </w:tcPr>
                <w:p w14:paraId="3D789566">
                  <w:pPr>
                    <w:spacing w:before="50" w:line="227"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尺寸</w:t>
                  </w:r>
                </w:p>
              </w:tc>
              <w:tc>
                <w:tcPr>
                  <w:tcW w:w="711" w:type="dxa"/>
                  <w:tcBorders>
                    <w:bottom w:val="single" w:color="auto" w:sz="4" w:space="0"/>
                  </w:tcBorders>
                  <w:vAlign w:val="top"/>
                </w:tcPr>
                <w:p w14:paraId="0EE4929D">
                  <w:pPr>
                    <w:spacing w:before="50" w:line="22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数</w:t>
                  </w:r>
                  <w:r>
                    <w:rPr>
                      <w:rFonts w:hint="default" w:ascii="Times New Roman" w:hAnsi="Times New Roman" w:eastAsia="宋体" w:cs="Times New Roman"/>
                      <w:color w:val="auto"/>
                      <w:spacing w:val="3"/>
                      <w:sz w:val="21"/>
                      <w:szCs w:val="21"/>
                    </w:rPr>
                    <w:t>量</w:t>
                  </w:r>
                </w:p>
              </w:tc>
              <w:tc>
                <w:tcPr>
                  <w:tcW w:w="1814" w:type="dxa"/>
                  <w:tcBorders>
                    <w:bottom w:val="single" w:color="auto" w:sz="4" w:space="0"/>
                  </w:tcBorders>
                  <w:vAlign w:val="top"/>
                </w:tcPr>
                <w:p w14:paraId="6CA4982D">
                  <w:pPr>
                    <w:spacing w:before="50" w:line="22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小</w:t>
                  </w:r>
                  <w:r>
                    <w:rPr>
                      <w:rFonts w:hint="default" w:ascii="Times New Roman" w:hAnsi="Times New Roman" w:eastAsia="宋体" w:cs="Times New Roman"/>
                      <w:color w:val="auto"/>
                      <w:spacing w:val="7"/>
                      <w:sz w:val="21"/>
                      <w:szCs w:val="21"/>
                    </w:rPr>
                    <w:t>呼吸产生量</w:t>
                  </w:r>
                </w:p>
              </w:tc>
              <w:tc>
                <w:tcPr>
                  <w:tcW w:w="1814" w:type="dxa"/>
                  <w:tcBorders>
                    <w:bottom w:val="single" w:color="auto" w:sz="4" w:space="0"/>
                  </w:tcBorders>
                  <w:vAlign w:val="top"/>
                </w:tcPr>
                <w:p w14:paraId="71335827">
                  <w:pPr>
                    <w:spacing w:before="50" w:line="22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大呼吸产生</w:t>
                  </w:r>
                  <w:r>
                    <w:rPr>
                      <w:rFonts w:hint="default" w:ascii="Times New Roman" w:hAnsi="Times New Roman" w:eastAsia="宋体" w:cs="Times New Roman"/>
                      <w:color w:val="auto"/>
                      <w:spacing w:val="7"/>
                      <w:sz w:val="21"/>
                      <w:szCs w:val="21"/>
                    </w:rPr>
                    <w:t>量</w:t>
                  </w:r>
                </w:p>
              </w:tc>
              <w:tc>
                <w:tcPr>
                  <w:tcW w:w="745" w:type="dxa"/>
                  <w:tcBorders>
                    <w:bottom w:val="single" w:color="auto" w:sz="4" w:space="0"/>
                  </w:tcBorders>
                  <w:vAlign w:val="top"/>
                </w:tcPr>
                <w:p w14:paraId="78D852B4">
                  <w:pPr>
                    <w:spacing w:before="50" w:line="229"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合计</w:t>
                  </w:r>
                </w:p>
              </w:tc>
              <w:tc>
                <w:tcPr>
                  <w:tcW w:w="711" w:type="dxa"/>
                  <w:tcBorders>
                    <w:bottom w:val="single" w:color="auto" w:sz="4" w:space="0"/>
                  </w:tcBorders>
                  <w:vAlign w:val="top"/>
                </w:tcPr>
                <w:p w14:paraId="59BD1B95">
                  <w:pPr>
                    <w:spacing w:before="50" w:line="229" w:lineRule="auto"/>
                    <w:jc w:val="center"/>
                    <w:rPr>
                      <w:rFonts w:hint="eastAsia"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w:t>
                  </w:r>
                </w:p>
              </w:tc>
            </w:tr>
            <w:tr w14:paraId="7354A42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1263" w:type="dxa"/>
                  <w:tcBorders>
                    <w:top w:val="single" w:color="auto" w:sz="4" w:space="0"/>
                    <w:bottom w:val="single" w:color="auto" w:sz="4" w:space="0"/>
                  </w:tcBorders>
                  <w:vAlign w:val="top"/>
                </w:tcPr>
                <w:p w14:paraId="5C809339">
                  <w:pPr>
                    <w:spacing w:before="51" w:line="228" w:lineRule="auto"/>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氨水储罐</w:t>
                  </w:r>
                </w:p>
              </w:tc>
              <w:tc>
                <w:tcPr>
                  <w:tcW w:w="1402" w:type="dxa"/>
                  <w:tcBorders>
                    <w:top w:val="single" w:color="auto" w:sz="4" w:space="0"/>
                    <w:bottom w:val="single" w:color="auto" w:sz="4" w:space="0"/>
                  </w:tcBorders>
                  <w:vAlign w:val="top"/>
                </w:tcPr>
                <w:p w14:paraId="46C92FBA">
                  <w:pPr>
                    <w:spacing w:before="51" w:line="228" w:lineRule="auto"/>
                    <w:jc w:val="center"/>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2.8</w:t>
                  </w:r>
                  <w:r>
                    <w:rPr>
                      <w:rFonts w:hint="default" w:ascii="Times New Roman" w:hAnsi="Times New Roman" w:eastAsia="宋体" w:cs="Times New Roman"/>
                      <w:color w:val="auto"/>
                      <w:spacing w:val="8"/>
                      <w:sz w:val="21"/>
                      <w:szCs w:val="21"/>
                    </w:rPr>
                    <w:t>m*</w:t>
                  </w:r>
                  <w:r>
                    <w:rPr>
                      <w:rFonts w:hint="default" w:ascii="Times New Roman" w:hAnsi="Times New Roman" w:eastAsia="宋体" w:cs="Times New Roman"/>
                      <w:color w:val="auto"/>
                      <w:spacing w:val="8"/>
                      <w:sz w:val="21"/>
                      <w:szCs w:val="21"/>
                      <w:lang w:val="en-US" w:eastAsia="zh-CN"/>
                    </w:rPr>
                    <w:t>6.0</w:t>
                  </w:r>
                  <w:r>
                    <w:rPr>
                      <w:rFonts w:hint="default" w:ascii="Times New Roman" w:hAnsi="Times New Roman" w:eastAsia="宋体" w:cs="Times New Roman"/>
                      <w:color w:val="auto"/>
                      <w:spacing w:val="8"/>
                      <w:sz w:val="21"/>
                      <w:szCs w:val="21"/>
                    </w:rPr>
                    <w:t>m</w:t>
                  </w:r>
                </w:p>
              </w:tc>
              <w:tc>
                <w:tcPr>
                  <w:tcW w:w="711" w:type="dxa"/>
                  <w:tcBorders>
                    <w:top w:val="single" w:color="auto" w:sz="4" w:space="0"/>
                    <w:bottom w:val="single" w:color="auto" w:sz="4" w:space="0"/>
                  </w:tcBorders>
                  <w:vAlign w:val="top"/>
                </w:tcPr>
                <w:p w14:paraId="30148614">
                  <w:pPr>
                    <w:spacing w:before="51" w:line="228" w:lineRule="auto"/>
                    <w:jc w:val="center"/>
                    <w:rPr>
                      <w:rFonts w:hint="eastAsia" w:ascii="Times New Roman" w:hAnsi="Times New Roman" w:eastAsia="宋体" w:cs="Times New Roman"/>
                      <w:color w:val="auto"/>
                      <w:spacing w:val="8"/>
                      <w:sz w:val="21"/>
                      <w:szCs w:val="21"/>
                      <w:lang w:val="en-US" w:eastAsia="zh-CN"/>
                    </w:rPr>
                  </w:pPr>
                  <w:r>
                    <w:rPr>
                      <w:rFonts w:hint="eastAsia" w:ascii="Times New Roman" w:hAnsi="Times New Roman" w:cs="Times New Roman"/>
                      <w:color w:val="auto"/>
                      <w:spacing w:val="8"/>
                      <w:sz w:val="21"/>
                      <w:szCs w:val="21"/>
                      <w:lang w:val="en-US" w:eastAsia="zh-CN"/>
                    </w:rPr>
                    <w:t>1</w:t>
                  </w:r>
                </w:p>
              </w:tc>
              <w:tc>
                <w:tcPr>
                  <w:tcW w:w="1814" w:type="dxa"/>
                  <w:tcBorders>
                    <w:top w:val="single" w:color="auto" w:sz="4" w:space="0"/>
                    <w:bottom w:val="single" w:color="auto" w:sz="4" w:space="0"/>
                  </w:tcBorders>
                  <w:vAlign w:val="top"/>
                </w:tcPr>
                <w:p w14:paraId="69195516">
                  <w:pPr>
                    <w:spacing w:before="51" w:line="228" w:lineRule="auto"/>
                    <w:jc w:val="center"/>
                    <w:rPr>
                      <w:rFonts w:hint="default" w:ascii="Times New Roman" w:hAnsi="Times New Roman" w:cs="Times New Roman"/>
                      <w:color w:val="auto"/>
                      <w:spacing w:val="8"/>
                      <w:sz w:val="21"/>
                      <w:szCs w:val="21"/>
                      <w:lang w:val="en-US" w:eastAsia="zh-CN"/>
                    </w:rPr>
                  </w:pPr>
                  <w:r>
                    <w:rPr>
                      <w:rFonts w:hint="eastAsia" w:ascii="Times New Roman" w:hAnsi="Times New Roman" w:cs="Times New Roman"/>
                      <w:color w:val="auto"/>
                      <w:spacing w:val="8"/>
                      <w:sz w:val="21"/>
                      <w:szCs w:val="21"/>
                      <w:lang w:val="en-US" w:eastAsia="zh-CN"/>
                    </w:rPr>
                    <w:t>0.00068</w:t>
                  </w:r>
                </w:p>
              </w:tc>
              <w:tc>
                <w:tcPr>
                  <w:tcW w:w="1814" w:type="dxa"/>
                  <w:tcBorders>
                    <w:top w:val="single" w:color="auto" w:sz="4" w:space="0"/>
                    <w:bottom w:val="single" w:color="auto" w:sz="4" w:space="0"/>
                  </w:tcBorders>
                  <w:vAlign w:val="top"/>
                </w:tcPr>
                <w:p w14:paraId="11BC98BA">
                  <w:pPr>
                    <w:spacing w:before="51" w:line="228" w:lineRule="auto"/>
                    <w:jc w:val="center"/>
                    <w:rPr>
                      <w:rFonts w:hint="default" w:ascii="Times New Roman" w:hAnsi="Times New Roman" w:cs="Times New Roman"/>
                      <w:color w:val="auto"/>
                      <w:spacing w:val="8"/>
                      <w:sz w:val="21"/>
                      <w:szCs w:val="21"/>
                      <w:lang w:val="en-US" w:eastAsia="zh-CN"/>
                    </w:rPr>
                  </w:pPr>
                  <w:r>
                    <w:rPr>
                      <w:rFonts w:hint="eastAsia" w:ascii="Times New Roman" w:hAnsi="Times New Roman" w:cs="Times New Roman"/>
                      <w:color w:val="auto"/>
                      <w:spacing w:val="8"/>
                      <w:sz w:val="21"/>
                      <w:szCs w:val="21"/>
                      <w:lang w:val="en-US" w:eastAsia="zh-CN"/>
                    </w:rPr>
                    <w:t>0.024</w:t>
                  </w:r>
                </w:p>
              </w:tc>
              <w:tc>
                <w:tcPr>
                  <w:tcW w:w="745" w:type="dxa"/>
                  <w:tcBorders>
                    <w:top w:val="single" w:color="auto" w:sz="4" w:space="0"/>
                    <w:bottom w:val="single" w:color="auto" w:sz="4" w:space="0"/>
                  </w:tcBorders>
                  <w:vAlign w:val="top"/>
                </w:tcPr>
                <w:p w14:paraId="0C0B6D1B">
                  <w:pPr>
                    <w:spacing w:before="51" w:line="228" w:lineRule="auto"/>
                    <w:jc w:val="center"/>
                    <w:rPr>
                      <w:rFonts w:hint="default" w:ascii="Times New Roman" w:hAnsi="Times New Roman" w:cs="Times New Roman"/>
                      <w:color w:val="auto"/>
                      <w:spacing w:val="8"/>
                      <w:sz w:val="21"/>
                      <w:szCs w:val="21"/>
                      <w:lang w:val="en-US" w:eastAsia="zh-CN"/>
                    </w:rPr>
                  </w:pPr>
                  <w:r>
                    <w:rPr>
                      <w:rFonts w:hint="eastAsia" w:ascii="Times New Roman" w:hAnsi="Times New Roman" w:cs="Times New Roman"/>
                      <w:color w:val="auto"/>
                      <w:spacing w:val="8"/>
                      <w:sz w:val="21"/>
                      <w:szCs w:val="21"/>
                      <w:lang w:val="en-US" w:eastAsia="zh-CN"/>
                    </w:rPr>
                    <w:t>0.02468</w:t>
                  </w:r>
                </w:p>
              </w:tc>
              <w:tc>
                <w:tcPr>
                  <w:tcW w:w="711" w:type="dxa"/>
                  <w:tcBorders>
                    <w:top w:val="single" w:color="auto" w:sz="4" w:space="0"/>
                    <w:bottom w:val="single" w:color="auto" w:sz="4" w:space="0"/>
                  </w:tcBorders>
                  <w:vAlign w:val="top"/>
                </w:tcPr>
                <w:p w14:paraId="0F972AA9">
                  <w:pPr>
                    <w:spacing w:before="51" w:line="228" w:lineRule="auto"/>
                    <w:jc w:val="center"/>
                    <w:rPr>
                      <w:rFonts w:hint="default" w:ascii="Times New Roman" w:hAnsi="Times New Roman" w:cs="Times New Roman"/>
                      <w:color w:val="auto"/>
                      <w:spacing w:val="8"/>
                      <w:sz w:val="21"/>
                      <w:szCs w:val="21"/>
                      <w:lang w:val="en-US" w:eastAsia="zh-CN"/>
                    </w:rPr>
                  </w:pPr>
                  <w:r>
                    <w:rPr>
                      <w:rFonts w:hint="eastAsia" w:cs="Times New Roman"/>
                      <w:color w:val="auto"/>
                      <w:spacing w:val="8"/>
                      <w:sz w:val="21"/>
                      <w:szCs w:val="21"/>
                      <w:lang w:val="en-US" w:eastAsia="zh-CN"/>
                    </w:rPr>
                    <w:t>/</w:t>
                  </w:r>
                </w:p>
              </w:tc>
            </w:tr>
          </w:tbl>
          <w:p w14:paraId="3F95807A">
            <w:pPr>
              <w:keepNext w:val="0"/>
              <w:keepLines w:val="0"/>
              <w:pageBreakBefore w:val="0"/>
              <w:widowControl w:val="0"/>
              <w:kinsoku/>
              <w:wordWrap/>
              <w:overflowPunct/>
              <w:topLinePunct w:val="0"/>
              <w:autoSpaceDE/>
              <w:autoSpaceDN/>
              <w:bidi w:val="0"/>
              <w:adjustRightInd w:val="0"/>
              <w:snapToGrid w:val="0"/>
              <w:spacing w:line="360" w:lineRule="auto"/>
              <w:ind w:left="0" w:right="0" w:firstLine="420"/>
              <w:textAlignment w:val="auto"/>
              <w:rPr>
                <w:rFonts w:hint="eastAsia" w:ascii="Times New Roman" w:hAnsi="Times New Roman" w:eastAsia="宋体" w:cs="Times New Roman"/>
                <w:b/>
                <w:bCs/>
                <w:color w:val="auto"/>
                <w:sz w:val="24"/>
                <w:szCs w:val="24"/>
                <w:highlight w:val="none"/>
                <w:lang w:val="en-US" w:eastAsia="zh-CN"/>
              </w:rPr>
            </w:pPr>
            <w:r>
              <w:rPr>
                <w:rFonts w:ascii="宋体" w:hAnsi="宋体" w:eastAsia="宋体" w:cs="宋体"/>
                <w:color w:val="auto"/>
                <w:spacing w:val="10"/>
                <w:sz w:val="24"/>
                <w:szCs w:val="24"/>
              </w:rPr>
              <w:t>氨</w:t>
            </w:r>
            <w:r>
              <w:rPr>
                <w:rFonts w:ascii="宋体" w:hAnsi="宋体" w:eastAsia="宋体" w:cs="宋体"/>
                <w:color w:val="auto"/>
                <w:spacing w:val="7"/>
                <w:sz w:val="24"/>
                <w:szCs w:val="24"/>
              </w:rPr>
              <w:t>水储罐的呼吸口接管与</w:t>
            </w:r>
            <w:r>
              <w:rPr>
                <w:rFonts w:hint="eastAsia" w:ascii="宋体" w:hAnsi="宋体" w:eastAsia="宋体" w:cs="宋体"/>
                <w:color w:val="auto"/>
                <w:spacing w:val="7"/>
                <w:sz w:val="24"/>
                <w:szCs w:val="24"/>
                <w:lang w:eastAsia="zh-CN"/>
              </w:rPr>
              <w:t>清水储罐</w:t>
            </w:r>
            <w:r>
              <w:rPr>
                <w:rFonts w:ascii="宋体" w:hAnsi="宋体" w:eastAsia="宋体" w:cs="宋体"/>
                <w:color w:val="auto"/>
                <w:spacing w:val="7"/>
                <w:sz w:val="24"/>
                <w:szCs w:val="24"/>
              </w:rPr>
              <w:t>连接，经处理后</w:t>
            </w:r>
            <w:r>
              <w:rPr>
                <w:rFonts w:ascii="宋体" w:hAnsi="宋体" w:eastAsia="宋体" w:cs="宋体"/>
                <w:color w:val="auto"/>
                <w:spacing w:val="14"/>
                <w:sz w:val="24"/>
                <w:szCs w:val="24"/>
              </w:rPr>
              <w:t>无</w:t>
            </w:r>
            <w:r>
              <w:rPr>
                <w:rFonts w:ascii="宋体" w:hAnsi="宋体" w:eastAsia="宋体" w:cs="宋体"/>
                <w:color w:val="auto"/>
                <w:spacing w:val="8"/>
                <w:sz w:val="24"/>
                <w:szCs w:val="24"/>
              </w:rPr>
              <w:t>组</w:t>
            </w:r>
            <w:r>
              <w:rPr>
                <w:rFonts w:ascii="宋体" w:hAnsi="宋体" w:eastAsia="宋体" w:cs="宋体"/>
                <w:color w:val="auto"/>
                <w:spacing w:val="7"/>
                <w:sz w:val="24"/>
                <w:szCs w:val="24"/>
              </w:rPr>
              <w:t>织排放，其主要原理为利用氨气溶水性强的特点，利用循环水吸收装置，达到</w:t>
            </w:r>
            <w:r>
              <w:rPr>
                <w:rFonts w:ascii="宋体" w:hAnsi="宋体" w:eastAsia="宋体" w:cs="宋体"/>
                <w:color w:val="auto"/>
                <w:spacing w:val="5"/>
                <w:sz w:val="24"/>
                <w:szCs w:val="24"/>
              </w:rPr>
              <w:t>回收效果。吸附材料的去除效率约</w:t>
            </w:r>
            <w:r>
              <w:rPr>
                <w:rFonts w:ascii="Times New Roman" w:hAnsi="Times New Roman" w:eastAsia="Times New Roman" w:cs="Times New Roman"/>
                <w:color w:val="auto"/>
                <w:spacing w:val="5"/>
                <w:sz w:val="24"/>
                <w:szCs w:val="24"/>
              </w:rPr>
              <w:t>95%</w:t>
            </w:r>
            <w:r>
              <w:rPr>
                <w:rFonts w:ascii="宋体" w:hAnsi="宋体" w:eastAsia="宋体" w:cs="宋体"/>
                <w:color w:val="auto"/>
                <w:spacing w:val="5"/>
                <w:sz w:val="24"/>
                <w:szCs w:val="24"/>
              </w:rPr>
              <w:t>，故氨水储罐大小</w:t>
            </w:r>
            <w:r>
              <w:rPr>
                <w:rFonts w:ascii="宋体" w:hAnsi="宋体" w:eastAsia="宋体" w:cs="宋体"/>
                <w:color w:val="auto"/>
                <w:spacing w:val="4"/>
                <w:sz w:val="24"/>
                <w:szCs w:val="24"/>
              </w:rPr>
              <w:t>呼</w:t>
            </w:r>
            <w:r>
              <w:rPr>
                <w:rFonts w:ascii="宋体" w:hAnsi="宋体" w:eastAsia="宋体" w:cs="宋体"/>
                <w:color w:val="auto"/>
                <w:sz w:val="24"/>
                <w:szCs w:val="24"/>
              </w:rPr>
              <w:t>吸</w:t>
            </w:r>
            <w:r>
              <w:rPr>
                <w:rFonts w:ascii="宋体" w:hAnsi="宋体" w:eastAsia="宋体" w:cs="宋体"/>
                <w:color w:val="auto"/>
                <w:spacing w:val="1"/>
                <w:sz w:val="24"/>
                <w:szCs w:val="24"/>
              </w:rPr>
              <w:t>整体回收效率约</w:t>
            </w:r>
            <w:r>
              <w:rPr>
                <w:rFonts w:ascii="Times New Roman" w:hAnsi="Times New Roman" w:eastAsia="Times New Roman" w:cs="Times New Roman"/>
                <w:color w:val="auto"/>
                <w:sz w:val="24"/>
                <w:szCs w:val="24"/>
              </w:rPr>
              <w:t>95%</w:t>
            </w:r>
            <w:r>
              <w:rPr>
                <w:rFonts w:ascii="宋体" w:hAnsi="宋体" w:eastAsia="宋体" w:cs="宋体"/>
                <w:color w:val="auto"/>
                <w:sz w:val="24"/>
                <w:szCs w:val="24"/>
              </w:rPr>
              <w:t>，</w:t>
            </w:r>
            <w:r>
              <w:rPr>
                <w:rFonts w:hint="eastAsia" w:ascii="宋体" w:hAnsi="宋体" w:eastAsia="宋体" w:cs="宋体"/>
                <w:color w:val="auto"/>
                <w:sz w:val="24"/>
                <w:szCs w:val="24"/>
                <w:lang w:eastAsia="zh-CN"/>
              </w:rPr>
              <w:t>故项目</w:t>
            </w:r>
            <w:r>
              <w:rPr>
                <w:rFonts w:hint="eastAsia" w:ascii="宋体" w:hAnsi="宋体" w:eastAsia="宋体" w:cs="宋体"/>
                <w:color w:val="auto"/>
                <w:sz w:val="24"/>
                <w:szCs w:val="24"/>
                <w:lang w:val="en-US" w:eastAsia="zh-CN"/>
              </w:rPr>
              <w:t>氨水储罐呼吸废气</w:t>
            </w:r>
            <w:r>
              <w:rPr>
                <w:rFonts w:ascii="宋体" w:hAnsi="宋体" w:eastAsia="宋体" w:cs="宋体"/>
                <w:color w:val="auto"/>
                <w:sz w:val="24"/>
                <w:szCs w:val="24"/>
              </w:rPr>
              <w:t>年排放量为</w:t>
            </w:r>
            <w:r>
              <w:rPr>
                <w:rFonts w:ascii="Times New Roman" w:hAnsi="Times New Roman" w:eastAsia="Times New Roman" w:cs="Times New Roman"/>
                <w:color w:val="auto"/>
                <w:sz w:val="24"/>
                <w:szCs w:val="24"/>
              </w:rPr>
              <w:t>0.0</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1234</w:t>
            </w:r>
            <w:r>
              <w:rPr>
                <w:rFonts w:hint="eastAsia" w:ascii="Times New Roman" w:hAnsi="Times New Roman" w:eastAsia="宋体" w:cs="Times New Roman"/>
                <w:color w:val="auto"/>
                <w:sz w:val="24"/>
                <w:szCs w:val="24"/>
                <w:lang w:val="en-US" w:eastAsia="zh-CN"/>
              </w:rPr>
              <w:t>kg</w:t>
            </w:r>
            <w:r>
              <w:rPr>
                <w:rFonts w:ascii="Times New Roman" w:hAnsi="Times New Roman" w:eastAsia="Times New Roman" w:cs="Times New Roman"/>
                <w:color w:val="auto"/>
                <w:sz w:val="24"/>
                <w:szCs w:val="24"/>
              </w:rPr>
              <w:t>/a</w:t>
            </w:r>
            <w:r>
              <w:rPr>
                <w:rFonts w:hint="eastAsia" w:eastAsia="宋体" w:cs="Times New Roman"/>
                <w:color w:val="auto"/>
                <w:sz w:val="24"/>
                <w:szCs w:val="24"/>
                <w:lang w:eastAsia="zh-CN"/>
              </w:rPr>
              <w:t>。</w:t>
            </w:r>
          </w:p>
          <w:p w14:paraId="4522E190">
            <w:pPr>
              <w:keepNext w:val="0"/>
              <w:keepLines w:val="0"/>
              <w:pageBreakBefore w:val="0"/>
              <w:widowControl w:val="0"/>
              <w:kinsoku/>
              <w:wordWrap/>
              <w:overflowPunct/>
              <w:topLinePunct w:val="0"/>
              <w:autoSpaceDE/>
              <w:autoSpaceDN/>
              <w:bidi w:val="0"/>
              <w:adjustRightInd/>
              <w:snapToGrid/>
              <w:spacing w:line="348" w:lineRule="auto"/>
              <w:ind w:left="0" w:leftChars="0" w:firstLine="482" w:firstLineChars="200"/>
              <w:textAlignment w:val="auto"/>
              <w:outlineLvl w:val="9"/>
              <w:rPr>
                <w:rFonts w:hint="default" w:ascii="Times New Roman" w:hAnsi="Times New Roman" w:eastAsia="宋体" w:cs="Times New Roman"/>
                <w:b/>
                <w:bCs/>
                <w:color w:val="auto"/>
                <w:spacing w:val="6"/>
                <w:kern w:val="2"/>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rPr>
              <w:t>⑭卫生间、</w:t>
            </w:r>
            <w:r>
              <w:rPr>
                <w:rFonts w:hint="default" w:ascii="Times New Roman" w:hAnsi="Times New Roman" w:eastAsia="宋体" w:cs="Times New Roman"/>
                <w:b/>
                <w:bCs/>
                <w:color w:val="auto"/>
                <w:sz w:val="24"/>
                <w:szCs w:val="24"/>
                <w:highlight w:val="none"/>
                <w:lang w:eastAsia="zh-CN"/>
              </w:rPr>
              <w:t>化粪池</w:t>
            </w:r>
            <w:r>
              <w:rPr>
                <w:rFonts w:hint="default" w:ascii="Times New Roman" w:hAnsi="Times New Roman" w:eastAsia="宋体" w:cs="Times New Roman"/>
                <w:b/>
                <w:bCs/>
                <w:color w:val="auto"/>
                <w:sz w:val="24"/>
                <w:szCs w:val="24"/>
                <w:highlight w:val="none"/>
                <w:lang w:val="en-US" w:eastAsia="zh-CN"/>
              </w:rPr>
              <w:t>及一体化污水处理站</w:t>
            </w:r>
            <w:r>
              <w:rPr>
                <w:rFonts w:hint="default" w:ascii="Times New Roman" w:hAnsi="Times New Roman" w:eastAsia="宋体" w:cs="Times New Roman"/>
                <w:b/>
                <w:bCs/>
                <w:color w:val="auto"/>
                <w:sz w:val="24"/>
                <w:szCs w:val="24"/>
                <w:highlight w:val="none"/>
                <w:lang w:eastAsia="zh-CN"/>
              </w:rPr>
              <w:t>异味</w:t>
            </w:r>
          </w:p>
          <w:p w14:paraId="7831205A">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本项目臭气</w:t>
            </w:r>
            <w:r>
              <w:rPr>
                <w:rFonts w:hint="default" w:ascii="Times New Roman" w:hAnsi="Times New Roman" w:eastAsia="宋体" w:cs="Times New Roman"/>
                <w:color w:val="auto"/>
                <w:sz w:val="24"/>
                <w:szCs w:val="24"/>
                <w:highlight w:val="none"/>
                <w:lang w:val="en-US" w:eastAsia="zh-CN"/>
              </w:rPr>
              <w:t>还</w:t>
            </w:r>
            <w:r>
              <w:rPr>
                <w:rFonts w:hint="default" w:ascii="Times New Roman" w:hAnsi="Times New Roman" w:eastAsia="宋体" w:cs="Times New Roman"/>
                <w:color w:val="auto"/>
                <w:sz w:val="24"/>
                <w:szCs w:val="24"/>
                <w:highlight w:val="none"/>
                <w:lang w:val="zh-CN" w:eastAsia="zh-CN"/>
              </w:rPr>
              <w:t>来源于</w:t>
            </w:r>
            <w:r>
              <w:rPr>
                <w:rFonts w:hint="default" w:ascii="Times New Roman" w:hAnsi="Times New Roman" w:eastAsia="宋体" w:cs="Times New Roman"/>
                <w:bCs w:val="0"/>
                <w:color w:val="auto"/>
                <w:sz w:val="24"/>
                <w:highlight w:val="none"/>
                <w:lang w:eastAsia="zh-CN"/>
              </w:rPr>
              <w:t>卫生间</w:t>
            </w:r>
            <w:r>
              <w:rPr>
                <w:rFonts w:hint="default" w:ascii="Times New Roman" w:hAnsi="Times New Roman" w:eastAsia="宋体" w:cs="Times New Roman"/>
                <w:color w:val="auto"/>
                <w:sz w:val="24"/>
                <w:szCs w:val="24"/>
                <w:highlight w:val="none"/>
              </w:rPr>
              <w:t>、化</w:t>
            </w:r>
            <w:r>
              <w:rPr>
                <w:rFonts w:hint="default" w:ascii="Times New Roman" w:hAnsi="Times New Roman" w:eastAsia="宋体" w:cs="Times New Roman"/>
                <w:b w:val="0"/>
                <w:bCs w:val="0"/>
                <w:color w:val="auto"/>
                <w:sz w:val="24"/>
                <w:szCs w:val="24"/>
                <w:highlight w:val="none"/>
              </w:rPr>
              <w:t>粪池</w:t>
            </w:r>
            <w:r>
              <w:rPr>
                <w:rFonts w:hint="default" w:ascii="Times New Roman" w:hAnsi="Times New Roman" w:eastAsia="宋体" w:cs="Times New Roman"/>
                <w:b w:val="0"/>
                <w:bCs w:val="0"/>
                <w:color w:val="auto"/>
                <w:sz w:val="24"/>
                <w:szCs w:val="24"/>
                <w:highlight w:val="none"/>
                <w:lang w:val="en-US" w:eastAsia="zh-CN"/>
              </w:rPr>
              <w:t>及一体化污水处理站</w:t>
            </w:r>
            <w:r>
              <w:rPr>
                <w:rFonts w:hint="default" w:ascii="Times New Roman" w:hAnsi="Times New Roman" w:eastAsia="宋体" w:cs="Times New Roman"/>
                <w:b w:val="0"/>
                <w:bCs w:val="0"/>
                <w:color w:val="auto"/>
                <w:sz w:val="24"/>
                <w:szCs w:val="24"/>
                <w:highlight w:val="none"/>
              </w:rPr>
              <w:t>等</w:t>
            </w:r>
            <w:r>
              <w:rPr>
                <w:rFonts w:hint="default" w:ascii="Times New Roman" w:hAnsi="Times New Roman" w:eastAsia="宋体" w:cs="Times New Roman"/>
                <w:color w:val="auto"/>
                <w:sz w:val="24"/>
                <w:szCs w:val="24"/>
                <w:highlight w:val="none"/>
              </w:rPr>
              <w:t>使用过程。</w:t>
            </w:r>
          </w:p>
          <w:p w14:paraId="33207140">
            <w:pPr>
              <w:pStyle w:val="6"/>
              <w:keepNext w:val="0"/>
              <w:keepLines w:val="0"/>
              <w:pageBreakBefore w:val="0"/>
              <w:widowControl w:val="0"/>
              <w:kinsoku/>
              <w:wordWrap/>
              <w:overflowPunct/>
              <w:topLinePunct w:val="0"/>
              <w:autoSpaceDE/>
              <w:autoSpaceDN/>
              <w:bidi w:val="0"/>
              <w:adjustRightInd/>
              <w:snapToGrid/>
              <w:spacing w:line="348" w:lineRule="auto"/>
              <w:ind w:firstLine="48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项目产生的生活垃圾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办公垃圾经项目</w:t>
            </w:r>
            <w:r>
              <w:rPr>
                <w:rFonts w:hint="default" w:ascii="Times New Roman" w:hAnsi="Times New Roman" w:eastAsia="宋体" w:cs="Times New Roman"/>
                <w:color w:val="auto"/>
                <w:sz w:val="24"/>
                <w:szCs w:val="24"/>
                <w:highlight w:val="none"/>
                <w:lang w:eastAsia="zh-CN"/>
              </w:rPr>
              <w:t>带盖</w:t>
            </w:r>
            <w:r>
              <w:rPr>
                <w:rFonts w:hint="default" w:ascii="Times New Roman" w:hAnsi="Times New Roman" w:eastAsia="宋体" w:cs="Times New Roman"/>
                <w:color w:val="auto"/>
                <w:sz w:val="24"/>
                <w:szCs w:val="24"/>
                <w:highlight w:val="none"/>
              </w:rPr>
              <w:t>垃圾桶收集后直接运至</w:t>
            </w:r>
            <w:r>
              <w:rPr>
                <w:rFonts w:hint="default" w:ascii="Times New Roman" w:hAnsi="Times New Roman" w:eastAsia="宋体" w:cs="Times New Roman"/>
                <w:color w:val="auto"/>
                <w:sz w:val="24"/>
                <w:szCs w:val="24"/>
                <w:highlight w:val="none"/>
                <w:lang w:eastAsia="zh-CN"/>
              </w:rPr>
              <w:t>附近</w:t>
            </w:r>
            <w:r>
              <w:rPr>
                <w:rFonts w:hint="default" w:ascii="Times New Roman" w:hAnsi="Times New Roman" w:eastAsia="宋体" w:cs="Times New Roman"/>
                <w:color w:val="auto"/>
                <w:sz w:val="24"/>
                <w:szCs w:val="24"/>
                <w:highlight w:val="none"/>
              </w:rPr>
              <w:t>垃圾收集点，由环卫部门清运处理，生活垃圾日产日清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lang w:eastAsia="zh-CN"/>
              </w:rPr>
              <w:t>异味</w:t>
            </w:r>
            <w:r>
              <w:rPr>
                <w:rFonts w:hint="default" w:ascii="Times New Roman" w:hAnsi="Times New Roman" w:eastAsia="宋体" w:cs="Times New Roman"/>
                <w:color w:val="auto"/>
                <w:sz w:val="24"/>
                <w:szCs w:val="24"/>
                <w:highlight w:val="none"/>
              </w:rPr>
              <w:t>产生量较小</w:t>
            </w:r>
            <w:r>
              <w:rPr>
                <w:rFonts w:hint="default" w:ascii="Times New Roman" w:hAnsi="Times New Roman" w:eastAsia="宋体" w:cs="Times New Roman"/>
                <w:color w:val="auto"/>
                <w:sz w:val="24"/>
                <w:szCs w:val="24"/>
                <w:highlight w:val="none"/>
                <w:lang w:eastAsia="zh-CN"/>
              </w:rPr>
              <w:t>。</w:t>
            </w:r>
          </w:p>
          <w:p w14:paraId="5E60907D">
            <w:pPr>
              <w:keepNext w:val="0"/>
              <w:keepLines w:val="0"/>
              <w:pageBreakBefore w:val="0"/>
              <w:widowControl w:val="0"/>
              <w:kinsoku/>
              <w:wordWrap/>
              <w:overflowPunct/>
              <w:topLinePunct w:val="0"/>
              <w:autoSpaceDE/>
              <w:autoSpaceDN/>
              <w:bidi w:val="0"/>
              <w:adjustRightInd/>
              <w:snapToGrid/>
              <w:spacing w:line="348" w:lineRule="auto"/>
              <w:ind w:firstLine="488" w:firstLineChars="2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同时</w:t>
            </w:r>
            <w:r>
              <w:rPr>
                <w:rFonts w:hint="default" w:ascii="Times New Roman" w:hAnsi="Times New Roman" w:eastAsia="宋体" w:cs="Times New Roman"/>
                <w:color w:val="auto"/>
                <w:spacing w:val="2"/>
                <w:sz w:val="24"/>
                <w:szCs w:val="24"/>
                <w:highlight w:val="none"/>
              </w:rPr>
              <w:t>项目</w:t>
            </w:r>
            <w:r>
              <w:rPr>
                <w:rFonts w:hint="default" w:ascii="Times New Roman" w:hAnsi="Times New Roman" w:eastAsia="宋体" w:cs="Times New Roman"/>
                <w:color w:val="auto"/>
                <w:spacing w:val="2"/>
                <w:sz w:val="24"/>
                <w:szCs w:val="24"/>
                <w:highlight w:val="none"/>
                <w:lang w:eastAsia="zh-CN"/>
              </w:rPr>
              <w:t>卫生间、</w:t>
            </w:r>
            <w:r>
              <w:rPr>
                <w:rFonts w:hint="default" w:ascii="Times New Roman" w:hAnsi="Times New Roman" w:eastAsia="宋体" w:cs="Times New Roman"/>
                <w:color w:val="auto"/>
                <w:spacing w:val="2"/>
                <w:sz w:val="24"/>
                <w:szCs w:val="24"/>
                <w:highlight w:val="none"/>
              </w:rPr>
              <w:t>化粪</w:t>
            </w:r>
            <w:r>
              <w:rPr>
                <w:rFonts w:hint="default" w:ascii="Times New Roman" w:hAnsi="Times New Roman" w:eastAsia="宋体" w:cs="Times New Roman"/>
                <w:b w:val="0"/>
                <w:bCs w:val="0"/>
                <w:color w:val="auto"/>
                <w:spacing w:val="2"/>
                <w:sz w:val="24"/>
                <w:szCs w:val="24"/>
                <w:highlight w:val="none"/>
              </w:rPr>
              <w:t>池</w:t>
            </w:r>
            <w:r>
              <w:rPr>
                <w:rFonts w:hint="default" w:ascii="Times New Roman" w:hAnsi="Times New Roman" w:eastAsia="宋体" w:cs="Times New Roman"/>
                <w:b w:val="0"/>
                <w:bCs w:val="0"/>
                <w:color w:val="auto"/>
                <w:sz w:val="24"/>
                <w:szCs w:val="24"/>
                <w:highlight w:val="none"/>
                <w:lang w:val="en-US" w:eastAsia="zh-CN"/>
              </w:rPr>
              <w:t>及一体化污水处理站</w:t>
            </w:r>
            <w:r>
              <w:rPr>
                <w:rFonts w:hint="default" w:ascii="Times New Roman" w:hAnsi="Times New Roman" w:eastAsia="宋体" w:cs="Times New Roman"/>
                <w:b w:val="0"/>
                <w:bCs w:val="0"/>
                <w:color w:val="auto"/>
                <w:spacing w:val="2"/>
                <w:sz w:val="24"/>
                <w:szCs w:val="24"/>
                <w:highlight w:val="none"/>
                <w:lang w:eastAsia="zh-CN"/>
              </w:rPr>
              <w:t>在</w:t>
            </w:r>
            <w:r>
              <w:rPr>
                <w:rFonts w:hint="default" w:ascii="Times New Roman" w:hAnsi="Times New Roman" w:eastAsia="宋体" w:cs="Times New Roman"/>
                <w:b w:val="0"/>
                <w:bCs w:val="0"/>
                <w:color w:val="auto"/>
                <w:spacing w:val="2"/>
                <w:sz w:val="24"/>
                <w:szCs w:val="24"/>
                <w:highlight w:val="none"/>
              </w:rPr>
              <w:t>运营</w:t>
            </w:r>
            <w:r>
              <w:rPr>
                <w:rFonts w:hint="default" w:ascii="Times New Roman" w:hAnsi="Times New Roman" w:eastAsia="宋体" w:cs="Times New Roman"/>
                <w:color w:val="auto"/>
                <w:spacing w:val="2"/>
                <w:sz w:val="24"/>
                <w:szCs w:val="24"/>
                <w:highlight w:val="none"/>
              </w:rPr>
              <w:t>过程中</w:t>
            </w:r>
            <w:r>
              <w:rPr>
                <w:rFonts w:hint="default" w:ascii="Times New Roman" w:hAnsi="Times New Roman" w:eastAsia="宋体" w:cs="Times New Roman"/>
                <w:color w:val="auto"/>
                <w:spacing w:val="2"/>
                <w:sz w:val="24"/>
                <w:szCs w:val="24"/>
                <w:highlight w:val="none"/>
                <w:lang w:eastAsia="zh-CN"/>
              </w:rPr>
              <w:t>由于</w:t>
            </w:r>
            <w:r>
              <w:rPr>
                <w:rFonts w:hint="default" w:ascii="Times New Roman" w:hAnsi="Times New Roman" w:eastAsia="宋体" w:cs="Times New Roman"/>
                <w:color w:val="auto"/>
                <w:spacing w:val="2"/>
                <w:sz w:val="24"/>
                <w:szCs w:val="24"/>
                <w:highlight w:val="none"/>
              </w:rPr>
              <w:t>有机物的分解、发酵过程将</w:t>
            </w:r>
            <w:r>
              <w:rPr>
                <w:rFonts w:hint="default" w:ascii="Times New Roman" w:hAnsi="Times New Roman" w:eastAsia="宋体" w:cs="Times New Roman"/>
                <w:color w:val="auto"/>
                <w:spacing w:val="2"/>
                <w:sz w:val="24"/>
                <w:szCs w:val="24"/>
                <w:highlight w:val="none"/>
                <w:lang w:eastAsia="zh-CN"/>
              </w:rPr>
              <w:t>会</w:t>
            </w:r>
            <w:r>
              <w:rPr>
                <w:rFonts w:hint="default" w:ascii="Times New Roman" w:hAnsi="Times New Roman" w:eastAsia="宋体" w:cs="Times New Roman"/>
                <w:color w:val="auto"/>
                <w:spacing w:val="2"/>
                <w:sz w:val="24"/>
                <w:szCs w:val="24"/>
                <w:highlight w:val="none"/>
              </w:rPr>
              <w:t>产生异味，异味为多组分、低浓度化学物质形成的混合物，其主要成分为氨、硫化</w:t>
            </w:r>
            <w:r>
              <w:rPr>
                <w:rFonts w:hint="default" w:ascii="Times New Roman" w:hAnsi="Times New Roman" w:eastAsia="宋体" w:cs="Times New Roman"/>
                <w:b w:val="0"/>
                <w:bCs w:val="0"/>
                <w:color w:val="auto"/>
                <w:spacing w:val="2"/>
                <w:sz w:val="24"/>
                <w:szCs w:val="24"/>
                <w:highlight w:val="none"/>
              </w:rPr>
              <w:t>氢</w:t>
            </w:r>
            <w:r>
              <w:rPr>
                <w:rFonts w:hint="default" w:ascii="Times New Roman" w:hAnsi="Times New Roman" w:eastAsia="宋体" w:cs="Times New Roman"/>
                <w:b w:val="0"/>
                <w:bCs w:val="0"/>
                <w:color w:val="auto"/>
                <w:spacing w:val="2"/>
                <w:sz w:val="24"/>
                <w:szCs w:val="24"/>
                <w:highlight w:val="none"/>
                <w:lang w:eastAsia="zh-CN"/>
              </w:rPr>
              <w:t>等</w:t>
            </w:r>
            <w:r>
              <w:rPr>
                <w:rFonts w:hint="default" w:ascii="Times New Roman" w:hAnsi="Times New Roman" w:eastAsia="宋体" w:cs="Times New Roman"/>
                <w:b w:val="0"/>
                <w:bCs w:val="0"/>
                <w:color w:val="auto"/>
                <w:spacing w:val="2"/>
                <w:sz w:val="24"/>
                <w:szCs w:val="24"/>
                <w:highlight w:val="none"/>
              </w:rPr>
              <w:t>物质。</w:t>
            </w:r>
            <w:r>
              <w:rPr>
                <w:rFonts w:hint="default" w:ascii="Times New Roman" w:hAnsi="Times New Roman" w:eastAsia="宋体" w:cs="Times New Roman"/>
                <w:b w:val="0"/>
                <w:bCs w:val="0"/>
                <w:color w:val="auto"/>
                <w:spacing w:val="2"/>
                <w:sz w:val="24"/>
                <w:szCs w:val="24"/>
                <w:highlight w:val="none"/>
                <w:lang w:eastAsia="zh-CN"/>
              </w:rPr>
              <w:t>项目</w:t>
            </w:r>
            <w:r>
              <w:rPr>
                <w:rFonts w:hint="default" w:ascii="Times New Roman" w:hAnsi="Times New Roman" w:eastAsia="宋体" w:cs="Times New Roman"/>
                <w:b w:val="0"/>
                <w:bCs w:val="0"/>
                <w:color w:val="auto"/>
                <w:sz w:val="24"/>
                <w:szCs w:val="24"/>
                <w:highlight w:val="none"/>
              </w:rPr>
              <w:t>卫生间为</w:t>
            </w:r>
            <w:r>
              <w:rPr>
                <w:rFonts w:hint="default" w:ascii="Times New Roman" w:hAnsi="Times New Roman" w:eastAsia="宋体" w:cs="Times New Roman"/>
                <w:b w:val="0"/>
                <w:bCs w:val="0"/>
                <w:color w:val="auto"/>
                <w:sz w:val="24"/>
                <w:szCs w:val="24"/>
                <w:highlight w:val="none"/>
                <w:lang w:eastAsia="zh-CN"/>
              </w:rPr>
              <w:t>水冲厕</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设置专人打扫；</w:t>
            </w:r>
            <w:r>
              <w:rPr>
                <w:rFonts w:hint="default" w:ascii="Times New Roman" w:hAnsi="Times New Roman" w:eastAsia="宋体" w:cs="Times New Roman"/>
                <w:b w:val="0"/>
                <w:bCs w:val="0"/>
                <w:color w:val="auto"/>
                <w:spacing w:val="2"/>
                <w:sz w:val="24"/>
                <w:szCs w:val="24"/>
                <w:highlight w:val="none"/>
              </w:rPr>
              <w:t>化粪池</w:t>
            </w:r>
            <w:r>
              <w:rPr>
                <w:rFonts w:hint="default" w:ascii="Times New Roman" w:hAnsi="Times New Roman" w:eastAsia="宋体" w:cs="Times New Roman"/>
                <w:b w:val="0"/>
                <w:bCs w:val="0"/>
                <w:color w:val="auto"/>
                <w:sz w:val="24"/>
                <w:szCs w:val="24"/>
                <w:highlight w:val="none"/>
                <w:lang w:val="en-US" w:eastAsia="zh-CN"/>
              </w:rPr>
              <w:t>及一体化污水处理站</w:t>
            </w:r>
            <w:r>
              <w:rPr>
                <w:rFonts w:hint="default" w:ascii="Times New Roman" w:hAnsi="Times New Roman" w:eastAsia="宋体" w:cs="Times New Roman"/>
                <w:b w:val="0"/>
                <w:bCs w:val="0"/>
                <w:color w:val="auto"/>
                <w:spacing w:val="2"/>
                <w:sz w:val="24"/>
                <w:szCs w:val="24"/>
                <w:highlight w:val="none"/>
                <w:lang w:eastAsia="zh-CN"/>
              </w:rPr>
              <w:t>为</w:t>
            </w:r>
            <w:r>
              <w:rPr>
                <w:rFonts w:hint="default" w:ascii="Times New Roman" w:hAnsi="Times New Roman" w:eastAsia="宋体" w:cs="Times New Roman"/>
                <w:b w:val="0"/>
                <w:bCs w:val="0"/>
                <w:color w:val="auto"/>
                <w:spacing w:val="2"/>
                <w:sz w:val="24"/>
                <w:szCs w:val="24"/>
                <w:highlight w:val="none"/>
              </w:rPr>
              <w:t>全封闭加盖设计</w:t>
            </w:r>
            <w:r>
              <w:rPr>
                <w:rFonts w:hint="default" w:ascii="Times New Roman" w:hAnsi="Times New Roman" w:eastAsia="宋体" w:cs="Times New Roman"/>
                <w:b w:val="0"/>
                <w:bCs w:val="0"/>
                <w:color w:val="auto"/>
                <w:sz w:val="24"/>
                <w:szCs w:val="24"/>
                <w:highlight w:val="none"/>
                <w:lang w:eastAsia="zh-CN"/>
              </w:rPr>
              <w:t>，同时</w:t>
            </w:r>
            <w:r>
              <w:rPr>
                <w:rFonts w:hint="default" w:ascii="Times New Roman" w:hAnsi="Times New Roman" w:eastAsia="宋体" w:cs="Times New Roman"/>
                <w:b w:val="0"/>
                <w:bCs w:val="0"/>
                <w:color w:val="auto"/>
                <w:sz w:val="24"/>
                <w:szCs w:val="24"/>
                <w:highlight w:val="none"/>
              </w:rPr>
              <w:t>加强卫生管理后异味产生量较小，</w:t>
            </w:r>
            <w:r>
              <w:rPr>
                <w:rFonts w:hint="default" w:ascii="Times New Roman" w:hAnsi="Times New Roman" w:eastAsia="宋体" w:cs="Times New Roman"/>
                <w:b w:val="0"/>
                <w:bCs w:val="0"/>
                <w:color w:val="auto"/>
                <w:spacing w:val="2"/>
                <w:sz w:val="24"/>
                <w:szCs w:val="24"/>
                <w:highlight w:val="none"/>
                <w:lang w:eastAsia="zh-CN"/>
              </w:rPr>
              <w:t>呈无组织排放。</w:t>
            </w:r>
          </w:p>
          <w:p w14:paraId="11197C5D">
            <w:pPr>
              <w:pStyle w:val="26"/>
              <w:keepNext w:val="0"/>
              <w:keepLines w:val="0"/>
              <w:pageBreakBefore w:val="0"/>
              <w:widowControl w:val="0"/>
              <w:kinsoku/>
              <w:wordWrap/>
              <w:overflowPunct/>
              <w:topLinePunct w:val="0"/>
              <w:autoSpaceDE/>
              <w:autoSpaceDN/>
              <w:bidi w:val="0"/>
              <w:adjustRightInd w:val="0"/>
              <w:snapToGrid w:val="0"/>
              <w:spacing w:after="0" w:line="348"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项目生产过程生产车间也会产生一定的异味，生产量较小，生产过程加强通风，生产异味呈无组织排放。</w:t>
            </w:r>
          </w:p>
          <w:p w14:paraId="2343F849">
            <w:pPr>
              <w:pStyle w:val="26"/>
              <w:keepNext w:val="0"/>
              <w:keepLines w:val="0"/>
              <w:pageBreakBefore w:val="0"/>
              <w:widowControl w:val="0"/>
              <w:kinsoku/>
              <w:wordWrap/>
              <w:overflowPunct/>
              <w:topLinePunct w:val="0"/>
              <w:autoSpaceDE/>
              <w:autoSpaceDN/>
              <w:bidi w:val="0"/>
              <w:adjustRightInd w:val="0"/>
              <w:snapToGrid w:val="0"/>
              <w:spacing w:after="0" w:line="348"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非正常排放分析</w:t>
            </w:r>
          </w:p>
          <w:p w14:paraId="0827F68F">
            <w:pPr>
              <w:pStyle w:val="16"/>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项目发生非正常排放，即废气处理设施（布袋除尘器</w:t>
            </w:r>
            <w:r>
              <w:rPr>
                <w:rFonts w:hint="eastAsia" w:ascii="Times New Roman" w:hAnsi="Times New Roman" w:cs="Times New Roman"/>
                <w:color w:val="auto"/>
                <w:kern w:val="2"/>
                <w:sz w:val="24"/>
                <w:szCs w:val="24"/>
                <w:highlight w:val="none"/>
                <w:lang w:val="en-US" w:eastAsia="zh-CN" w:bidi="ar-SA"/>
              </w:rPr>
              <w:t>、脱硫设施、脱硝设施</w:t>
            </w:r>
            <w:r>
              <w:rPr>
                <w:rFonts w:hint="default" w:ascii="Times New Roman" w:hAnsi="Times New Roman" w:eastAsia="宋体" w:cs="Times New Roman"/>
                <w:color w:val="auto"/>
                <w:kern w:val="2"/>
                <w:sz w:val="24"/>
                <w:szCs w:val="24"/>
                <w:highlight w:val="none"/>
                <w:lang w:val="en-US" w:eastAsia="zh-CN" w:bidi="ar-SA"/>
              </w:rPr>
              <w:t>）发生故障时，项目区内的废气处理效率下降甚至完全失效，本次环评主要考虑布袋除尘器及</w:t>
            </w:r>
            <w:r>
              <w:rPr>
                <w:rFonts w:hint="eastAsia" w:ascii="Times New Roman" w:hAnsi="Times New Roman" w:cs="Times New Roman"/>
                <w:color w:val="auto"/>
                <w:kern w:val="2"/>
                <w:sz w:val="24"/>
                <w:szCs w:val="24"/>
                <w:highlight w:val="none"/>
                <w:lang w:val="en-US" w:eastAsia="zh-CN" w:bidi="ar-SA"/>
              </w:rPr>
              <w:t>脱硫、脱硝</w:t>
            </w:r>
            <w:r>
              <w:rPr>
                <w:rFonts w:hint="default" w:ascii="Times New Roman" w:hAnsi="Times New Roman" w:eastAsia="宋体" w:cs="Times New Roman"/>
                <w:color w:val="auto"/>
                <w:kern w:val="2"/>
                <w:sz w:val="24"/>
                <w:szCs w:val="24"/>
                <w:highlight w:val="none"/>
                <w:lang w:val="en-US" w:eastAsia="zh-CN" w:bidi="ar-SA"/>
              </w:rPr>
              <w:t>装置处理效率降至0%。此时排气筒中污染物浓度大幅增加，对周围环境影响较大。项目非正常排放条件下废气排放情况详见表4-</w:t>
            </w:r>
            <w:r>
              <w:rPr>
                <w:rFonts w:hint="eastAsia" w:ascii="Times New Roman" w:hAnsi="Times New Roman" w:cs="Times New Roman"/>
                <w:color w:val="auto"/>
                <w:kern w:val="2"/>
                <w:sz w:val="24"/>
                <w:szCs w:val="24"/>
                <w:highlight w:val="none"/>
                <w:lang w:val="en-US" w:eastAsia="zh-CN" w:bidi="ar-SA"/>
              </w:rPr>
              <w:t>22</w:t>
            </w:r>
            <w:r>
              <w:rPr>
                <w:rFonts w:hint="default" w:ascii="Times New Roman" w:hAnsi="Times New Roman" w:eastAsia="宋体" w:cs="Times New Roman"/>
                <w:color w:val="auto"/>
                <w:kern w:val="2"/>
                <w:sz w:val="24"/>
                <w:szCs w:val="24"/>
                <w:highlight w:val="none"/>
                <w:lang w:val="en-US" w:eastAsia="zh-CN" w:bidi="ar-SA"/>
              </w:rPr>
              <w:t>。</w:t>
            </w:r>
          </w:p>
          <w:p w14:paraId="498D9542">
            <w:pPr>
              <w:pStyle w:val="1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cs="Times New Roman"/>
                <w:b/>
                <w:bCs/>
                <w:color w:val="auto"/>
                <w:kern w:val="2"/>
                <w:sz w:val="21"/>
                <w:szCs w:val="21"/>
                <w:highlight w:val="none"/>
                <w:lang w:val="en-US" w:eastAsia="zh-CN" w:bidi="ar-SA"/>
              </w:rPr>
              <w:t>22</w:t>
            </w:r>
            <w:r>
              <w:rPr>
                <w:rFonts w:hint="default" w:ascii="Times New Roman" w:hAnsi="Times New Roman" w:eastAsia="宋体" w:cs="Times New Roman"/>
                <w:b/>
                <w:bCs/>
                <w:color w:val="auto"/>
                <w:kern w:val="2"/>
                <w:sz w:val="21"/>
                <w:szCs w:val="21"/>
                <w:highlight w:val="none"/>
                <w:lang w:val="en-US" w:eastAsia="zh-CN" w:bidi="ar-SA"/>
              </w:rPr>
              <w:t xml:space="preserve">  项目非正常排放条件下废气排放情况一览表</w:t>
            </w:r>
          </w:p>
          <w:tbl>
            <w:tblPr>
              <w:tblStyle w:val="28"/>
              <w:tblW w:w="8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35"/>
              <w:gridCol w:w="636"/>
              <w:gridCol w:w="985"/>
              <w:gridCol w:w="869"/>
              <w:gridCol w:w="1109"/>
              <w:gridCol w:w="1078"/>
              <w:gridCol w:w="662"/>
              <w:gridCol w:w="625"/>
              <w:gridCol w:w="1231"/>
            </w:tblGrid>
            <w:tr w14:paraId="1B0A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noWrap w:val="0"/>
                  <w:vAlign w:val="center"/>
                </w:tcPr>
                <w:p w14:paraId="550F4788">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序号</w:t>
                  </w:r>
                </w:p>
              </w:tc>
              <w:tc>
                <w:tcPr>
                  <w:tcW w:w="835" w:type="dxa"/>
                  <w:noWrap w:val="0"/>
                  <w:vAlign w:val="center"/>
                </w:tcPr>
                <w:p w14:paraId="40BAFB43">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污染源</w:t>
                  </w:r>
                </w:p>
              </w:tc>
              <w:tc>
                <w:tcPr>
                  <w:tcW w:w="636" w:type="dxa"/>
                  <w:noWrap w:val="0"/>
                  <w:vAlign w:val="center"/>
                </w:tcPr>
                <w:p w14:paraId="22612FF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非正常排放原因</w:t>
                  </w:r>
                </w:p>
              </w:tc>
              <w:tc>
                <w:tcPr>
                  <w:tcW w:w="985" w:type="dxa"/>
                  <w:noWrap w:val="0"/>
                  <w:vAlign w:val="center"/>
                </w:tcPr>
                <w:p w14:paraId="053D7D67">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污染物</w:t>
                  </w:r>
                </w:p>
              </w:tc>
              <w:tc>
                <w:tcPr>
                  <w:tcW w:w="869" w:type="dxa"/>
                  <w:noWrap w:val="0"/>
                  <w:vAlign w:val="center"/>
                </w:tcPr>
                <w:p w14:paraId="0382439D">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非正常排放浓度</w:t>
                  </w:r>
                  <w:r>
                    <w:rPr>
                      <w:rFonts w:hint="default" w:ascii="Times New Roman" w:hAnsi="Times New Roman" w:eastAsia="宋体" w:cs="Times New Roman"/>
                      <w:b/>
                      <w:bCs w:val="0"/>
                      <w:color w:val="auto"/>
                      <w:sz w:val="21"/>
                      <w:szCs w:val="21"/>
                      <w:highlight w:val="none"/>
                      <w:lang w:val="en-US" w:eastAsia="zh-CN"/>
                    </w:rPr>
                    <w:t>/m</w:t>
                  </w:r>
                  <w:r>
                    <w:rPr>
                      <w:rFonts w:hint="default" w:ascii="Times New Roman" w:hAnsi="Times New Roman" w:eastAsia="宋体" w:cs="Times New Roman"/>
                      <w:b/>
                      <w:bCs w:val="0"/>
                      <w:color w:val="auto"/>
                      <w:sz w:val="21"/>
                      <w:szCs w:val="21"/>
                      <w:highlight w:val="none"/>
                      <w:lang w:eastAsia="zh-CN"/>
                    </w:rPr>
                    <w:t>g/m</w:t>
                  </w:r>
                  <w:r>
                    <w:rPr>
                      <w:rFonts w:hint="default" w:ascii="Times New Roman" w:hAnsi="Times New Roman" w:eastAsia="宋体" w:cs="Times New Roman"/>
                      <w:b/>
                      <w:bCs w:val="0"/>
                      <w:color w:val="auto"/>
                      <w:sz w:val="21"/>
                      <w:szCs w:val="21"/>
                      <w:highlight w:val="none"/>
                      <w:vertAlign w:val="superscript"/>
                      <w:lang w:eastAsia="zh-CN"/>
                    </w:rPr>
                    <w:t>3</w:t>
                  </w:r>
                </w:p>
              </w:tc>
              <w:tc>
                <w:tcPr>
                  <w:tcW w:w="1109" w:type="dxa"/>
                  <w:noWrap w:val="0"/>
                  <w:vAlign w:val="center"/>
                </w:tcPr>
                <w:p w14:paraId="6BBD51F0">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非正常排放</w:t>
                  </w:r>
                  <w:r>
                    <w:rPr>
                      <w:rFonts w:hint="default" w:ascii="Times New Roman" w:hAnsi="Times New Roman" w:eastAsia="宋体" w:cs="Times New Roman"/>
                      <w:b/>
                      <w:bCs w:val="0"/>
                      <w:color w:val="auto"/>
                      <w:sz w:val="21"/>
                      <w:szCs w:val="21"/>
                      <w:highlight w:val="none"/>
                      <w:lang w:val="en-US" w:eastAsia="zh-CN"/>
                    </w:rPr>
                    <w:t>量t/a</w:t>
                  </w:r>
                </w:p>
              </w:tc>
              <w:tc>
                <w:tcPr>
                  <w:tcW w:w="1078" w:type="dxa"/>
                  <w:noWrap w:val="0"/>
                  <w:vAlign w:val="center"/>
                </w:tcPr>
                <w:p w14:paraId="4AAE5ED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非正常排放速率</w:t>
                  </w:r>
                  <w:r>
                    <w:rPr>
                      <w:rFonts w:hint="default" w:ascii="Times New Roman" w:hAnsi="Times New Roman" w:eastAsia="宋体"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eastAsia="zh-CN"/>
                    </w:rPr>
                    <w:t>kg/h</w:t>
                  </w:r>
                </w:p>
              </w:tc>
              <w:tc>
                <w:tcPr>
                  <w:tcW w:w="662" w:type="dxa"/>
                  <w:noWrap w:val="0"/>
                  <w:vAlign w:val="center"/>
                </w:tcPr>
                <w:p w14:paraId="646E8F49">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单次持续时间</w:t>
                  </w:r>
                  <w:r>
                    <w:rPr>
                      <w:rFonts w:hint="default" w:ascii="Times New Roman" w:hAnsi="Times New Roman" w:eastAsia="宋体" w:cs="Times New Roman"/>
                      <w:b/>
                      <w:bCs w:val="0"/>
                      <w:color w:val="auto"/>
                      <w:sz w:val="21"/>
                      <w:szCs w:val="21"/>
                      <w:highlight w:val="none"/>
                      <w:lang w:val="en-US" w:eastAsia="zh-CN"/>
                    </w:rPr>
                    <w:t>/h</w:t>
                  </w:r>
                </w:p>
              </w:tc>
              <w:tc>
                <w:tcPr>
                  <w:tcW w:w="625" w:type="dxa"/>
                  <w:noWrap w:val="0"/>
                  <w:vAlign w:val="center"/>
                </w:tcPr>
                <w:p w14:paraId="6DA899B1">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年发生频次</w:t>
                  </w:r>
                  <w:r>
                    <w:rPr>
                      <w:rFonts w:hint="default" w:ascii="Times New Roman" w:hAnsi="Times New Roman" w:eastAsia="宋体" w:cs="Times New Roman"/>
                      <w:b/>
                      <w:bCs w:val="0"/>
                      <w:color w:val="auto"/>
                      <w:sz w:val="21"/>
                      <w:szCs w:val="21"/>
                      <w:highlight w:val="none"/>
                      <w:lang w:val="en-US" w:eastAsia="zh-CN"/>
                    </w:rPr>
                    <w:t>/次</w:t>
                  </w:r>
                </w:p>
              </w:tc>
              <w:tc>
                <w:tcPr>
                  <w:tcW w:w="1231" w:type="dxa"/>
                  <w:noWrap w:val="0"/>
                  <w:vAlign w:val="center"/>
                </w:tcPr>
                <w:p w14:paraId="0263E84C">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应对措施</w:t>
                  </w:r>
                </w:p>
              </w:tc>
            </w:tr>
            <w:tr w14:paraId="4890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27" w:type="dxa"/>
                  <w:noWrap w:val="0"/>
                  <w:vAlign w:val="center"/>
                </w:tcPr>
                <w:p w14:paraId="55DEC9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sz w:val="21"/>
                      <w:szCs w:val="21"/>
                      <w:highlight w:val="none"/>
                    </w:rPr>
                    <w:t>1</w:t>
                  </w:r>
                </w:p>
              </w:tc>
              <w:tc>
                <w:tcPr>
                  <w:tcW w:w="835" w:type="dxa"/>
                  <w:noWrap w:val="0"/>
                  <w:vAlign w:val="center"/>
                </w:tcPr>
                <w:p w14:paraId="0E8827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DA001排气筒</w:t>
                  </w:r>
                </w:p>
              </w:tc>
              <w:tc>
                <w:tcPr>
                  <w:tcW w:w="636" w:type="dxa"/>
                  <w:vMerge w:val="restart"/>
                  <w:noWrap w:val="0"/>
                  <w:vAlign w:val="center"/>
                </w:tcPr>
                <w:p w14:paraId="1BB653B8">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废气处理设备未及时进行</w:t>
                  </w:r>
                  <w:r>
                    <w:rPr>
                      <w:rFonts w:hint="default" w:ascii="Times New Roman" w:hAnsi="Times New Roman" w:eastAsia="宋体" w:cs="Times New Roman"/>
                      <w:b w:val="0"/>
                      <w:bCs/>
                      <w:color w:val="auto"/>
                      <w:sz w:val="21"/>
                      <w:szCs w:val="21"/>
                      <w:highlight w:val="none"/>
                      <w:lang w:val="en-US" w:eastAsia="zh-CN"/>
                    </w:rPr>
                    <w:t>维护、更换</w:t>
                  </w:r>
                  <w:r>
                    <w:rPr>
                      <w:rFonts w:hint="default" w:ascii="Times New Roman" w:hAnsi="Times New Roman" w:eastAsia="宋体" w:cs="Times New Roman"/>
                      <w:b w:val="0"/>
                      <w:bCs/>
                      <w:color w:val="auto"/>
                      <w:sz w:val="21"/>
                      <w:szCs w:val="21"/>
                      <w:highlight w:val="none"/>
                      <w:lang w:eastAsia="zh-CN"/>
                    </w:rPr>
                    <w:t>或出现故障</w:t>
                  </w:r>
                </w:p>
              </w:tc>
              <w:tc>
                <w:tcPr>
                  <w:tcW w:w="985" w:type="dxa"/>
                  <w:noWrap w:val="0"/>
                  <w:vAlign w:val="center"/>
                </w:tcPr>
                <w:p w14:paraId="7C54E2C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7F18730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pacing w:val="-10"/>
                      <w:sz w:val="21"/>
                      <w:szCs w:val="21"/>
                      <w:highlight w:val="none"/>
                      <w:vertAlign w:val="baseline"/>
                      <w:lang w:val="en-US" w:eastAsia="zh-CN"/>
                    </w:rPr>
                    <w:t>496.51</w:t>
                  </w:r>
                </w:p>
              </w:tc>
              <w:tc>
                <w:tcPr>
                  <w:tcW w:w="1109" w:type="dxa"/>
                  <w:noWrap w:val="0"/>
                  <w:vAlign w:val="center"/>
                </w:tcPr>
                <w:p w14:paraId="41EE3D94">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0.0073</w:t>
                  </w:r>
                </w:p>
              </w:tc>
              <w:tc>
                <w:tcPr>
                  <w:tcW w:w="1078" w:type="dxa"/>
                  <w:noWrap w:val="0"/>
                  <w:vAlign w:val="center"/>
                </w:tcPr>
                <w:p w14:paraId="40CFE345">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3.6682</w:t>
                  </w:r>
                </w:p>
              </w:tc>
              <w:tc>
                <w:tcPr>
                  <w:tcW w:w="662" w:type="dxa"/>
                  <w:noWrap w:val="0"/>
                  <w:vAlign w:val="center"/>
                </w:tcPr>
                <w:p w14:paraId="207C0CE9">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625" w:type="dxa"/>
                  <w:noWrap w:val="0"/>
                  <w:vAlign w:val="center"/>
                </w:tcPr>
                <w:p w14:paraId="5A8FD84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restart"/>
                  <w:noWrap w:val="0"/>
                  <w:vAlign w:val="center"/>
                </w:tcPr>
                <w:p w14:paraId="21BD61AB">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及时停止运行，对设备进行检修，待设备更新或修理完毕后再恢复运营</w:t>
                  </w:r>
                </w:p>
              </w:tc>
            </w:tr>
            <w:tr w14:paraId="470D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27" w:type="dxa"/>
                  <w:noWrap w:val="0"/>
                  <w:vAlign w:val="center"/>
                </w:tcPr>
                <w:p w14:paraId="19D0EF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835" w:type="dxa"/>
                  <w:noWrap w:val="0"/>
                  <w:vAlign w:val="center"/>
                </w:tcPr>
                <w:p w14:paraId="23F5A4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77F60164">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0EB1D42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59CD80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highlight w:val="none"/>
                      <w:lang w:val="en-US" w:eastAsia="zh-CN"/>
                    </w:rPr>
                    <w:t>171.21</w:t>
                  </w:r>
                </w:p>
              </w:tc>
              <w:tc>
                <w:tcPr>
                  <w:tcW w:w="1109" w:type="dxa"/>
                  <w:noWrap w:val="0"/>
                  <w:vAlign w:val="center"/>
                </w:tcPr>
                <w:p w14:paraId="6E1B55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0.0025</w:t>
                  </w:r>
                </w:p>
              </w:tc>
              <w:tc>
                <w:tcPr>
                  <w:tcW w:w="1078" w:type="dxa"/>
                  <w:noWrap w:val="0"/>
                  <w:vAlign w:val="center"/>
                </w:tcPr>
                <w:p w14:paraId="353AAFE4">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1.2649</w:t>
                  </w:r>
                </w:p>
              </w:tc>
              <w:tc>
                <w:tcPr>
                  <w:tcW w:w="662" w:type="dxa"/>
                  <w:noWrap w:val="0"/>
                  <w:vAlign w:val="center"/>
                </w:tcPr>
                <w:p w14:paraId="77F5C805">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625" w:type="dxa"/>
                  <w:noWrap w:val="0"/>
                  <w:vAlign w:val="center"/>
                </w:tcPr>
                <w:p w14:paraId="7CF201B6">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5F6302B0">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7880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27" w:type="dxa"/>
                  <w:noWrap w:val="0"/>
                  <w:vAlign w:val="center"/>
                </w:tcPr>
                <w:p w14:paraId="085A83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835" w:type="dxa"/>
                  <w:noWrap w:val="0"/>
                  <w:vAlign w:val="center"/>
                </w:tcPr>
                <w:p w14:paraId="5A52BB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65CBC40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376D064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4AA208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highlight w:val="none"/>
                      <w:lang w:val="en-US" w:eastAsia="zh-CN"/>
                    </w:rPr>
                    <w:t>496.51</w:t>
                  </w:r>
                </w:p>
              </w:tc>
              <w:tc>
                <w:tcPr>
                  <w:tcW w:w="1109" w:type="dxa"/>
                  <w:noWrap w:val="0"/>
                  <w:vAlign w:val="center"/>
                </w:tcPr>
                <w:p w14:paraId="635766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0"/>
                      <w:szCs w:val="21"/>
                      <w:highlight w:val="none"/>
                      <w:lang w:val="en-US" w:eastAsia="zh-CN" w:bidi="ar"/>
                    </w:rPr>
                    <w:t>0.0073</w:t>
                  </w:r>
                </w:p>
              </w:tc>
              <w:tc>
                <w:tcPr>
                  <w:tcW w:w="1078" w:type="dxa"/>
                  <w:noWrap w:val="0"/>
                  <w:vAlign w:val="center"/>
                </w:tcPr>
                <w:p w14:paraId="2BA667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3.6682</w:t>
                  </w:r>
                </w:p>
              </w:tc>
              <w:tc>
                <w:tcPr>
                  <w:tcW w:w="662" w:type="dxa"/>
                  <w:noWrap w:val="0"/>
                  <w:vAlign w:val="center"/>
                </w:tcPr>
                <w:p w14:paraId="470DAA91">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625" w:type="dxa"/>
                  <w:noWrap w:val="0"/>
                  <w:vAlign w:val="center"/>
                </w:tcPr>
                <w:p w14:paraId="6ABCDFA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072AABF5">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21C8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27" w:type="dxa"/>
                  <w:noWrap w:val="0"/>
                  <w:vAlign w:val="center"/>
                </w:tcPr>
                <w:p w14:paraId="0FAA30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835" w:type="dxa"/>
                  <w:noWrap w:val="0"/>
                  <w:vAlign w:val="center"/>
                </w:tcPr>
                <w:p w14:paraId="0CE196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6BCE1640">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39824AA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1CEE7BE1">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656.13</w:t>
                  </w:r>
                </w:p>
              </w:tc>
              <w:tc>
                <w:tcPr>
                  <w:tcW w:w="1109" w:type="dxa"/>
                  <w:noWrap w:val="0"/>
                  <w:vAlign w:val="center"/>
                </w:tcPr>
                <w:p w14:paraId="3F60D8F5">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color w:val="auto"/>
                      <w:kern w:val="0"/>
                      <w:szCs w:val="21"/>
                      <w:highlight w:val="none"/>
                      <w:lang w:val="en-US" w:eastAsia="zh-CN" w:bidi="ar"/>
                    </w:rPr>
                    <w:t>0.0126</w:t>
                  </w:r>
                </w:p>
              </w:tc>
              <w:tc>
                <w:tcPr>
                  <w:tcW w:w="1078" w:type="dxa"/>
                  <w:noWrap w:val="0"/>
                  <w:vAlign w:val="center"/>
                </w:tcPr>
                <w:p w14:paraId="50DC0F00">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6.3244</w:t>
                  </w:r>
                </w:p>
              </w:tc>
              <w:tc>
                <w:tcPr>
                  <w:tcW w:w="662" w:type="dxa"/>
                  <w:noWrap w:val="0"/>
                  <w:vAlign w:val="center"/>
                </w:tcPr>
                <w:p w14:paraId="354AAF2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625" w:type="dxa"/>
                  <w:noWrap w:val="0"/>
                  <w:vAlign w:val="center"/>
                </w:tcPr>
                <w:p w14:paraId="235EA9EB">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78EB706C">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32E2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27" w:type="dxa"/>
                  <w:vMerge w:val="restart"/>
                  <w:noWrap w:val="0"/>
                  <w:vAlign w:val="center"/>
                </w:tcPr>
                <w:p w14:paraId="13E1B1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835" w:type="dxa"/>
                  <w:vMerge w:val="restart"/>
                  <w:noWrap w:val="0"/>
                  <w:vAlign w:val="center"/>
                </w:tcPr>
                <w:p w14:paraId="14CC2D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45F77F44">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00DE3EA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869" w:type="dxa"/>
                  <w:noWrap w:val="0"/>
                  <w:vAlign w:val="center"/>
                </w:tcPr>
                <w:p w14:paraId="0D578E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highlight w:val="none"/>
                      <w:lang w:val="en-US" w:eastAsia="zh-CN"/>
                    </w:rPr>
                    <w:t>321.67</w:t>
                  </w:r>
                </w:p>
              </w:tc>
              <w:tc>
                <w:tcPr>
                  <w:tcW w:w="1109" w:type="dxa"/>
                  <w:noWrap w:val="0"/>
                  <w:vAlign w:val="center"/>
                </w:tcPr>
                <w:p w14:paraId="62525E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0.0228</w:t>
                  </w:r>
                </w:p>
              </w:tc>
              <w:tc>
                <w:tcPr>
                  <w:tcW w:w="1078" w:type="dxa"/>
                  <w:noWrap w:val="0"/>
                  <w:vAlign w:val="center"/>
                </w:tcPr>
                <w:p w14:paraId="6B5A77CC">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11.4088</w:t>
                  </w:r>
                </w:p>
              </w:tc>
              <w:tc>
                <w:tcPr>
                  <w:tcW w:w="662" w:type="dxa"/>
                  <w:noWrap w:val="0"/>
                  <w:vAlign w:val="center"/>
                </w:tcPr>
                <w:p w14:paraId="138AD68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p>
              </w:tc>
              <w:tc>
                <w:tcPr>
                  <w:tcW w:w="625" w:type="dxa"/>
                  <w:noWrap w:val="0"/>
                  <w:vAlign w:val="center"/>
                </w:tcPr>
                <w:p w14:paraId="6CD36025">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3B43CDD9">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3924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vMerge w:val="continue"/>
                  <w:noWrap w:val="0"/>
                  <w:vAlign w:val="center"/>
                </w:tcPr>
                <w:p w14:paraId="594E7983">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color w:val="auto"/>
                    </w:rPr>
                  </w:pPr>
                </w:p>
              </w:tc>
              <w:tc>
                <w:tcPr>
                  <w:tcW w:w="835" w:type="dxa"/>
                  <w:vMerge w:val="continue"/>
                  <w:noWrap w:val="0"/>
                  <w:vAlign w:val="center"/>
                </w:tcPr>
                <w:p w14:paraId="597E81E8">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color w:val="auto"/>
                    </w:rPr>
                  </w:pPr>
                </w:p>
              </w:tc>
              <w:tc>
                <w:tcPr>
                  <w:tcW w:w="636" w:type="dxa"/>
                  <w:vMerge w:val="continue"/>
                  <w:noWrap w:val="0"/>
                  <w:vAlign w:val="center"/>
                </w:tcPr>
                <w:p w14:paraId="5021EC95">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color w:val="auto"/>
                    </w:rPr>
                  </w:pPr>
                </w:p>
              </w:tc>
              <w:tc>
                <w:tcPr>
                  <w:tcW w:w="985" w:type="dxa"/>
                  <w:noWrap w:val="0"/>
                  <w:vAlign w:val="center"/>
                </w:tcPr>
                <w:p w14:paraId="0F55BE09">
                  <w:pPr>
                    <w:adjustRightInd w:val="0"/>
                    <w:snapToGrid w:val="0"/>
                    <w:jc w:val="center"/>
                    <w:textAlignment w:val="baseline"/>
                    <w:rPr>
                      <w:rFonts w:hint="eastAsia" w:cs="Times New Roman"/>
                      <w:color w:val="auto"/>
                      <w:sz w:val="21"/>
                      <w:szCs w:val="21"/>
                      <w:highlight w:val="none"/>
                      <w:lang w:eastAsia="zh-CN"/>
                    </w:rPr>
                  </w:pPr>
                  <w:r>
                    <w:rPr>
                      <w:rFonts w:hint="eastAsia" w:cs="Times New Roman"/>
                      <w:color w:val="auto"/>
                      <w:sz w:val="21"/>
                      <w:szCs w:val="21"/>
                      <w:highlight w:val="none"/>
                      <w:lang w:eastAsia="zh-CN"/>
                    </w:rPr>
                    <w:t>二氧化硫</w:t>
                  </w:r>
                </w:p>
              </w:tc>
              <w:tc>
                <w:tcPr>
                  <w:tcW w:w="869" w:type="dxa"/>
                  <w:noWrap w:val="0"/>
                  <w:vAlign w:val="center"/>
                </w:tcPr>
                <w:p w14:paraId="67BF1A2B">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234.06</w:t>
                  </w:r>
                </w:p>
              </w:tc>
              <w:tc>
                <w:tcPr>
                  <w:tcW w:w="1109" w:type="dxa"/>
                  <w:noWrap w:val="0"/>
                  <w:vAlign w:val="center"/>
                </w:tcPr>
                <w:p w14:paraId="3DC327FE">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0.0166</w:t>
                  </w:r>
                </w:p>
              </w:tc>
              <w:tc>
                <w:tcPr>
                  <w:tcW w:w="1078" w:type="dxa"/>
                  <w:noWrap w:val="0"/>
                  <w:vAlign w:val="center"/>
                </w:tcPr>
                <w:p w14:paraId="45FE2CAC">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8.3015</w:t>
                  </w:r>
                </w:p>
              </w:tc>
              <w:tc>
                <w:tcPr>
                  <w:tcW w:w="662" w:type="dxa"/>
                  <w:noWrap w:val="0"/>
                  <w:vAlign w:val="center"/>
                </w:tcPr>
                <w:p w14:paraId="0351B84C">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r>
                    <w:rPr>
                      <w:rFonts w:hint="eastAsia" w:cs="Times New Roman"/>
                      <w:b w:val="0"/>
                      <w:bCs/>
                      <w:color w:val="auto"/>
                      <w:sz w:val="21"/>
                      <w:szCs w:val="21"/>
                      <w:highlight w:val="none"/>
                      <w:lang w:val="en-US" w:eastAsia="zh-CN"/>
                    </w:rPr>
                    <w:t>2</w:t>
                  </w:r>
                </w:p>
              </w:tc>
              <w:tc>
                <w:tcPr>
                  <w:tcW w:w="625" w:type="dxa"/>
                  <w:noWrap w:val="0"/>
                  <w:vAlign w:val="center"/>
                </w:tcPr>
                <w:p w14:paraId="0E713E2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4FDED6B0">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p>
              </w:tc>
            </w:tr>
            <w:tr w14:paraId="6D13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27" w:type="dxa"/>
                  <w:vMerge w:val="continue"/>
                  <w:noWrap w:val="0"/>
                  <w:vAlign w:val="center"/>
                </w:tcPr>
                <w:p w14:paraId="2AC4E170">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p>
              </w:tc>
              <w:tc>
                <w:tcPr>
                  <w:tcW w:w="835" w:type="dxa"/>
                  <w:vMerge w:val="continue"/>
                  <w:noWrap w:val="0"/>
                  <w:vAlign w:val="center"/>
                </w:tcPr>
                <w:p w14:paraId="2A7D1D19">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p>
              </w:tc>
              <w:tc>
                <w:tcPr>
                  <w:tcW w:w="636" w:type="dxa"/>
                  <w:vMerge w:val="continue"/>
                  <w:noWrap w:val="0"/>
                  <w:vAlign w:val="center"/>
                </w:tcPr>
                <w:p w14:paraId="7546CC0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p>
              </w:tc>
              <w:tc>
                <w:tcPr>
                  <w:tcW w:w="985" w:type="dxa"/>
                  <w:noWrap w:val="0"/>
                  <w:vAlign w:val="center"/>
                </w:tcPr>
                <w:p w14:paraId="7FF0759D">
                  <w:pPr>
                    <w:adjustRightInd w:val="0"/>
                    <w:snapToGrid w:val="0"/>
                    <w:jc w:val="center"/>
                    <w:textAlignment w:val="baseline"/>
                    <w:rPr>
                      <w:rFonts w:hint="eastAsia" w:cs="Times New Roman"/>
                      <w:color w:val="auto"/>
                      <w:sz w:val="21"/>
                      <w:szCs w:val="21"/>
                      <w:highlight w:val="none"/>
                      <w:lang w:eastAsia="zh-CN"/>
                    </w:rPr>
                  </w:pPr>
                  <w:r>
                    <w:rPr>
                      <w:rFonts w:hint="eastAsia" w:cs="Times New Roman"/>
                      <w:color w:val="auto"/>
                      <w:sz w:val="21"/>
                      <w:szCs w:val="21"/>
                      <w:highlight w:val="none"/>
                      <w:lang w:eastAsia="zh-CN"/>
                    </w:rPr>
                    <w:t>氮氧化物</w:t>
                  </w:r>
                </w:p>
              </w:tc>
              <w:tc>
                <w:tcPr>
                  <w:tcW w:w="869" w:type="dxa"/>
                  <w:noWrap w:val="0"/>
                  <w:vAlign w:val="center"/>
                </w:tcPr>
                <w:p w14:paraId="2E0DEABE">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156.04</w:t>
                  </w:r>
                </w:p>
              </w:tc>
              <w:tc>
                <w:tcPr>
                  <w:tcW w:w="1109" w:type="dxa"/>
                  <w:noWrap w:val="0"/>
                  <w:vAlign w:val="center"/>
                </w:tcPr>
                <w:p w14:paraId="7D4EC334">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0.0111</w:t>
                  </w:r>
                </w:p>
              </w:tc>
              <w:tc>
                <w:tcPr>
                  <w:tcW w:w="1078" w:type="dxa"/>
                  <w:noWrap w:val="0"/>
                  <w:vAlign w:val="center"/>
                </w:tcPr>
                <w:p w14:paraId="39B445C4">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5.5344</w:t>
                  </w:r>
                </w:p>
              </w:tc>
              <w:tc>
                <w:tcPr>
                  <w:tcW w:w="662" w:type="dxa"/>
                  <w:noWrap w:val="0"/>
                  <w:vAlign w:val="center"/>
                </w:tcPr>
                <w:p w14:paraId="762450C1">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r>
                    <w:rPr>
                      <w:rFonts w:hint="eastAsia" w:cs="Times New Roman"/>
                      <w:b w:val="0"/>
                      <w:bCs/>
                      <w:color w:val="auto"/>
                      <w:sz w:val="21"/>
                      <w:szCs w:val="21"/>
                      <w:highlight w:val="none"/>
                      <w:lang w:val="en-US" w:eastAsia="zh-CN"/>
                    </w:rPr>
                    <w:t>2</w:t>
                  </w:r>
                </w:p>
              </w:tc>
              <w:tc>
                <w:tcPr>
                  <w:tcW w:w="625" w:type="dxa"/>
                  <w:noWrap w:val="0"/>
                  <w:vAlign w:val="center"/>
                </w:tcPr>
                <w:p w14:paraId="7D204AED">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56C4650D">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p>
              </w:tc>
            </w:tr>
            <w:tr w14:paraId="3DFE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27" w:type="dxa"/>
                  <w:vMerge w:val="continue"/>
                  <w:noWrap w:val="0"/>
                  <w:vAlign w:val="center"/>
                </w:tcPr>
                <w:p w14:paraId="1FF096D9">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p>
              </w:tc>
              <w:tc>
                <w:tcPr>
                  <w:tcW w:w="835" w:type="dxa"/>
                  <w:vMerge w:val="continue"/>
                  <w:noWrap w:val="0"/>
                  <w:vAlign w:val="center"/>
                </w:tcPr>
                <w:p w14:paraId="590F3B53">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p>
              </w:tc>
              <w:tc>
                <w:tcPr>
                  <w:tcW w:w="636" w:type="dxa"/>
                  <w:vMerge w:val="continue"/>
                  <w:noWrap w:val="0"/>
                  <w:vAlign w:val="center"/>
                </w:tcPr>
                <w:p w14:paraId="699496BC">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p>
              </w:tc>
              <w:tc>
                <w:tcPr>
                  <w:tcW w:w="985" w:type="dxa"/>
                  <w:noWrap w:val="0"/>
                  <w:vAlign w:val="center"/>
                </w:tcPr>
                <w:p w14:paraId="52B3C1FE">
                  <w:pPr>
                    <w:adjustRightInd w:val="0"/>
                    <w:snapToGrid w:val="0"/>
                    <w:jc w:val="center"/>
                    <w:textAlignment w:val="baseline"/>
                    <w:rPr>
                      <w:rFonts w:hint="eastAsia" w:cs="Times New Roman"/>
                      <w:color w:val="auto"/>
                      <w:sz w:val="21"/>
                      <w:szCs w:val="21"/>
                      <w:highlight w:val="none"/>
                      <w:lang w:eastAsia="zh-CN"/>
                    </w:rPr>
                  </w:pPr>
                  <w:r>
                    <w:rPr>
                      <w:rFonts w:hint="eastAsia"/>
                      <w:color w:val="auto"/>
                      <w:szCs w:val="21"/>
                    </w:rPr>
                    <w:t>N</w:t>
                  </w:r>
                  <w:r>
                    <w:rPr>
                      <w:color w:val="auto"/>
                      <w:szCs w:val="21"/>
                    </w:rPr>
                    <w:t>H</w:t>
                  </w:r>
                  <w:r>
                    <w:rPr>
                      <w:color w:val="auto"/>
                      <w:szCs w:val="21"/>
                      <w:vertAlign w:val="subscript"/>
                    </w:rPr>
                    <w:t>3</w:t>
                  </w:r>
                </w:p>
              </w:tc>
              <w:tc>
                <w:tcPr>
                  <w:tcW w:w="869" w:type="dxa"/>
                  <w:noWrap w:val="0"/>
                  <w:vAlign w:val="center"/>
                </w:tcPr>
                <w:p w14:paraId="5DB5C768">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cs="Times New Roman"/>
                      <w:color w:val="auto"/>
                      <w:sz w:val="21"/>
                      <w:szCs w:val="21"/>
                      <w:highlight w:val="none"/>
                      <w:lang w:val="en-US" w:eastAsia="zh-CN"/>
                    </w:rPr>
                  </w:pPr>
                  <w:r>
                    <w:rPr>
                      <w:color w:val="auto"/>
                      <w:sz w:val="21"/>
                      <w:szCs w:val="21"/>
                    </w:rPr>
                    <w:t>6.0</w:t>
                  </w:r>
                  <w:r>
                    <w:rPr>
                      <w:rFonts w:hint="eastAsia"/>
                      <w:color w:val="auto"/>
                      <w:sz w:val="21"/>
                      <w:szCs w:val="21"/>
                      <w:lang w:val="en-US" w:eastAsia="zh-CN"/>
                    </w:rPr>
                    <w:t>72</w:t>
                  </w:r>
                </w:p>
              </w:tc>
              <w:tc>
                <w:tcPr>
                  <w:tcW w:w="1109" w:type="dxa"/>
                  <w:noWrap w:val="0"/>
                  <w:vAlign w:val="center"/>
                </w:tcPr>
                <w:p w14:paraId="0A318E94">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0.0004</w:t>
                  </w:r>
                </w:p>
              </w:tc>
              <w:tc>
                <w:tcPr>
                  <w:tcW w:w="1078" w:type="dxa"/>
                  <w:noWrap w:val="0"/>
                  <w:vAlign w:val="center"/>
                </w:tcPr>
                <w:p w14:paraId="15F4E38A">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color w:val="auto"/>
                      <w:szCs w:val="21"/>
                      <w:lang w:val="en-US" w:eastAsia="zh-CN"/>
                    </w:rPr>
                  </w:pPr>
                  <w:r>
                    <w:rPr>
                      <w:rFonts w:hint="eastAsia"/>
                      <w:color w:val="auto"/>
                      <w:szCs w:val="21"/>
                      <w:lang w:val="en-US" w:eastAsia="zh-CN"/>
                    </w:rPr>
                    <w:t>0.2154</w:t>
                  </w:r>
                </w:p>
              </w:tc>
              <w:tc>
                <w:tcPr>
                  <w:tcW w:w="662" w:type="dxa"/>
                  <w:noWrap w:val="0"/>
                  <w:vAlign w:val="center"/>
                </w:tcPr>
                <w:p w14:paraId="572E9E5C">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r>
                    <w:rPr>
                      <w:rFonts w:hint="eastAsia" w:cs="Times New Roman"/>
                      <w:b w:val="0"/>
                      <w:bCs/>
                      <w:color w:val="auto"/>
                      <w:sz w:val="21"/>
                      <w:szCs w:val="21"/>
                      <w:highlight w:val="none"/>
                      <w:lang w:val="en-US" w:eastAsia="zh-CN"/>
                    </w:rPr>
                    <w:t>2</w:t>
                  </w:r>
                </w:p>
              </w:tc>
              <w:tc>
                <w:tcPr>
                  <w:tcW w:w="625" w:type="dxa"/>
                  <w:noWrap w:val="0"/>
                  <w:vAlign w:val="center"/>
                </w:tcPr>
                <w:p w14:paraId="257CC123">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015C9B8C">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p>
              </w:tc>
            </w:tr>
            <w:tr w14:paraId="4186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27" w:type="dxa"/>
                  <w:noWrap w:val="0"/>
                  <w:vAlign w:val="center"/>
                </w:tcPr>
                <w:p w14:paraId="229517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835" w:type="dxa"/>
                  <w:noWrap w:val="0"/>
                  <w:vAlign w:val="center"/>
                </w:tcPr>
                <w:p w14:paraId="518262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4A644CEA">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24F19D4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0E2CD232">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27.15</w:t>
                  </w:r>
                </w:p>
              </w:tc>
              <w:tc>
                <w:tcPr>
                  <w:tcW w:w="1109" w:type="dxa"/>
                  <w:noWrap w:val="0"/>
                  <w:vAlign w:val="center"/>
                </w:tcPr>
                <w:p w14:paraId="65FCDCD1">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0.0001</w:t>
                  </w:r>
                </w:p>
              </w:tc>
              <w:tc>
                <w:tcPr>
                  <w:tcW w:w="1078" w:type="dxa"/>
                  <w:noWrap w:val="0"/>
                  <w:vAlign w:val="center"/>
                </w:tcPr>
                <w:p w14:paraId="20956C61">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0.0543</w:t>
                  </w:r>
                </w:p>
              </w:tc>
              <w:tc>
                <w:tcPr>
                  <w:tcW w:w="662" w:type="dxa"/>
                  <w:noWrap w:val="0"/>
                  <w:vAlign w:val="center"/>
                </w:tcPr>
                <w:p w14:paraId="7CE4A23A">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625" w:type="dxa"/>
                  <w:noWrap w:val="0"/>
                  <w:vAlign w:val="center"/>
                </w:tcPr>
                <w:p w14:paraId="28692E5A">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6B74C5A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7203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27" w:type="dxa"/>
                  <w:noWrap w:val="0"/>
                  <w:vAlign w:val="center"/>
                </w:tcPr>
                <w:p w14:paraId="66EAD8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835" w:type="dxa"/>
                  <w:noWrap w:val="0"/>
                  <w:vAlign w:val="center"/>
                </w:tcPr>
                <w:p w14:paraId="157BD3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6C8C09C9">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1117E67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3D5E15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highlight w:val="none"/>
                      <w:lang w:val="en-US" w:eastAsia="zh-CN"/>
                    </w:rPr>
                    <w:t>27.15</w:t>
                  </w:r>
                </w:p>
              </w:tc>
              <w:tc>
                <w:tcPr>
                  <w:tcW w:w="1109" w:type="dxa"/>
                  <w:noWrap w:val="0"/>
                  <w:vAlign w:val="center"/>
                </w:tcPr>
                <w:p w14:paraId="1B3258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0.0001</w:t>
                  </w:r>
                </w:p>
              </w:tc>
              <w:tc>
                <w:tcPr>
                  <w:tcW w:w="1078" w:type="dxa"/>
                  <w:noWrap w:val="0"/>
                  <w:vAlign w:val="center"/>
                </w:tcPr>
                <w:p w14:paraId="660BDBD8">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0.0543</w:t>
                  </w:r>
                </w:p>
              </w:tc>
              <w:tc>
                <w:tcPr>
                  <w:tcW w:w="662" w:type="dxa"/>
                  <w:noWrap w:val="0"/>
                  <w:vAlign w:val="center"/>
                </w:tcPr>
                <w:p w14:paraId="0DB679BE">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625" w:type="dxa"/>
                  <w:noWrap w:val="0"/>
                  <w:vAlign w:val="center"/>
                </w:tcPr>
                <w:p w14:paraId="335EB19E">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63561EFB">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1507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27" w:type="dxa"/>
                  <w:noWrap w:val="0"/>
                  <w:vAlign w:val="center"/>
                </w:tcPr>
                <w:p w14:paraId="3F9E8B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835" w:type="dxa"/>
                  <w:noWrap w:val="0"/>
                  <w:vAlign w:val="center"/>
                </w:tcPr>
                <w:p w14:paraId="529A78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2873E91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77A8F21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021BD3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highlight w:val="none"/>
                      <w:lang w:val="en-US" w:eastAsia="zh-CN"/>
                    </w:rPr>
                    <w:t>8.90</w:t>
                  </w:r>
                </w:p>
              </w:tc>
              <w:tc>
                <w:tcPr>
                  <w:tcW w:w="1109" w:type="dxa"/>
                  <w:noWrap w:val="0"/>
                  <w:vAlign w:val="center"/>
                </w:tcPr>
                <w:p w14:paraId="5C6C94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0.00004</w:t>
                  </w:r>
                </w:p>
              </w:tc>
              <w:tc>
                <w:tcPr>
                  <w:tcW w:w="1078" w:type="dxa"/>
                  <w:noWrap w:val="0"/>
                  <w:vAlign w:val="center"/>
                </w:tcPr>
                <w:p w14:paraId="3C885BDF">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0.0178</w:t>
                  </w:r>
                </w:p>
              </w:tc>
              <w:tc>
                <w:tcPr>
                  <w:tcW w:w="662" w:type="dxa"/>
                  <w:noWrap w:val="0"/>
                  <w:vAlign w:val="center"/>
                </w:tcPr>
                <w:p w14:paraId="423C2EB0">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625" w:type="dxa"/>
                  <w:noWrap w:val="0"/>
                  <w:vAlign w:val="center"/>
                </w:tcPr>
                <w:p w14:paraId="20A99B9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7129737E">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7020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27" w:type="dxa"/>
                  <w:noWrap w:val="0"/>
                  <w:vAlign w:val="center"/>
                </w:tcPr>
                <w:p w14:paraId="509828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835" w:type="dxa"/>
                  <w:noWrap w:val="0"/>
                  <w:vAlign w:val="center"/>
                </w:tcPr>
                <w:p w14:paraId="4F72FA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2B4AE3BE">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1DD9A16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7D4588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2.22</w:t>
                  </w:r>
                </w:p>
              </w:tc>
              <w:tc>
                <w:tcPr>
                  <w:tcW w:w="1109" w:type="dxa"/>
                  <w:noWrap w:val="0"/>
                  <w:vAlign w:val="center"/>
                </w:tcPr>
                <w:p w14:paraId="63B66B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0.00002</w:t>
                  </w:r>
                </w:p>
              </w:tc>
              <w:tc>
                <w:tcPr>
                  <w:tcW w:w="1078" w:type="dxa"/>
                  <w:noWrap w:val="0"/>
                  <w:vAlign w:val="center"/>
                </w:tcPr>
                <w:p w14:paraId="0B36D742">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0.0089</w:t>
                  </w:r>
                </w:p>
              </w:tc>
              <w:tc>
                <w:tcPr>
                  <w:tcW w:w="662" w:type="dxa"/>
                  <w:noWrap w:val="0"/>
                  <w:vAlign w:val="center"/>
                </w:tcPr>
                <w:p w14:paraId="422774F7">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p>
              </w:tc>
              <w:tc>
                <w:tcPr>
                  <w:tcW w:w="625" w:type="dxa"/>
                  <w:noWrap w:val="0"/>
                  <w:vAlign w:val="center"/>
                </w:tcPr>
                <w:p w14:paraId="75F1A185">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25285D5C">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3751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27" w:type="dxa"/>
                  <w:noWrap w:val="0"/>
                  <w:vAlign w:val="center"/>
                </w:tcPr>
                <w:p w14:paraId="2C0CD0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835" w:type="dxa"/>
                  <w:noWrap w:val="0"/>
                  <w:vAlign w:val="center"/>
                </w:tcPr>
                <w:p w14:paraId="530CC7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078A0FC1">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51C9BC6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6F46D2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2.22</w:t>
                  </w:r>
                </w:p>
              </w:tc>
              <w:tc>
                <w:tcPr>
                  <w:tcW w:w="1109" w:type="dxa"/>
                  <w:noWrap w:val="0"/>
                  <w:vAlign w:val="center"/>
                </w:tcPr>
                <w:p w14:paraId="62DA2E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0.00002</w:t>
                  </w:r>
                </w:p>
              </w:tc>
              <w:tc>
                <w:tcPr>
                  <w:tcW w:w="1078" w:type="dxa"/>
                  <w:noWrap w:val="0"/>
                  <w:vAlign w:val="center"/>
                </w:tcPr>
                <w:p w14:paraId="715430BB">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0.0089</w:t>
                  </w:r>
                </w:p>
              </w:tc>
              <w:tc>
                <w:tcPr>
                  <w:tcW w:w="662" w:type="dxa"/>
                  <w:noWrap w:val="0"/>
                  <w:vAlign w:val="center"/>
                </w:tcPr>
                <w:p w14:paraId="4DA16130">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p>
              </w:tc>
              <w:tc>
                <w:tcPr>
                  <w:tcW w:w="625" w:type="dxa"/>
                  <w:noWrap w:val="0"/>
                  <w:vAlign w:val="center"/>
                </w:tcPr>
                <w:p w14:paraId="78348EC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3D98369A">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1214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27" w:type="dxa"/>
                  <w:noWrap w:val="0"/>
                  <w:vAlign w:val="center"/>
                </w:tcPr>
                <w:p w14:paraId="42BBCB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835" w:type="dxa"/>
                  <w:noWrap w:val="0"/>
                  <w:vAlign w:val="center"/>
                </w:tcPr>
                <w:p w14:paraId="370740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3EF0E12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3EDC3FC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1C837D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cs="Times New Roman"/>
                      <w:color w:val="auto"/>
                      <w:sz w:val="21"/>
                      <w:szCs w:val="21"/>
                      <w:highlight w:val="none"/>
                      <w:lang w:val="en-US" w:eastAsia="zh-CN"/>
                    </w:rPr>
                    <w:t>231.06</w:t>
                  </w:r>
                </w:p>
              </w:tc>
              <w:tc>
                <w:tcPr>
                  <w:tcW w:w="1109" w:type="dxa"/>
                  <w:noWrap w:val="0"/>
                  <w:vAlign w:val="center"/>
                </w:tcPr>
                <w:p w14:paraId="084F4E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0.0034</w:t>
                  </w:r>
                </w:p>
              </w:tc>
              <w:tc>
                <w:tcPr>
                  <w:tcW w:w="1078" w:type="dxa"/>
                  <w:noWrap w:val="0"/>
                  <w:vAlign w:val="center"/>
                </w:tcPr>
                <w:p w14:paraId="1AE5E72E">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1.7071</w:t>
                  </w:r>
                </w:p>
              </w:tc>
              <w:tc>
                <w:tcPr>
                  <w:tcW w:w="662" w:type="dxa"/>
                  <w:noWrap w:val="0"/>
                  <w:vAlign w:val="center"/>
                </w:tcPr>
                <w:p w14:paraId="65551283">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p>
              </w:tc>
              <w:tc>
                <w:tcPr>
                  <w:tcW w:w="625" w:type="dxa"/>
                  <w:noWrap w:val="0"/>
                  <w:vAlign w:val="center"/>
                </w:tcPr>
                <w:p w14:paraId="5D6346CB">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0CD1CF71">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6CBF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27" w:type="dxa"/>
                  <w:noWrap w:val="0"/>
                  <w:vAlign w:val="center"/>
                </w:tcPr>
                <w:p w14:paraId="24D98B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835" w:type="dxa"/>
                  <w:noWrap w:val="0"/>
                  <w:vAlign w:val="center"/>
                </w:tcPr>
                <w:p w14:paraId="616982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5B709D05">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7963028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1CA97F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202.94</w:t>
                  </w:r>
                </w:p>
              </w:tc>
              <w:tc>
                <w:tcPr>
                  <w:tcW w:w="1109" w:type="dxa"/>
                  <w:noWrap w:val="0"/>
                  <w:vAlign w:val="center"/>
                </w:tcPr>
                <w:p w14:paraId="326877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0.0030</w:t>
                  </w:r>
                </w:p>
              </w:tc>
              <w:tc>
                <w:tcPr>
                  <w:tcW w:w="1078" w:type="dxa"/>
                  <w:noWrap w:val="0"/>
                  <w:vAlign w:val="center"/>
                </w:tcPr>
                <w:p w14:paraId="25FD54C1">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1.4993</w:t>
                  </w:r>
                </w:p>
              </w:tc>
              <w:tc>
                <w:tcPr>
                  <w:tcW w:w="662" w:type="dxa"/>
                  <w:noWrap w:val="0"/>
                  <w:vAlign w:val="center"/>
                </w:tcPr>
                <w:p w14:paraId="780737F7">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p>
              </w:tc>
              <w:tc>
                <w:tcPr>
                  <w:tcW w:w="625" w:type="dxa"/>
                  <w:noWrap w:val="0"/>
                  <w:vAlign w:val="center"/>
                </w:tcPr>
                <w:p w14:paraId="41E6661E">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2963A846">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01DA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27" w:type="dxa"/>
                  <w:noWrap w:val="0"/>
                  <w:vAlign w:val="center"/>
                </w:tcPr>
                <w:p w14:paraId="443CA8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835" w:type="dxa"/>
                  <w:noWrap w:val="0"/>
                  <w:vAlign w:val="center"/>
                </w:tcPr>
                <w:p w14:paraId="4B1690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53B5390B">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2F921E7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5D696F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303.19</w:t>
                  </w:r>
                </w:p>
              </w:tc>
              <w:tc>
                <w:tcPr>
                  <w:tcW w:w="1109" w:type="dxa"/>
                  <w:noWrap w:val="0"/>
                  <w:vAlign w:val="center"/>
                </w:tcPr>
                <w:p w14:paraId="74C54E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0.0045</w:t>
                  </w:r>
                </w:p>
              </w:tc>
              <w:tc>
                <w:tcPr>
                  <w:tcW w:w="1078" w:type="dxa"/>
                  <w:noWrap w:val="0"/>
                  <w:vAlign w:val="center"/>
                </w:tcPr>
                <w:p w14:paraId="31085FF0">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2.2400</w:t>
                  </w:r>
                </w:p>
              </w:tc>
              <w:tc>
                <w:tcPr>
                  <w:tcW w:w="662" w:type="dxa"/>
                  <w:noWrap w:val="0"/>
                  <w:vAlign w:val="center"/>
                </w:tcPr>
                <w:p w14:paraId="1B12FC88">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p>
              </w:tc>
              <w:tc>
                <w:tcPr>
                  <w:tcW w:w="625" w:type="dxa"/>
                  <w:noWrap w:val="0"/>
                  <w:vAlign w:val="center"/>
                </w:tcPr>
                <w:p w14:paraId="3D7A6661">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1F33C8FB">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6E8D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27" w:type="dxa"/>
                  <w:noWrap w:val="0"/>
                  <w:vAlign w:val="center"/>
                </w:tcPr>
                <w:p w14:paraId="40BE51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835" w:type="dxa"/>
                  <w:noWrap w:val="0"/>
                  <w:vAlign w:val="center"/>
                </w:tcPr>
                <w:p w14:paraId="551E8C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7828EC7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43F61C2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2185C9BF">
                  <w:pPr>
                    <w:keepNext w:val="0"/>
                    <w:keepLines w:val="0"/>
                    <w:widowControl/>
                    <w:suppressLineNumbers w:val="0"/>
                    <w:jc w:val="center"/>
                    <w:textAlignment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231.06</w:t>
                  </w:r>
                </w:p>
              </w:tc>
              <w:tc>
                <w:tcPr>
                  <w:tcW w:w="1109" w:type="dxa"/>
                  <w:noWrap w:val="0"/>
                  <w:vAlign w:val="center"/>
                </w:tcPr>
                <w:p w14:paraId="490382FD">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0.0068</w:t>
                  </w:r>
                </w:p>
              </w:tc>
              <w:tc>
                <w:tcPr>
                  <w:tcW w:w="1078" w:type="dxa"/>
                  <w:noWrap w:val="0"/>
                  <w:vAlign w:val="center"/>
                </w:tcPr>
                <w:p w14:paraId="673DF9DD">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3.4142</w:t>
                  </w:r>
                </w:p>
              </w:tc>
              <w:tc>
                <w:tcPr>
                  <w:tcW w:w="662" w:type="dxa"/>
                  <w:noWrap w:val="0"/>
                  <w:vAlign w:val="center"/>
                </w:tcPr>
                <w:p w14:paraId="648BED56">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p>
              </w:tc>
              <w:tc>
                <w:tcPr>
                  <w:tcW w:w="625" w:type="dxa"/>
                  <w:noWrap w:val="0"/>
                  <w:vAlign w:val="center"/>
                </w:tcPr>
                <w:p w14:paraId="7D0DE47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23F0967C">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6312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27" w:type="dxa"/>
                  <w:noWrap w:val="0"/>
                  <w:vAlign w:val="center"/>
                </w:tcPr>
                <w:p w14:paraId="1A3009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835" w:type="dxa"/>
                  <w:noWrap w:val="0"/>
                  <w:vAlign w:val="center"/>
                </w:tcPr>
                <w:p w14:paraId="373F7D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1F563D86">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6F55FE7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0AFBEFCB">
                  <w:pPr>
                    <w:keepNext w:val="0"/>
                    <w:keepLines w:val="0"/>
                    <w:widowControl/>
                    <w:suppressLineNumbers w:val="0"/>
                    <w:jc w:val="center"/>
                    <w:textAlignment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56.67</w:t>
                  </w:r>
                </w:p>
              </w:tc>
              <w:tc>
                <w:tcPr>
                  <w:tcW w:w="1109" w:type="dxa"/>
                  <w:noWrap w:val="0"/>
                  <w:vAlign w:val="center"/>
                </w:tcPr>
                <w:p w14:paraId="46D5DE05">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0.0007</w:t>
                  </w:r>
                </w:p>
              </w:tc>
              <w:tc>
                <w:tcPr>
                  <w:tcW w:w="1078" w:type="dxa"/>
                  <w:noWrap w:val="0"/>
                  <w:vAlign w:val="center"/>
                </w:tcPr>
                <w:p w14:paraId="44274AEF">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0.3497</w:t>
                  </w:r>
                </w:p>
              </w:tc>
              <w:tc>
                <w:tcPr>
                  <w:tcW w:w="662" w:type="dxa"/>
                  <w:noWrap w:val="0"/>
                  <w:vAlign w:val="center"/>
                </w:tcPr>
                <w:p w14:paraId="0C79ED8E">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p>
              </w:tc>
              <w:tc>
                <w:tcPr>
                  <w:tcW w:w="625" w:type="dxa"/>
                  <w:noWrap w:val="0"/>
                  <w:vAlign w:val="center"/>
                </w:tcPr>
                <w:p w14:paraId="727258D7">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3A2212FB">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3BC9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27" w:type="dxa"/>
                  <w:noWrap w:val="0"/>
                  <w:vAlign w:val="center"/>
                </w:tcPr>
                <w:p w14:paraId="1A0C9E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835" w:type="dxa"/>
                  <w:noWrap w:val="0"/>
                  <w:vAlign w:val="center"/>
                </w:tcPr>
                <w:p w14:paraId="10080D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6CAAF789">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0776396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517591B9">
                  <w:pPr>
                    <w:keepNext w:val="0"/>
                    <w:keepLines w:val="0"/>
                    <w:widowControl/>
                    <w:suppressLineNumbers w:val="0"/>
                    <w:jc w:val="center"/>
                    <w:textAlignment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56.67</w:t>
                  </w:r>
                </w:p>
              </w:tc>
              <w:tc>
                <w:tcPr>
                  <w:tcW w:w="1109" w:type="dxa"/>
                  <w:noWrap w:val="0"/>
                  <w:vAlign w:val="center"/>
                </w:tcPr>
                <w:p w14:paraId="73467909">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0.0007</w:t>
                  </w:r>
                </w:p>
              </w:tc>
              <w:tc>
                <w:tcPr>
                  <w:tcW w:w="1078" w:type="dxa"/>
                  <w:noWrap w:val="0"/>
                  <w:vAlign w:val="center"/>
                </w:tcPr>
                <w:p w14:paraId="6CD9F660">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0.3497</w:t>
                  </w:r>
                </w:p>
              </w:tc>
              <w:tc>
                <w:tcPr>
                  <w:tcW w:w="662" w:type="dxa"/>
                  <w:noWrap w:val="0"/>
                  <w:vAlign w:val="center"/>
                </w:tcPr>
                <w:p w14:paraId="78D1A33C">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p>
              </w:tc>
              <w:tc>
                <w:tcPr>
                  <w:tcW w:w="625" w:type="dxa"/>
                  <w:noWrap w:val="0"/>
                  <w:vAlign w:val="center"/>
                </w:tcPr>
                <w:p w14:paraId="2980E4BC">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0C5FE929">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1905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27" w:type="dxa"/>
                  <w:noWrap w:val="0"/>
                  <w:vAlign w:val="center"/>
                </w:tcPr>
                <w:p w14:paraId="6B0847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835" w:type="dxa"/>
                  <w:noWrap w:val="0"/>
                  <w:vAlign w:val="center"/>
                </w:tcPr>
                <w:p w14:paraId="44D7C5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4D5F301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6B776B4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654D5D26">
                  <w:pPr>
                    <w:keepNext w:val="0"/>
                    <w:keepLines w:val="0"/>
                    <w:widowControl/>
                    <w:suppressLineNumbers w:val="0"/>
                    <w:jc w:val="center"/>
                    <w:textAlignment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19.49</w:t>
                  </w:r>
                </w:p>
              </w:tc>
              <w:tc>
                <w:tcPr>
                  <w:tcW w:w="1109" w:type="dxa"/>
                  <w:noWrap w:val="0"/>
                  <w:vAlign w:val="center"/>
                </w:tcPr>
                <w:p w14:paraId="7B24115D">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0.0001</w:t>
                  </w:r>
                </w:p>
              </w:tc>
              <w:tc>
                <w:tcPr>
                  <w:tcW w:w="1078" w:type="dxa"/>
                  <w:noWrap w:val="0"/>
                  <w:vAlign w:val="center"/>
                </w:tcPr>
                <w:p w14:paraId="008188DA">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0.0640</w:t>
                  </w:r>
                </w:p>
              </w:tc>
              <w:tc>
                <w:tcPr>
                  <w:tcW w:w="662" w:type="dxa"/>
                  <w:noWrap w:val="0"/>
                  <w:vAlign w:val="center"/>
                </w:tcPr>
                <w:p w14:paraId="6BE251C9">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p>
              </w:tc>
              <w:tc>
                <w:tcPr>
                  <w:tcW w:w="625" w:type="dxa"/>
                  <w:noWrap w:val="0"/>
                  <w:vAlign w:val="center"/>
                </w:tcPr>
                <w:p w14:paraId="4D1948F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43B24F57">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7B7C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27" w:type="dxa"/>
                  <w:noWrap w:val="0"/>
                  <w:vAlign w:val="center"/>
                </w:tcPr>
                <w:p w14:paraId="175D7F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835" w:type="dxa"/>
                  <w:noWrap w:val="0"/>
                  <w:vAlign w:val="center"/>
                </w:tcPr>
                <w:p w14:paraId="5E5183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6BD7F501">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050E77F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3CAB4066">
                  <w:pPr>
                    <w:keepNext w:val="0"/>
                    <w:keepLines w:val="0"/>
                    <w:widowControl/>
                    <w:suppressLineNumbers w:val="0"/>
                    <w:jc w:val="center"/>
                    <w:textAlignment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19.49</w:t>
                  </w:r>
                </w:p>
              </w:tc>
              <w:tc>
                <w:tcPr>
                  <w:tcW w:w="1109" w:type="dxa"/>
                  <w:noWrap w:val="0"/>
                  <w:vAlign w:val="center"/>
                </w:tcPr>
                <w:p w14:paraId="4BB63D1C">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0.0001</w:t>
                  </w:r>
                </w:p>
              </w:tc>
              <w:tc>
                <w:tcPr>
                  <w:tcW w:w="1078" w:type="dxa"/>
                  <w:noWrap w:val="0"/>
                  <w:vAlign w:val="center"/>
                </w:tcPr>
                <w:p w14:paraId="3CB8E15F">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0.0640</w:t>
                  </w:r>
                </w:p>
              </w:tc>
              <w:tc>
                <w:tcPr>
                  <w:tcW w:w="662" w:type="dxa"/>
                  <w:noWrap w:val="0"/>
                  <w:vAlign w:val="center"/>
                </w:tcPr>
                <w:p w14:paraId="4BC56249">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p>
              </w:tc>
              <w:tc>
                <w:tcPr>
                  <w:tcW w:w="625" w:type="dxa"/>
                  <w:noWrap w:val="0"/>
                  <w:vAlign w:val="center"/>
                </w:tcPr>
                <w:p w14:paraId="56F88988">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2CD12FF6">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6867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27" w:type="dxa"/>
                  <w:noWrap w:val="0"/>
                  <w:vAlign w:val="center"/>
                </w:tcPr>
                <w:p w14:paraId="0E94B3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835" w:type="dxa"/>
                  <w:noWrap w:val="0"/>
                  <w:vAlign w:val="center"/>
                </w:tcPr>
                <w:p w14:paraId="0E5EDC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排气筒</w:t>
                  </w:r>
                </w:p>
              </w:tc>
              <w:tc>
                <w:tcPr>
                  <w:tcW w:w="636" w:type="dxa"/>
                  <w:vMerge w:val="continue"/>
                  <w:noWrap w:val="0"/>
                  <w:vAlign w:val="center"/>
                </w:tcPr>
                <w:p w14:paraId="1FFF558B">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985" w:type="dxa"/>
                  <w:noWrap w:val="0"/>
                  <w:vAlign w:val="center"/>
                </w:tcPr>
                <w:p w14:paraId="4EE8C57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69" w:type="dxa"/>
                  <w:noWrap w:val="0"/>
                  <w:vAlign w:val="center"/>
                </w:tcPr>
                <w:p w14:paraId="00A3AEC5">
                  <w:pPr>
                    <w:keepNext w:val="0"/>
                    <w:keepLines w:val="0"/>
                    <w:widowControl/>
                    <w:suppressLineNumbers w:val="0"/>
                    <w:jc w:val="center"/>
                    <w:textAlignment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7662.5</w:t>
                  </w:r>
                </w:p>
              </w:tc>
              <w:tc>
                <w:tcPr>
                  <w:tcW w:w="1109" w:type="dxa"/>
                  <w:noWrap w:val="0"/>
                  <w:vAlign w:val="center"/>
                </w:tcPr>
                <w:p w14:paraId="693DCF7C">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0.0307</w:t>
                  </w:r>
                </w:p>
              </w:tc>
              <w:tc>
                <w:tcPr>
                  <w:tcW w:w="1078" w:type="dxa"/>
                  <w:noWrap w:val="0"/>
                  <w:vAlign w:val="center"/>
                </w:tcPr>
                <w:p w14:paraId="72358AA0">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15.325</w:t>
                  </w:r>
                </w:p>
              </w:tc>
              <w:tc>
                <w:tcPr>
                  <w:tcW w:w="662" w:type="dxa"/>
                  <w:noWrap w:val="0"/>
                  <w:vAlign w:val="center"/>
                </w:tcPr>
                <w:p w14:paraId="746C2947">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p>
              </w:tc>
              <w:tc>
                <w:tcPr>
                  <w:tcW w:w="625" w:type="dxa"/>
                  <w:noWrap w:val="0"/>
                  <w:vAlign w:val="center"/>
                </w:tcPr>
                <w:p w14:paraId="4E0C2F8C">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231" w:type="dxa"/>
                  <w:vMerge w:val="continue"/>
                  <w:noWrap w:val="0"/>
                  <w:vAlign w:val="center"/>
                </w:tcPr>
                <w:p w14:paraId="05C1A3EE">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bl>
          <w:p w14:paraId="3D69A3F5">
            <w:pPr>
              <w:pStyle w:val="16"/>
              <w:keepNext w:val="0"/>
              <w:keepLines w:val="0"/>
              <w:pageBreakBefore w:val="0"/>
              <w:widowControl w:val="0"/>
              <w:kinsoku/>
              <w:wordWrap/>
              <w:overflowPunct/>
              <w:topLinePunct w:val="0"/>
              <w:autoSpaceDE/>
              <w:autoSpaceDN/>
              <w:bidi w:val="0"/>
              <w:adjustRightInd/>
              <w:snapToGrid/>
              <w:spacing w:line="351" w:lineRule="auto"/>
              <w:ind w:firstLine="482"/>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rPr>
              <w:t>根据上表，</w:t>
            </w:r>
            <w:r>
              <w:rPr>
                <w:rFonts w:hint="default" w:ascii="Times New Roman" w:hAnsi="Times New Roman" w:eastAsia="宋体" w:cs="Times New Roman"/>
                <w:color w:val="auto"/>
                <w:sz w:val="24"/>
                <w:highlight w:val="none"/>
              </w:rPr>
              <w:t>非正常情况下</w:t>
            </w:r>
            <w:r>
              <w:rPr>
                <w:rFonts w:hint="default" w:ascii="Times New Roman" w:hAnsi="Times New Roman" w:eastAsia="宋体" w:cs="Times New Roman"/>
                <w:color w:val="auto"/>
                <w:spacing w:val="-3"/>
                <w:sz w:val="24"/>
                <w:highlight w:val="none"/>
                <w:lang w:eastAsia="zh-CN"/>
              </w:rPr>
              <w:t>，</w:t>
            </w:r>
            <w:r>
              <w:rPr>
                <w:rFonts w:hint="default" w:ascii="Times New Roman" w:hAnsi="Times New Roman" w:eastAsia="宋体" w:cs="Times New Roman"/>
                <w:color w:val="auto"/>
                <w:spacing w:val="-3"/>
                <w:sz w:val="24"/>
                <w:highlight w:val="none"/>
              </w:rPr>
              <w:t>即当“</w:t>
            </w:r>
            <w:r>
              <w:rPr>
                <w:rFonts w:hint="default" w:ascii="Times New Roman" w:hAnsi="Times New Roman" w:eastAsia="宋体" w:cs="Times New Roman"/>
                <w:color w:val="auto"/>
                <w:kern w:val="2"/>
                <w:sz w:val="24"/>
                <w:szCs w:val="24"/>
                <w:highlight w:val="none"/>
                <w:lang w:val="en-US" w:eastAsia="zh-CN" w:bidi="ar-SA"/>
              </w:rPr>
              <w:t>布袋除尘器及</w:t>
            </w:r>
            <w:r>
              <w:rPr>
                <w:rFonts w:hint="eastAsia" w:ascii="Times New Roman" w:hAnsi="Times New Roman" w:cs="Times New Roman"/>
                <w:color w:val="auto"/>
                <w:kern w:val="2"/>
                <w:sz w:val="24"/>
                <w:szCs w:val="24"/>
                <w:highlight w:val="none"/>
                <w:lang w:val="en-US" w:eastAsia="zh-CN" w:bidi="ar-SA"/>
              </w:rPr>
              <w:t>脱硫、脱硝</w:t>
            </w:r>
            <w:r>
              <w:rPr>
                <w:rFonts w:hint="default" w:ascii="Times New Roman" w:hAnsi="Times New Roman" w:eastAsia="宋体" w:cs="Times New Roman"/>
                <w:color w:val="auto"/>
                <w:kern w:val="2"/>
                <w:sz w:val="24"/>
                <w:szCs w:val="24"/>
                <w:highlight w:val="none"/>
                <w:lang w:val="en-US" w:eastAsia="zh-CN" w:bidi="ar-SA"/>
              </w:rPr>
              <w:t>装置</w:t>
            </w:r>
            <w:r>
              <w:rPr>
                <w:rFonts w:hint="default" w:ascii="Times New Roman" w:hAnsi="Times New Roman" w:eastAsia="宋体" w:cs="Times New Roman"/>
                <w:color w:val="auto"/>
                <w:spacing w:val="-3"/>
                <w:sz w:val="24"/>
                <w:highlight w:val="none"/>
              </w:rPr>
              <w:t>”</w:t>
            </w:r>
            <w:r>
              <w:rPr>
                <w:rFonts w:hint="default" w:ascii="Times New Roman" w:hAnsi="Times New Roman" w:eastAsia="宋体" w:cs="Times New Roman"/>
                <w:color w:val="auto"/>
                <w:spacing w:val="-3"/>
                <w:sz w:val="24"/>
                <w:highlight w:val="none"/>
                <w:lang w:val="en-US" w:eastAsia="zh-CN"/>
              </w:rPr>
              <w:t>装置处理</w:t>
            </w:r>
            <w:r>
              <w:rPr>
                <w:rFonts w:hint="default" w:ascii="Times New Roman" w:hAnsi="Times New Roman" w:eastAsia="宋体" w:cs="Times New Roman"/>
                <w:color w:val="auto"/>
                <w:spacing w:val="-4"/>
                <w:sz w:val="24"/>
                <w:highlight w:val="none"/>
              </w:rPr>
              <w:t>效率因故障降为</w:t>
            </w:r>
            <w:r>
              <w:rPr>
                <w:rFonts w:hint="default" w:ascii="Times New Roman" w:hAnsi="Times New Roman" w:eastAsia="宋体" w:cs="Times New Roman"/>
                <w:color w:val="auto"/>
                <w:sz w:val="24"/>
                <w:highlight w:val="none"/>
              </w:rPr>
              <w:t>0%的情况</w:t>
            </w:r>
            <w:r>
              <w:rPr>
                <w:rFonts w:hint="default" w:ascii="Times New Roman" w:hAnsi="Times New Roman" w:eastAsia="宋体" w:cs="Times New Roman"/>
                <w:color w:val="auto"/>
                <w:spacing w:val="-9"/>
                <w:sz w:val="24"/>
                <w:highlight w:val="none"/>
              </w:rPr>
              <w:t>，</w:t>
            </w:r>
            <w:r>
              <w:rPr>
                <w:rFonts w:hint="default" w:ascii="Times New Roman" w:hAnsi="Times New Roman" w:eastAsia="宋体" w:cs="Times New Roman"/>
                <w:bCs/>
                <w:color w:val="auto"/>
                <w:kern w:val="0"/>
                <w:sz w:val="24"/>
                <w:szCs w:val="24"/>
                <w:highlight w:val="none"/>
              </w:rPr>
              <w:t>DA001</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2</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3</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4</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DA01</w:t>
            </w:r>
            <w:r>
              <w:rPr>
                <w:rFonts w:hint="default" w:ascii="Times New Roman" w:hAnsi="Times New Roman" w:eastAsia="宋体" w:cs="Times New Roman"/>
                <w:bCs/>
                <w:color w:val="auto"/>
                <w:kern w:val="0"/>
                <w:sz w:val="24"/>
                <w:szCs w:val="24"/>
                <w:highlight w:val="none"/>
                <w:lang w:val="en-US" w:eastAsia="zh-CN"/>
              </w:rPr>
              <w:t>1</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w:t>
            </w:r>
            <w:r>
              <w:rPr>
                <w:rFonts w:hint="default" w:ascii="Times New Roman" w:hAnsi="Times New Roman" w:eastAsia="宋体" w:cs="Times New Roman"/>
                <w:bCs/>
                <w:color w:val="auto"/>
                <w:kern w:val="0"/>
                <w:sz w:val="24"/>
                <w:szCs w:val="24"/>
                <w:highlight w:val="none"/>
                <w:lang w:val="en-US" w:eastAsia="zh-CN"/>
              </w:rPr>
              <w:t>12</w:t>
            </w:r>
            <w:r>
              <w:rPr>
                <w:rFonts w:hint="eastAsia" w:ascii="Times New Roman" w:hAnsi="Times New Roman" w:cs="Times New Roman"/>
                <w:bCs/>
                <w:color w:val="auto"/>
                <w:kern w:val="0"/>
                <w:sz w:val="24"/>
                <w:szCs w:val="24"/>
                <w:highlight w:val="none"/>
                <w:lang w:val="en-US" w:eastAsia="zh-CN"/>
              </w:rPr>
              <w:t>、DA013、DA014、DA019</w:t>
            </w:r>
            <w:r>
              <w:rPr>
                <w:rFonts w:hint="default" w:ascii="Times New Roman" w:hAnsi="Times New Roman" w:eastAsia="宋体" w:cs="Times New Roman"/>
                <w:color w:val="auto"/>
                <w:spacing w:val="-9"/>
                <w:sz w:val="24"/>
                <w:szCs w:val="24"/>
                <w:highlight w:val="none"/>
                <w:lang w:val="en-US" w:eastAsia="zh-CN"/>
              </w:rPr>
              <w:t>排气筒中</w:t>
            </w:r>
            <w:r>
              <w:rPr>
                <w:rFonts w:hint="eastAsia" w:ascii="Times New Roman" w:hAnsi="Times New Roman" w:cs="Times New Roman"/>
                <w:color w:val="auto"/>
                <w:spacing w:val="-9"/>
                <w:sz w:val="24"/>
                <w:szCs w:val="24"/>
                <w:highlight w:val="none"/>
                <w:lang w:val="en-US" w:eastAsia="zh-CN"/>
              </w:rPr>
              <w:t>颗粒物</w:t>
            </w:r>
            <w:r>
              <w:rPr>
                <w:rFonts w:hint="default" w:ascii="Times New Roman" w:hAnsi="Times New Roman" w:eastAsia="宋体" w:cs="Times New Roman"/>
                <w:color w:val="auto"/>
                <w:spacing w:val="-3"/>
                <w:sz w:val="24"/>
                <w:szCs w:val="24"/>
                <w:highlight w:val="none"/>
              </w:rPr>
              <w:t>排放浓度</w:t>
            </w:r>
            <w:r>
              <w:rPr>
                <w:rFonts w:hint="default" w:ascii="Times New Roman" w:hAnsi="Times New Roman" w:cs="Times New Roman"/>
                <w:color w:val="auto"/>
                <w:spacing w:val="-3"/>
                <w:sz w:val="24"/>
                <w:szCs w:val="24"/>
                <w:highlight w:val="none"/>
                <w:lang w:val="en-US" w:eastAsia="zh-CN"/>
              </w:rPr>
              <w:t>不</w:t>
            </w:r>
            <w:r>
              <w:rPr>
                <w:rFonts w:hint="default" w:ascii="Times New Roman" w:hAnsi="Times New Roman" w:eastAsia="宋体" w:cs="Times New Roman"/>
                <w:color w:val="auto"/>
                <w:spacing w:val="-3"/>
                <w:sz w:val="24"/>
                <w:szCs w:val="24"/>
                <w:highlight w:val="none"/>
                <w:lang w:val="en-US" w:eastAsia="zh-CN"/>
              </w:rPr>
              <w:t>能</w:t>
            </w:r>
            <w:r>
              <w:rPr>
                <w:rFonts w:hint="default" w:ascii="Times New Roman" w:hAnsi="Times New Roman" w:eastAsia="宋体" w:cs="Times New Roman"/>
                <w:color w:val="auto"/>
                <w:spacing w:val="-3"/>
                <w:sz w:val="24"/>
                <w:szCs w:val="24"/>
                <w:highlight w:val="none"/>
              </w:rPr>
              <w:t>满足</w:t>
            </w:r>
            <w:r>
              <w:rPr>
                <w:rFonts w:hint="default" w:ascii="Times New Roman" w:hAnsi="Times New Roman" w:cs="Times New Roman"/>
                <w:color w:val="auto"/>
                <w:sz w:val="24"/>
                <w:szCs w:val="24"/>
                <w:highlight w:val="none"/>
                <w:shd w:val="clear" w:color="auto" w:fill="auto"/>
                <w:lang w:val="zh-CN" w:eastAsia="zh-CN"/>
              </w:rPr>
              <w:t>《大气污染物综合排放标准》（GB16297-1996）表2中二级标准</w:t>
            </w:r>
            <w:r>
              <w:rPr>
                <w:rFonts w:hint="default" w:ascii="Times New Roman" w:hAnsi="Times New Roman" w:eastAsia="宋体" w:cs="Times New Roman"/>
                <w:color w:val="auto"/>
                <w:sz w:val="24"/>
                <w:szCs w:val="24"/>
                <w:highlight w:val="none"/>
                <w:lang w:val="en-US" w:eastAsia="zh-CN"/>
              </w:rPr>
              <w:t>，即：颗粒物≤</w:t>
            </w:r>
            <w:r>
              <w:rPr>
                <w:rFonts w:hint="eastAsia" w:ascii="Times New Roman" w:hAnsi="Times New Roman"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0mg/m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cs="Times New Roman"/>
                <w:color w:val="auto"/>
                <w:spacing w:val="-7"/>
                <w:sz w:val="24"/>
                <w:szCs w:val="24"/>
                <w:highlight w:val="none"/>
                <w:lang w:eastAsia="zh-CN"/>
              </w:rPr>
              <w:t>；</w:t>
            </w:r>
            <w:r>
              <w:rPr>
                <w:rFonts w:hint="eastAsia" w:ascii="Times New Roman" w:hAnsi="Times New Roman" w:cs="Times New Roman"/>
                <w:color w:val="auto"/>
                <w:spacing w:val="-7"/>
                <w:sz w:val="24"/>
                <w:szCs w:val="24"/>
                <w:highlight w:val="none"/>
                <w:lang w:val="en-US" w:eastAsia="zh-CN"/>
              </w:rPr>
              <w:t>DA006、DA007、DA008、DA009、DA010、</w:t>
            </w:r>
            <w:r>
              <w:rPr>
                <w:rFonts w:hint="eastAsia" w:ascii="Times New Roman" w:hAnsi="Times New Roman" w:cs="Times New Roman"/>
                <w:bCs/>
                <w:color w:val="auto"/>
                <w:kern w:val="0"/>
                <w:sz w:val="24"/>
                <w:szCs w:val="24"/>
                <w:highlight w:val="none"/>
                <w:lang w:val="en-US" w:eastAsia="zh-CN"/>
              </w:rPr>
              <w:t>DA015、DA016、DA017、DA18</w:t>
            </w:r>
            <w:r>
              <w:rPr>
                <w:rFonts w:hint="default" w:ascii="Times New Roman" w:hAnsi="Times New Roman" w:eastAsia="宋体" w:cs="Times New Roman"/>
                <w:color w:val="auto"/>
                <w:spacing w:val="-9"/>
                <w:sz w:val="24"/>
                <w:szCs w:val="24"/>
                <w:highlight w:val="none"/>
                <w:lang w:val="en-US" w:eastAsia="zh-CN"/>
              </w:rPr>
              <w:t>排气筒中</w:t>
            </w:r>
            <w:r>
              <w:rPr>
                <w:rFonts w:hint="eastAsia" w:ascii="Times New Roman" w:hAnsi="Times New Roman" w:cs="Times New Roman"/>
                <w:color w:val="auto"/>
                <w:spacing w:val="-9"/>
                <w:sz w:val="24"/>
                <w:szCs w:val="24"/>
                <w:highlight w:val="none"/>
                <w:lang w:val="en-US" w:eastAsia="zh-CN"/>
              </w:rPr>
              <w:t>颗粒物</w:t>
            </w:r>
            <w:r>
              <w:rPr>
                <w:rFonts w:hint="default" w:ascii="Times New Roman" w:hAnsi="Times New Roman" w:eastAsia="宋体" w:cs="Times New Roman"/>
                <w:color w:val="auto"/>
                <w:spacing w:val="-3"/>
                <w:sz w:val="24"/>
                <w:szCs w:val="24"/>
                <w:highlight w:val="none"/>
              </w:rPr>
              <w:t>排放浓度</w:t>
            </w:r>
            <w:r>
              <w:rPr>
                <w:rFonts w:hint="default" w:ascii="Times New Roman" w:hAnsi="Times New Roman" w:eastAsia="宋体" w:cs="Times New Roman"/>
                <w:color w:val="auto"/>
                <w:spacing w:val="-3"/>
                <w:sz w:val="24"/>
                <w:szCs w:val="24"/>
                <w:highlight w:val="none"/>
                <w:lang w:val="en-US" w:eastAsia="zh-CN"/>
              </w:rPr>
              <w:t>能</w:t>
            </w:r>
            <w:r>
              <w:rPr>
                <w:rFonts w:hint="default" w:ascii="Times New Roman" w:hAnsi="Times New Roman" w:eastAsia="宋体" w:cs="Times New Roman"/>
                <w:color w:val="auto"/>
                <w:spacing w:val="-3"/>
                <w:sz w:val="24"/>
                <w:szCs w:val="24"/>
                <w:highlight w:val="none"/>
              </w:rPr>
              <w:t>满足</w:t>
            </w:r>
            <w:r>
              <w:rPr>
                <w:rFonts w:hint="default" w:ascii="Times New Roman" w:hAnsi="Times New Roman" w:cs="Times New Roman"/>
                <w:color w:val="auto"/>
                <w:sz w:val="24"/>
                <w:szCs w:val="24"/>
                <w:highlight w:val="none"/>
                <w:shd w:val="clear" w:color="auto" w:fill="auto"/>
                <w:lang w:val="zh-CN" w:eastAsia="zh-CN"/>
              </w:rPr>
              <w:t>《</w:t>
            </w:r>
            <w:r>
              <w:rPr>
                <w:rFonts w:hint="default" w:ascii="Times New Roman" w:hAnsi="Times New Roman" w:cs="Times New Roman"/>
                <w:color w:val="auto"/>
                <w:sz w:val="24"/>
                <w:szCs w:val="24"/>
                <w:shd w:val="clear" w:color="auto" w:fill="auto"/>
                <w:lang w:val="zh-CN" w:eastAsia="zh-CN"/>
              </w:rPr>
              <w:t>大气污染物综合排放标准》（GB16297-1996）表2中二级标准</w:t>
            </w:r>
            <w:r>
              <w:rPr>
                <w:rFonts w:hint="default" w:ascii="Times New Roman" w:hAnsi="Times New Roman" w:eastAsia="宋体" w:cs="Times New Roman"/>
                <w:color w:val="auto"/>
                <w:sz w:val="24"/>
                <w:szCs w:val="24"/>
                <w:highlight w:val="none"/>
                <w:lang w:val="en-US" w:eastAsia="zh-CN"/>
              </w:rPr>
              <w:t>，即：颗粒物≤</w:t>
            </w:r>
            <w:r>
              <w:rPr>
                <w:rFonts w:hint="eastAsia" w:ascii="Times New Roman" w:hAnsi="Times New Roman"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0mg/m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cs="Times New Roman"/>
                <w:color w:val="auto"/>
                <w:spacing w:val="-7"/>
                <w:sz w:val="24"/>
                <w:szCs w:val="24"/>
                <w:highlight w:val="none"/>
                <w:lang w:eastAsia="zh-CN"/>
              </w:rPr>
              <w:t>；</w:t>
            </w:r>
            <w:r>
              <w:rPr>
                <w:rFonts w:hint="eastAsia" w:ascii="Times New Roman" w:hAnsi="Times New Roman" w:cs="Times New Roman"/>
                <w:color w:val="auto"/>
                <w:sz w:val="24"/>
                <w:szCs w:val="24"/>
                <w:highlight w:val="none"/>
                <w:lang w:val="en-US" w:eastAsia="zh-CN"/>
              </w:rPr>
              <w:t>DA005</w:t>
            </w:r>
            <w:r>
              <w:rPr>
                <w:rFonts w:hint="default" w:ascii="Times New Roman" w:hAnsi="Times New Roman" w:eastAsia="宋体" w:cs="Times New Roman"/>
                <w:color w:val="auto"/>
                <w:spacing w:val="-9"/>
                <w:sz w:val="24"/>
                <w:szCs w:val="24"/>
                <w:highlight w:val="none"/>
                <w:lang w:val="en-US" w:eastAsia="zh-CN"/>
              </w:rPr>
              <w:t>排气筒中</w:t>
            </w:r>
            <w:r>
              <w:rPr>
                <w:rFonts w:hint="eastAsia" w:ascii="Times New Roman" w:hAnsi="Times New Roman" w:cs="Times New Roman"/>
                <w:color w:val="auto"/>
                <w:spacing w:val="-9"/>
                <w:sz w:val="24"/>
                <w:szCs w:val="24"/>
                <w:highlight w:val="none"/>
                <w:lang w:val="en-US" w:eastAsia="zh-CN"/>
              </w:rPr>
              <w:t>颗粒物</w:t>
            </w:r>
            <w:r>
              <w:rPr>
                <w:rFonts w:hint="default" w:ascii="Times New Roman" w:hAnsi="Times New Roman" w:eastAsia="宋体" w:cs="Times New Roman"/>
                <w:color w:val="auto"/>
                <w:spacing w:val="-3"/>
                <w:sz w:val="24"/>
                <w:szCs w:val="24"/>
                <w:highlight w:val="none"/>
              </w:rPr>
              <w:t>排放浓度</w:t>
            </w:r>
            <w:r>
              <w:rPr>
                <w:rFonts w:hint="default" w:ascii="Times New Roman" w:hAnsi="Times New Roman" w:cs="Times New Roman"/>
                <w:color w:val="auto"/>
                <w:spacing w:val="-3"/>
                <w:sz w:val="24"/>
                <w:szCs w:val="24"/>
                <w:highlight w:val="none"/>
                <w:lang w:val="en-US" w:eastAsia="zh-CN"/>
              </w:rPr>
              <w:t>不</w:t>
            </w:r>
            <w:r>
              <w:rPr>
                <w:rFonts w:hint="default" w:ascii="Times New Roman" w:hAnsi="Times New Roman" w:eastAsia="宋体" w:cs="Times New Roman"/>
                <w:color w:val="auto"/>
                <w:spacing w:val="-3"/>
                <w:sz w:val="24"/>
                <w:szCs w:val="24"/>
                <w:highlight w:val="none"/>
                <w:lang w:val="en-US" w:eastAsia="zh-CN"/>
              </w:rPr>
              <w:t>能</w:t>
            </w:r>
            <w:r>
              <w:rPr>
                <w:rFonts w:hint="default" w:ascii="Times New Roman" w:hAnsi="Times New Roman" w:eastAsia="宋体" w:cs="Times New Roman"/>
                <w:color w:val="auto"/>
                <w:spacing w:val="-3"/>
                <w:sz w:val="24"/>
                <w:szCs w:val="24"/>
                <w:highlight w:val="none"/>
              </w:rPr>
              <w:t>满足</w:t>
            </w:r>
            <w:r>
              <w:rPr>
                <w:rFonts w:hint="default" w:ascii="Times New Roman" w:hAnsi="Times New Roman" w:eastAsia="宋体" w:cs="Times New Roman"/>
                <w:color w:val="auto"/>
                <w:sz w:val="24"/>
                <w:highlight w:val="none"/>
              </w:rPr>
              <w:t>《工业炉窑大气污染物排放标准》（GB9078-1996）中标准限值</w:t>
            </w:r>
            <w:r>
              <w:rPr>
                <w:rFonts w:hint="default" w:ascii="Times New Roman" w:hAnsi="Times New Roman" w:eastAsia="宋体" w:cs="Times New Roman"/>
                <w:color w:val="auto"/>
                <w:sz w:val="24"/>
                <w:szCs w:val="24"/>
                <w:highlight w:val="none"/>
                <w:lang w:val="en-US" w:eastAsia="zh-CN"/>
              </w:rPr>
              <w:t>，即：颗粒物≤</w:t>
            </w:r>
            <w:r>
              <w:rPr>
                <w:rFonts w:hint="eastAsia"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0mg/m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cs="Times New Roman"/>
                <w:color w:val="auto"/>
                <w:spacing w:val="-7"/>
                <w:sz w:val="24"/>
                <w:szCs w:val="24"/>
                <w:highlight w:val="none"/>
                <w:lang w:eastAsia="zh-CN"/>
              </w:rPr>
              <w:t>；</w:t>
            </w:r>
            <w:r>
              <w:rPr>
                <w:rFonts w:hint="eastAsia" w:ascii="Times New Roman" w:hAnsi="Times New Roman" w:cs="Times New Roman"/>
                <w:color w:val="auto"/>
                <w:sz w:val="24"/>
                <w:szCs w:val="24"/>
                <w:highlight w:val="none"/>
                <w:lang w:val="en-US" w:eastAsia="zh-CN"/>
              </w:rPr>
              <w:t>DA005</w:t>
            </w:r>
            <w:r>
              <w:rPr>
                <w:rFonts w:hint="default" w:ascii="Times New Roman" w:hAnsi="Times New Roman" w:eastAsia="宋体" w:cs="Times New Roman"/>
                <w:color w:val="auto"/>
                <w:spacing w:val="-9"/>
                <w:sz w:val="24"/>
                <w:szCs w:val="24"/>
                <w:highlight w:val="none"/>
                <w:lang w:val="en-US" w:eastAsia="zh-CN"/>
              </w:rPr>
              <w:t>排气筒中</w:t>
            </w:r>
            <w:r>
              <w:rPr>
                <w:rFonts w:hint="eastAsia" w:ascii="Times New Roman" w:hAnsi="Times New Roman" w:cs="Times New Roman"/>
                <w:color w:val="auto"/>
                <w:sz w:val="24"/>
                <w:szCs w:val="24"/>
                <w:highlight w:val="none"/>
                <w:lang w:val="en-US" w:eastAsia="zh-CN"/>
              </w:rPr>
              <w:t>SO</w:t>
            </w:r>
            <w:r>
              <w:rPr>
                <w:rFonts w:hint="eastAsia" w:ascii="Times New Roman" w:hAnsi="Times New Roman" w:cs="Times New Roman"/>
                <w:color w:val="auto"/>
                <w:sz w:val="24"/>
                <w:szCs w:val="24"/>
                <w:highlight w:val="none"/>
                <w:vertAlign w:val="subscript"/>
                <w:lang w:val="en-US" w:eastAsia="zh-CN"/>
              </w:rPr>
              <w:t>2</w:t>
            </w:r>
            <w:r>
              <w:rPr>
                <w:rFonts w:hint="default" w:ascii="Times New Roman" w:hAnsi="Times New Roman" w:eastAsia="宋体" w:cs="Times New Roman"/>
                <w:color w:val="auto"/>
                <w:spacing w:val="-3"/>
                <w:sz w:val="24"/>
                <w:szCs w:val="24"/>
                <w:highlight w:val="none"/>
              </w:rPr>
              <w:t>排放浓度</w:t>
            </w:r>
            <w:r>
              <w:rPr>
                <w:rFonts w:hint="default" w:ascii="Times New Roman" w:hAnsi="Times New Roman" w:eastAsia="宋体" w:cs="Times New Roman"/>
                <w:color w:val="auto"/>
                <w:spacing w:val="-3"/>
                <w:sz w:val="24"/>
                <w:szCs w:val="24"/>
                <w:highlight w:val="none"/>
                <w:lang w:val="en-US" w:eastAsia="zh-CN"/>
              </w:rPr>
              <w:t>能</w:t>
            </w:r>
            <w:r>
              <w:rPr>
                <w:rFonts w:hint="default" w:ascii="Times New Roman" w:hAnsi="Times New Roman" w:eastAsia="宋体" w:cs="Times New Roman"/>
                <w:color w:val="auto"/>
                <w:spacing w:val="-3"/>
                <w:sz w:val="24"/>
                <w:szCs w:val="24"/>
                <w:highlight w:val="none"/>
              </w:rPr>
              <w:t>满足</w:t>
            </w:r>
            <w:r>
              <w:rPr>
                <w:rFonts w:hint="default" w:ascii="Times New Roman" w:hAnsi="Times New Roman" w:eastAsia="宋体" w:cs="Times New Roman"/>
                <w:color w:val="auto"/>
                <w:sz w:val="24"/>
                <w:highlight w:val="none"/>
              </w:rPr>
              <w:t>《工业炉窑大气污染物排放标准》（GB9078-1996）中标准限值</w:t>
            </w:r>
            <w:r>
              <w:rPr>
                <w:rFonts w:hint="default" w:ascii="Times New Roman" w:hAnsi="Times New Roman" w:eastAsia="宋体" w:cs="Times New Roman"/>
                <w:color w:val="auto"/>
                <w:sz w:val="24"/>
                <w:szCs w:val="24"/>
                <w:highlight w:val="none"/>
                <w:lang w:val="en-US" w:eastAsia="zh-CN"/>
              </w:rPr>
              <w:t>，即：</w:t>
            </w:r>
            <w:r>
              <w:rPr>
                <w:rFonts w:hint="default" w:ascii="Times New Roman" w:hAnsi="Times New Roman" w:cs="Times New Roman"/>
                <w:color w:val="auto"/>
                <w:sz w:val="24"/>
                <w:szCs w:val="24"/>
                <w:highlight w:val="none"/>
                <w:lang w:val="en-US" w:eastAsia="zh-CN"/>
              </w:rPr>
              <w:t>SO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850</w:t>
            </w:r>
            <w:r>
              <w:rPr>
                <w:rFonts w:hint="default" w:ascii="Times New Roman" w:hAnsi="Times New Roman" w:eastAsia="宋体" w:cs="Times New Roman"/>
                <w:color w:val="auto"/>
                <w:sz w:val="24"/>
                <w:szCs w:val="24"/>
                <w:highlight w:val="none"/>
                <w:lang w:val="en-US" w:eastAsia="zh-CN"/>
              </w:rPr>
              <w:t>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cs="Times New Roman"/>
                <w:color w:val="auto"/>
                <w:spacing w:val="-7"/>
                <w:sz w:val="24"/>
                <w:szCs w:val="24"/>
                <w:highlight w:val="none"/>
                <w:lang w:eastAsia="zh-CN"/>
              </w:rPr>
              <w:t>；</w:t>
            </w:r>
            <w:r>
              <w:rPr>
                <w:rFonts w:hint="default" w:ascii="Times New Roman" w:hAnsi="Times New Roman" w:cs="Times New Roman"/>
                <w:color w:val="auto"/>
                <w:sz w:val="24"/>
                <w:szCs w:val="24"/>
                <w:highlight w:val="none"/>
                <w:lang w:val="en-US" w:eastAsia="zh-CN"/>
              </w:rPr>
              <w:t>DA005</w:t>
            </w:r>
            <w:r>
              <w:rPr>
                <w:rFonts w:hint="default" w:ascii="Times New Roman" w:hAnsi="Times New Roman" w:eastAsia="宋体" w:cs="Times New Roman"/>
                <w:color w:val="auto"/>
                <w:spacing w:val="-9"/>
                <w:sz w:val="24"/>
                <w:szCs w:val="24"/>
                <w:highlight w:val="none"/>
                <w:lang w:val="en-US" w:eastAsia="zh-CN"/>
              </w:rPr>
              <w:t>排气筒中</w:t>
            </w:r>
            <w:r>
              <w:rPr>
                <w:rFonts w:hint="default" w:ascii="Times New Roman" w:hAnsi="Times New Roman" w:cs="Times New Roman"/>
                <w:color w:val="auto"/>
                <w:sz w:val="24"/>
                <w:szCs w:val="24"/>
                <w:highlight w:val="none"/>
                <w:lang w:val="en-US" w:eastAsia="zh-CN"/>
              </w:rPr>
              <w:t>NOx</w:t>
            </w:r>
            <w:r>
              <w:rPr>
                <w:rFonts w:hint="default" w:ascii="Times New Roman" w:hAnsi="Times New Roman" w:eastAsia="宋体" w:cs="Times New Roman"/>
                <w:color w:val="auto"/>
                <w:spacing w:val="-3"/>
                <w:sz w:val="24"/>
                <w:szCs w:val="24"/>
                <w:highlight w:val="none"/>
              </w:rPr>
              <w:t>排放浓度</w:t>
            </w:r>
            <w:r>
              <w:rPr>
                <w:rFonts w:hint="default" w:ascii="Times New Roman" w:hAnsi="Times New Roman" w:eastAsia="宋体" w:cs="Times New Roman"/>
                <w:color w:val="auto"/>
                <w:spacing w:val="-3"/>
                <w:sz w:val="24"/>
                <w:szCs w:val="24"/>
                <w:highlight w:val="none"/>
                <w:lang w:val="en-US" w:eastAsia="zh-CN"/>
              </w:rPr>
              <w:t>能</w:t>
            </w:r>
            <w:r>
              <w:rPr>
                <w:rFonts w:hint="default" w:ascii="Times New Roman" w:hAnsi="Times New Roman" w:eastAsia="宋体" w:cs="Times New Roman"/>
                <w:color w:val="auto"/>
                <w:spacing w:val="-3"/>
                <w:sz w:val="24"/>
                <w:szCs w:val="24"/>
                <w:highlight w:val="none"/>
              </w:rPr>
              <w:t>满足</w:t>
            </w:r>
            <w:r>
              <w:rPr>
                <w:rFonts w:hint="default" w:ascii="Times New Roman" w:hAnsi="Times New Roman" w:cs="Times New Roman"/>
                <w:color w:val="auto"/>
                <w:sz w:val="24"/>
                <w:szCs w:val="24"/>
              </w:rPr>
              <w:t>《大气污染物综合排放标准》（GB16297-1996）中表2标准</w:t>
            </w:r>
            <w:r>
              <w:rPr>
                <w:rFonts w:hint="default" w:ascii="Times New Roman" w:hAnsi="Times New Roman" w:eastAsia="宋体" w:cs="Times New Roman"/>
                <w:color w:val="auto"/>
                <w:sz w:val="24"/>
                <w:szCs w:val="24"/>
                <w:highlight w:val="none"/>
                <w:lang w:val="en-US" w:eastAsia="zh-CN"/>
              </w:rPr>
              <w:t>，即：</w:t>
            </w:r>
            <w:r>
              <w:rPr>
                <w:rFonts w:hint="default" w:ascii="Times New Roman" w:hAnsi="Times New Roman" w:cs="Times New Roman"/>
                <w:color w:val="auto"/>
                <w:sz w:val="24"/>
                <w:szCs w:val="24"/>
                <w:highlight w:val="none"/>
                <w:lang w:val="en-US" w:eastAsia="zh-CN"/>
              </w:rPr>
              <w:t>NOx</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240</w:t>
            </w:r>
            <w:r>
              <w:rPr>
                <w:rFonts w:hint="default" w:ascii="Times New Roman" w:hAnsi="Times New Roman" w:eastAsia="宋体" w:cs="Times New Roman"/>
                <w:color w:val="auto"/>
                <w:sz w:val="24"/>
                <w:szCs w:val="24"/>
                <w:highlight w:val="none"/>
                <w:lang w:val="en-US" w:eastAsia="zh-CN"/>
              </w:rPr>
              <w:t>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lang w:val="en-US" w:eastAsia="zh-CN"/>
              </w:rPr>
              <w:t>DA005</w:t>
            </w:r>
            <w:r>
              <w:rPr>
                <w:rFonts w:hint="default" w:ascii="Times New Roman" w:hAnsi="Times New Roman" w:eastAsia="宋体" w:cs="Times New Roman"/>
                <w:color w:val="auto"/>
                <w:spacing w:val="-9"/>
                <w:sz w:val="24"/>
                <w:szCs w:val="24"/>
                <w:highlight w:val="none"/>
                <w:lang w:val="en-US" w:eastAsia="zh-CN"/>
              </w:rPr>
              <w:t>排气筒中</w:t>
            </w:r>
            <w:r>
              <w:rPr>
                <w:rFonts w:hint="default" w:ascii="Times New Roman" w:hAnsi="Times New Roman" w:cs="Times New Roman"/>
                <w:color w:val="auto"/>
                <w:sz w:val="24"/>
                <w:szCs w:val="24"/>
                <w:highlight w:val="none"/>
                <w:lang w:val="en-US" w:eastAsia="zh-CN"/>
              </w:rPr>
              <w:t>氨</w:t>
            </w:r>
            <w:r>
              <w:rPr>
                <w:rFonts w:hint="default" w:ascii="Times New Roman" w:hAnsi="Times New Roman" w:eastAsia="宋体" w:cs="Times New Roman"/>
                <w:color w:val="auto"/>
                <w:spacing w:val="-3"/>
                <w:sz w:val="24"/>
                <w:szCs w:val="24"/>
                <w:highlight w:val="none"/>
              </w:rPr>
              <w:t>排放浓度</w:t>
            </w:r>
            <w:r>
              <w:rPr>
                <w:rFonts w:hint="default" w:ascii="Times New Roman" w:hAnsi="Times New Roman" w:eastAsia="宋体" w:cs="Times New Roman"/>
                <w:color w:val="auto"/>
                <w:spacing w:val="-3"/>
                <w:sz w:val="24"/>
                <w:szCs w:val="24"/>
                <w:highlight w:val="none"/>
                <w:lang w:val="en-US" w:eastAsia="zh-CN"/>
              </w:rPr>
              <w:t>能</w:t>
            </w:r>
            <w:r>
              <w:rPr>
                <w:rFonts w:hint="default" w:ascii="Times New Roman" w:hAnsi="Times New Roman" w:eastAsia="宋体" w:cs="Times New Roman"/>
                <w:color w:val="auto"/>
                <w:spacing w:val="-3"/>
                <w:sz w:val="24"/>
                <w:szCs w:val="24"/>
                <w:highlight w:val="none"/>
              </w:rPr>
              <w:t>满足</w:t>
            </w:r>
            <w:r>
              <w:rPr>
                <w:rFonts w:hint="default" w:ascii="Times New Roman" w:hAnsi="Times New Roman" w:cs="Times New Roman"/>
                <w:color w:val="auto"/>
                <w:sz w:val="24"/>
              </w:rPr>
              <w:t>《恶臭污染物排放标准》（GB14554-93）表2标准限值及《火电厂烟气脱硝工程技术规范选择性非催化还原法》（HJ563-2010）氨逃逸浓度控制要求</w:t>
            </w:r>
            <w:r>
              <w:rPr>
                <w:rFonts w:hint="default" w:ascii="Times New Roman" w:hAnsi="Times New Roman" w:eastAsia="宋体" w:cs="Times New Roman"/>
                <w:color w:val="auto"/>
                <w:sz w:val="24"/>
                <w:szCs w:val="24"/>
                <w:highlight w:val="none"/>
                <w:lang w:val="en-US" w:eastAsia="zh-CN"/>
              </w:rPr>
              <w:t>，即：</w:t>
            </w:r>
            <w:r>
              <w:rPr>
                <w:rFonts w:hint="default" w:ascii="Times New Roman" w:hAnsi="Times New Roman" w:cs="Times New Roman"/>
                <w:color w:val="auto"/>
                <w:sz w:val="24"/>
                <w:szCs w:val="24"/>
                <w:highlight w:val="none"/>
                <w:lang w:val="en-US" w:eastAsia="zh-CN"/>
              </w:rPr>
              <w:t>氨</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lang w:val="en-US" w:eastAsia="zh-CN"/>
              </w:rPr>
              <w:t>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w:t>
            </w:r>
          </w:p>
          <w:p w14:paraId="757CEDF8">
            <w:pPr>
              <w:pStyle w:val="16"/>
              <w:keepNext w:val="0"/>
              <w:keepLines w:val="0"/>
              <w:pageBreakBefore w:val="0"/>
              <w:widowControl w:val="0"/>
              <w:kinsoku/>
              <w:wordWrap/>
              <w:overflowPunct/>
              <w:topLinePunct w:val="0"/>
              <w:autoSpaceDE/>
              <w:autoSpaceDN/>
              <w:bidi w:val="0"/>
              <w:adjustRightInd/>
              <w:snapToGrid/>
              <w:spacing w:line="351"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为了进一步降低生产废气排放对周围环境空气的影响，必须杜绝项目废气的非正常排放，本次评价提出以下建议措施：</w:t>
            </w:r>
          </w:p>
          <w:p w14:paraId="5FDC73BC">
            <w:pPr>
              <w:pStyle w:val="16"/>
              <w:keepNext w:val="0"/>
              <w:keepLines w:val="0"/>
              <w:pageBreakBefore w:val="0"/>
              <w:widowControl w:val="0"/>
              <w:numPr>
                <w:ilvl w:val="0"/>
                <w:numId w:val="0"/>
              </w:numPr>
              <w:kinsoku/>
              <w:wordWrap/>
              <w:overflowPunct/>
              <w:topLinePunct w:val="0"/>
              <w:autoSpaceDE/>
              <w:autoSpaceDN/>
              <w:bidi w:val="0"/>
              <w:adjustRightInd/>
              <w:snapToGrid/>
              <w:spacing w:line="351"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加强管理，明确岗位责任制，定期检查、维修、保养设备及构件，确保各种工艺、电气、设备的正常运转。</w:t>
            </w:r>
          </w:p>
          <w:p w14:paraId="290B0FC8">
            <w:pPr>
              <w:keepNext w:val="0"/>
              <w:keepLines w:val="0"/>
              <w:pageBreakBefore w:val="0"/>
              <w:widowControl w:val="0"/>
              <w:kinsoku/>
              <w:wordWrap/>
              <w:overflowPunct/>
              <w:topLinePunct w:val="0"/>
              <w:autoSpaceDE/>
              <w:autoSpaceDN/>
              <w:bidi w:val="0"/>
              <w:adjustRightInd w:val="0"/>
              <w:snapToGrid w:val="0"/>
              <w:spacing w:line="351"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在必要位置设置监控、预警等装置，做到及时发现，及时解决。若出现非正常情况，应及时停产维修，减少废气对大气环境的影响。</w:t>
            </w:r>
          </w:p>
          <w:p w14:paraId="7C70011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b/>
                <w:color w:val="auto"/>
                <w:sz w:val="24"/>
                <w:szCs w:val="24"/>
                <w:highlight w:val="none"/>
                <w:lang w:val="en-US" w:eastAsia="zh-CN"/>
              </w:rPr>
              <w:t>废气环境</w:t>
            </w:r>
            <w:r>
              <w:rPr>
                <w:rFonts w:hint="default" w:ascii="Times New Roman" w:hAnsi="Times New Roman" w:eastAsia="宋体" w:cs="Times New Roman"/>
                <w:b/>
                <w:color w:val="auto"/>
                <w:sz w:val="24"/>
                <w:szCs w:val="24"/>
                <w:highlight w:val="none"/>
              </w:rPr>
              <w:t>影响分析</w:t>
            </w:r>
          </w:p>
          <w:p w14:paraId="0EF65B4C">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（1）生产废气</w:t>
            </w:r>
          </w:p>
          <w:p w14:paraId="4174A590">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1）大气影响分析</w:t>
            </w:r>
          </w:p>
          <w:p w14:paraId="26F6EFBF">
            <w:pPr>
              <w:widowControl/>
              <w:spacing w:line="360" w:lineRule="auto"/>
              <w:ind w:firstLine="480" w:firstLineChars="200"/>
              <w:jc w:val="left"/>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①有组织废气达标性分析</w:t>
            </w:r>
          </w:p>
          <w:p w14:paraId="5C0B57FE">
            <w:pPr>
              <w:pStyle w:val="90"/>
              <w:keepNext w:val="0"/>
              <w:keepLines w:val="0"/>
              <w:pageBreakBefore w:val="0"/>
              <w:kinsoku/>
              <w:wordWrap/>
              <w:overflowPunct/>
              <w:topLinePunct w:val="0"/>
              <w:autoSpaceDE/>
              <w:autoSpaceDN/>
              <w:bidi w:val="0"/>
              <w:spacing w:line="336" w:lineRule="auto"/>
              <w:ind w:firstLine="480"/>
              <w:textAlignment w:val="auto"/>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kern w:val="0"/>
                <w:highlight w:val="none"/>
              </w:rPr>
              <w:t>根据废气计算结果对</w:t>
            </w:r>
            <w:r>
              <w:rPr>
                <w:rFonts w:hint="default" w:ascii="Times New Roman" w:hAnsi="Times New Roman" w:eastAsia="宋体" w:cs="Times New Roman"/>
                <w:bCs/>
                <w:color w:val="auto"/>
                <w:kern w:val="0"/>
                <w:sz w:val="24"/>
                <w:szCs w:val="24"/>
                <w:highlight w:val="none"/>
              </w:rPr>
              <w:t>DA001</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2</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3</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4</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6</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7</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8</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9</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w:t>
            </w:r>
            <w:r>
              <w:rPr>
                <w:rFonts w:hint="default" w:ascii="Times New Roman" w:hAnsi="Times New Roman" w:eastAsia="宋体" w:cs="Times New Roman"/>
                <w:bCs/>
                <w:color w:val="auto"/>
                <w:kern w:val="0"/>
                <w:sz w:val="24"/>
                <w:szCs w:val="24"/>
                <w:highlight w:val="none"/>
                <w:lang w:val="en-US" w:eastAsia="zh-CN"/>
              </w:rPr>
              <w:t>10</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DA01</w:t>
            </w:r>
            <w:r>
              <w:rPr>
                <w:rFonts w:hint="default" w:ascii="Times New Roman" w:hAnsi="Times New Roman" w:eastAsia="宋体" w:cs="Times New Roman"/>
                <w:bCs/>
                <w:color w:val="auto"/>
                <w:kern w:val="0"/>
                <w:sz w:val="24"/>
                <w:szCs w:val="24"/>
                <w:highlight w:val="none"/>
                <w:lang w:val="en-US" w:eastAsia="zh-CN"/>
              </w:rPr>
              <w:t>1</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w:t>
            </w:r>
            <w:r>
              <w:rPr>
                <w:rFonts w:hint="default" w:ascii="Times New Roman" w:hAnsi="Times New Roman" w:eastAsia="宋体" w:cs="Times New Roman"/>
                <w:bCs/>
                <w:color w:val="auto"/>
                <w:kern w:val="0"/>
                <w:sz w:val="24"/>
                <w:szCs w:val="24"/>
                <w:highlight w:val="none"/>
                <w:lang w:val="en-US" w:eastAsia="zh-CN"/>
              </w:rPr>
              <w:t>12</w:t>
            </w:r>
            <w:r>
              <w:rPr>
                <w:rFonts w:hint="eastAsia" w:ascii="Times New Roman" w:hAnsi="Times New Roman" w:cs="Times New Roman"/>
                <w:bCs/>
                <w:color w:val="auto"/>
                <w:kern w:val="0"/>
                <w:sz w:val="24"/>
                <w:szCs w:val="24"/>
                <w:highlight w:val="none"/>
                <w:lang w:val="en-US" w:eastAsia="zh-CN"/>
              </w:rPr>
              <w:t>、DA013、DA014、DA015、DA016、DA017、DA018、DA019</w:t>
            </w:r>
            <w:r>
              <w:rPr>
                <w:rFonts w:hint="default" w:ascii="Times New Roman" w:hAnsi="Times New Roman" w:eastAsia="宋体" w:cs="Times New Roman"/>
                <w:bCs/>
                <w:color w:val="auto"/>
                <w:kern w:val="0"/>
                <w:highlight w:val="none"/>
              </w:rPr>
              <w:t>有组织废气进行达标判定。</w:t>
            </w:r>
            <w:r>
              <w:rPr>
                <w:rFonts w:hint="default" w:ascii="Times New Roman" w:hAnsi="Times New Roman" w:eastAsia="宋体" w:cs="Times New Roman"/>
                <w:bCs/>
                <w:color w:val="auto"/>
                <w:szCs w:val="24"/>
                <w:highlight w:val="none"/>
              </w:rPr>
              <w:t>项目有组织生产废气达标情况详见下表</w:t>
            </w:r>
            <w:r>
              <w:rPr>
                <w:rFonts w:hint="default" w:ascii="Times New Roman" w:hAnsi="Times New Roman" w:eastAsia="宋体" w:cs="Times New Roman"/>
                <w:bCs/>
                <w:color w:val="auto"/>
                <w:szCs w:val="24"/>
                <w:highlight w:val="none"/>
                <w:lang w:val="en-US" w:eastAsia="zh-CN"/>
              </w:rPr>
              <w:t>4-</w:t>
            </w:r>
            <w:r>
              <w:rPr>
                <w:rFonts w:hint="eastAsia" w:cs="Times New Roman"/>
                <w:bCs/>
                <w:color w:val="auto"/>
                <w:szCs w:val="24"/>
                <w:highlight w:val="none"/>
                <w:lang w:val="en-US" w:eastAsia="zh-CN"/>
              </w:rPr>
              <w:t>23</w:t>
            </w:r>
            <w:r>
              <w:rPr>
                <w:rFonts w:hint="default" w:ascii="Times New Roman" w:hAnsi="Times New Roman" w:eastAsia="宋体" w:cs="Times New Roman"/>
                <w:bCs/>
                <w:color w:val="auto"/>
                <w:szCs w:val="24"/>
                <w:highlight w:val="none"/>
              </w:rPr>
              <w:t>所示。</w:t>
            </w:r>
          </w:p>
          <w:p w14:paraId="5FA75ED5">
            <w:pPr>
              <w:pStyle w:val="26"/>
              <w:spacing w:after="0"/>
              <w:ind w:left="0" w:leftChars="0" w:firstLine="0" w:firstLineChars="0"/>
              <w:jc w:val="center"/>
              <w:rPr>
                <w:rFonts w:hint="default" w:ascii="Times New Roman" w:hAnsi="Times New Roman" w:eastAsia="宋体" w:cs="Times New Roman"/>
                <w:b/>
                <w:bCs w:val="0"/>
                <w:color w:val="auto"/>
                <w:spacing w:val="0"/>
                <w:kern w:val="0"/>
                <w:sz w:val="21"/>
                <w:szCs w:val="21"/>
                <w:highlight w:val="none"/>
                <w:lang w:bidi="ar"/>
              </w:rPr>
            </w:pPr>
            <w:r>
              <w:rPr>
                <w:rFonts w:hint="default" w:ascii="Times New Roman" w:hAnsi="Times New Roman" w:eastAsia="宋体" w:cs="Times New Roman"/>
                <w:b/>
                <w:bCs w:val="0"/>
                <w:color w:val="auto"/>
                <w:spacing w:val="0"/>
                <w:kern w:val="0"/>
                <w:sz w:val="21"/>
                <w:szCs w:val="21"/>
                <w:highlight w:val="none"/>
                <w:lang w:bidi="ar"/>
              </w:rPr>
              <w:t>表</w:t>
            </w:r>
            <w:r>
              <w:rPr>
                <w:rFonts w:hint="default" w:ascii="Times New Roman" w:hAnsi="Times New Roman" w:eastAsia="宋体" w:cs="Times New Roman"/>
                <w:b/>
                <w:bCs w:val="0"/>
                <w:color w:val="auto"/>
                <w:spacing w:val="0"/>
                <w:kern w:val="0"/>
                <w:sz w:val="21"/>
                <w:szCs w:val="21"/>
                <w:highlight w:val="none"/>
                <w:lang w:val="en-US" w:eastAsia="zh-CN" w:bidi="ar"/>
              </w:rPr>
              <w:t>4-</w:t>
            </w:r>
            <w:r>
              <w:rPr>
                <w:rFonts w:hint="eastAsia" w:cs="Times New Roman"/>
                <w:b/>
                <w:bCs w:val="0"/>
                <w:color w:val="auto"/>
                <w:spacing w:val="0"/>
                <w:kern w:val="0"/>
                <w:sz w:val="21"/>
                <w:szCs w:val="21"/>
                <w:highlight w:val="none"/>
                <w:lang w:val="en-US" w:eastAsia="zh-CN" w:bidi="ar"/>
              </w:rPr>
              <w:t>23</w:t>
            </w:r>
            <w:r>
              <w:rPr>
                <w:rFonts w:hint="default" w:ascii="Times New Roman" w:hAnsi="Times New Roman" w:eastAsia="宋体" w:cs="Times New Roman"/>
                <w:b/>
                <w:bCs w:val="0"/>
                <w:color w:val="auto"/>
                <w:spacing w:val="0"/>
                <w:kern w:val="0"/>
                <w:sz w:val="21"/>
                <w:szCs w:val="21"/>
                <w:highlight w:val="none"/>
                <w:lang w:bidi="ar"/>
              </w:rPr>
              <w:t xml:space="preserve">  达标情况分析表</w:t>
            </w:r>
          </w:p>
          <w:tbl>
            <w:tblPr>
              <w:tblStyle w:val="27"/>
              <w:tblW w:w="8470"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42"/>
              <w:gridCol w:w="849"/>
              <w:gridCol w:w="1219"/>
              <w:gridCol w:w="1159"/>
              <w:gridCol w:w="637"/>
              <w:gridCol w:w="1219"/>
              <w:gridCol w:w="899"/>
              <w:gridCol w:w="1219"/>
              <w:gridCol w:w="427"/>
            </w:tblGrid>
            <w:tr w14:paraId="1988EEF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 w:type="dxa"/>
                  <w:vMerge w:val="restart"/>
                  <w:tcBorders>
                    <w:tl2br w:val="nil"/>
                    <w:tr2bl w:val="nil"/>
                  </w:tcBorders>
                  <w:noWrap w:val="0"/>
                  <w:vAlign w:val="center"/>
                </w:tcPr>
                <w:p w14:paraId="119C329D">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工程</w:t>
                  </w:r>
                </w:p>
              </w:tc>
              <w:tc>
                <w:tcPr>
                  <w:tcW w:w="849" w:type="dxa"/>
                  <w:vMerge w:val="restart"/>
                  <w:tcBorders>
                    <w:tl2br w:val="nil"/>
                    <w:tr2bl w:val="nil"/>
                  </w:tcBorders>
                  <w:noWrap w:val="0"/>
                  <w:vAlign w:val="center"/>
                </w:tcPr>
                <w:p w14:paraId="78C5B28F">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污染因子</w:t>
                  </w:r>
                </w:p>
              </w:tc>
              <w:tc>
                <w:tcPr>
                  <w:tcW w:w="2378" w:type="dxa"/>
                  <w:gridSpan w:val="2"/>
                  <w:tcBorders>
                    <w:tl2br w:val="nil"/>
                    <w:tr2bl w:val="nil"/>
                  </w:tcBorders>
                  <w:noWrap w:val="0"/>
                  <w:vAlign w:val="center"/>
                </w:tcPr>
                <w:p w14:paraId="7D3BE5FA">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产生情况</w:t>
                  </w:r>
                </w:p>
              </w:tc>
              <w:tc>
                <w:tcPr>
                  <w:tcW w:w="637" w:type="dxa"/>
                  <w:vMerge w:val="restart"/>
                  <w:tcBorders>
                    <w:tl2br w:val="nil"/>
                    <w:tr2bl w:val="nil"/>
                  </w:tcBorders>
                  <w:noWrap w:val="0"/>
                  <w:vAlign w:val="center"/>
                </w:tcPr>
                <w:p w14:paraId="31BBE25C">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处理效率%</w:t>
                  </w:r>
                </w:p>
              </w:tc>
              <w:tc>
                <w:tcPr>
                  <w:tcW w:w="2118" w:type="dxa"/>
                  <w:gridSpan w:val="2"/>
                  <w:tcBorders>
                    <w:tl2br w:val="nil"/>
                    <w:tr2bl w:val="nil"/>
                  </w:tcBorders>
                  <w:noWrap w:val="0"/>
                  <w:vAlign w:val="center"/>
                </w:tcPr>
                <w:p w14:paraId="1C9E13ED">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排放情况</w:t>
                  </w:r>
                </w:p>
              </w:tc>
              <w:tc>
                <w:tcPr>
                  <w:tcW w:w="1219" w:type="dxa"/>
                  <w:vMerge w:val="restart"/>
                  <w:tcBorders>
                    <w:tl2br w:val="nil"/>
                    <w:tr2bl w:val="nil"/>
                  </w:tcBorders>
                  <w:noWrap w:val="0"/>
                  <w:vAlign w:val="center"/>
                </w:tcPr>
                <w:p w14:paraId="0EAC07B7">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标准值（mg/m</w:t>
                  </w:r>
                  <w:r>
                    <w:rPr>
                      <w:rFonts w:hint="default" w:ascii="Times New Roman" w:hAnsi="Times New Roman" w:eastAsia="宋体" w:cs="Times New Roman"/>
                      <w:b/>
                      <w:bCs w:val="0"/>
                      <w:color w:val="auto"/>
                      <w:szCs w:val="21"/>
                      <w:highlight w:val="none"/>
                      <w:vertAlign w:val="superscript"/>
                    </w:rPr>
                    <w:t>3</w:t>
                  </w:r>
                  <w:r>
                    <w:rPr>
                      <w:rFonts w:hint="default" w:ascii="Times New Roman" w:hAnsi="Times New Roman" w:eastAsia="宋体" w:cs="Times New Roman"/>
                      <w:b/>
                      <w:bCs w:val="0"/>
                      <w:color w:val="auto"/>
                      <w:szCs w:val="21"/>
                      <w:highlight w:val="none"/>
                    </w:rPr>
                    <w:t>）</w:t>
                  </w:r>
                </w:p>
              </w:tc>
              <w:tc>
                <w:tcPr>
                  <w:tcW w:w="427" w:type="dxa"/>
                  <w:vMerge w:val="restart"/>
                  <w:tcBorders>
                    <w:tl2br w:val="nil"/>
                    <w:tr2bl w:val="nil"/>
                  </w:tcBorders>
                  <w:noWrap w:val="0"/>
                  <w:vAlign w:val="center"/>
                </w:tcPr>
                <w:p w14:paraId="4DE64B68">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达标情况</w:t>
                  </w:r>
                </w:p>
              </w:tc>
            </w:tr>
            <w:tr w14:paraId="30B6FCF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 w:type="dxa"/>
                  <w:vMerge w:val="continue"/>
                  <w:tcBorders>
                    <w:tl2br w:val="nil"/>
                    <w:tr2bl w:val="nil"/>
                  </w:tcBorders>
                  <w:noWrap w:val="0"/>
                  <w:vAlign w:val="center"/>
                </w:tcPr>
                <w:p w14:paraId="27BB49EB">
                  <w:pPr>
                    <w:jc w:val="center"/>
                    <w:rPr>
                      <w:rFonts w:hint="default" w:ascii="Times New Roman" w:hAnsi="Times New Roman" w:eastAsia="宋体" w:cs="Times New Roman"/>
                      <w:b/>
                      <w:bCs w:val="0"/>
                      <w:color w:val="auto"/>
                      <w:szCs w:val="21"/>
                      <w:highlight w:val="none"/>
                    </w:rPr>
                  </w:pPr>
                </w:p>
              </w:tc>
              <w:tc>
                <w:tcPr>
                  <w:tcW w:w="849" w:type="dxa"/>
                  <w:vMerge w:val="continue"/>
                  <w:tcBorders>
                    <w:tl2br w:val="nil"/>
                    <w:tr2bl w:val="nil"/>
                  </w:tcBorders>
                  <w:noWrap w:val="0"/>
                  <w:vAlign w:val="center"/>
                </w:tcPr>
                <w:p w14:paraId="4598999B">
                  <w:pPr>
                    <w:jc w:val="center"/>
                    <w:rPr>
                      <w:rFonts w:hint="default" w:ascii="Times New Roman" w:hAnsi="Times New Roman" w:eastAsia="宋体" w:cs="Times New Roman"/>
                      <w:b/>
                      <w:bCs w:val="0"/>
                      <w:color w:val="auto"/>
                      <w:szCs w:val="21"/>
                      <w:highlight w:val="none"/>
                    </w:rPr>
                  </w:pPr>
                </w:p>
              </w:tc>
              <w:tc>
                <w:tcPr>
                  <w:tcW w:w="1219" w:type="dxa"/>
                  <w:tcBorders>
                    <w:tl2br w:val="nil"/>
                    <w:tr2bl w:val="nil"/>
                  </w:tcBorders>
                  <w:noWrap w:val="0"/>
                  <w:vAlign w:val="center"/>
                </w:tcPr>
                <w:p w14:paraId="135303C0">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产生浓度（mg/m</w:t>
                  </w:r>
                  <w:r>
                    <w:rPr>
                      <w:rFonts w:hint="default" w:ascii="Times New Roman" w:hAnsi="Times New Roman" w:eastAsia="宋体" w:cs="Times New Roman"/>
                      <w:b/>
                      <w:bCs w:val="0"/>
                      <w:color w:val="auto"/>
                      <w:szCs w:val="21"/>
                      <w:highlight w:val="none"/>
                      <w:vertAlign w:val="superscript"/>
                    </w:rPr>
                    <w:t>3</w:t>
                  </w:r>
                  <w:r>
                    <w:rPr>
                      <w:rFonts w:hint="default" w:ascii="Times New Roman" w:hAnsi="Times New Roman" w:eastAsia="宋体" w:cs="Times New Roman"/>
                      <w:b/>
                      <w:bCs w:val="0"/>
                      <w:color w:val="auto"/>
                      <w:szCs w:val="21"/>
                      <w:highlight w:val="none"/>
                    </w:rPr>
                    <w:t>）</w:t>
                  </w:r>
                </w:p>
              </w:tc>
              <w:tc>
                <w:tcPr>
                  <w:tcW w:w="1159" w:type="dxa"/>
                  <w:tcBorders>
                    <w:tl2br w:val="nil"/>
                    <w:tr2bl w:val="nil"/>
                  </w:tcBorders>
                  <w:noWrap w:val="0"/>
                  <w:vAlign w:val="center"/>
                </w:tcPr>
                <w:p w14:paraId="2571478B">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产生量（t/a）</w:t>
                  </w:r>
                </w:p>
              </w:tc>
              <w:tc>
                <w:tcPr>
                  <w:tcW w:w="637" w:type="dxa"/>
                  <w:vMerge w:val="continue"/>
                  <w:tcBorders>
                    <w:tl2br w:val="nil"/>
                    <w:tr2bl w:val="nil"/>
                  </w:tcBorders>
                  <w:noWrap w:val="0"/>
                  <w:vAlign w:val="center"/>
                </w:tcPr>
                <w:p w14:paraId="07197E53">
                  <w:pPr>
                    <w:jc w:val="center"/>
                    <w:rPr>
                      <w:rFonts w:hint="default" w:ascii="Times New Roman" w:hAnsi="Times New Roman" w:eastAsia="宋体" w:cs="Times New Roman"/>
                      <w:b/>
                      <w:bCs w:val="0"/>
                      <w:color w:val="auto"/>
                      <w:szCs w:val="21"/>
                      <w:highlight w:val="none"/>
                    </w:rPr>
                  </w:pPr>
                </w:p>
              </w:tc>
              <w:tc>
                <w:tcPr>
                  <w:tcW w:w="1219" w:type="dxa"/>
                  <w:tcBorders>
                    <w:tl2br w:val="nil"/>
                    <w:tr2bl w:val="nil"/>
                  </w:tcBorders>
                  <w:noWrap w:val="0"/>
                  <w:vAlign w:val="center"/>
                </w:tcPr>
                <w:p w14:paraId="7F00F2E8">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排放浓度（mg/m</w:t>
                  </w:r>
                  <w:r>
                    <w:rPr>
                      <w:rFonts w:hint="default" w:ascii="Times New Roman" w:hAnsi="Times New Roman" w:eastAsia="宋体" w:cs="Times New Roman"/>
                      <w:b/>
                      <w:bCs w:val="0"/>
                      <w:color w:val="auto"/>
                      <w:szCs w:val="21"/>
                      <w:highlight w:val="none"/>
                      <w:vertAlign w:val="superscript"/>
                    </w:rPr>
                    <w:t>3</w:t>
                  </w:r>
                  <w:r>
                    <w:rPr>
                      <w:rFonts w:hint="default" w:ascii="Times New Roman" w:hAnsi="Times New Roman" w:eastAsia="宋体" w:cs="Times New Roman"/>
                      <w:b/>
                      <w:bCs w:val="0"/>
                      <w:color w:val="auto"/>
                      <w:szCs w:val="21"/>
                      <w:highlight w:val="none"/>
                    </w:rPr>
                    <w:t>）</w:t>
                  </w:r>
                </w:p>
              </w:tc>
              <w:tc>
                <w:tcPr>
                  <w:tcW w:w="899" w:type="dxa"/>
                  <w:tcBorders>
                    <w:tl2br w:val="nil"/>
                    <w:tr2bl w:val="nil"/>
                  </w:tcBorders>
                  <w:noWrap w:val="0"/>
                  <w:vAlign w:val="center"/>
                </w:tcPr>
                <w:p w14:paraId="7334C462">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排放量（t/a）</w:t>
                  </w:r>
                </w:p>
              </w:tc>
              <w:tc>
                <w:tcPr>
                  <w:tcW w:w="1219" w:type="dxa"/>
                  <w:vMerge w:val="continue"/>
                  <w:tcBorders>
                    <w:tl2br w:val="nil"/>
                    <w:tr2bl w:val="nil"/>
                  </w:tcBorders>
                  <w:noWrap w:val="0"/>
                  <w:vAlign w:val="center"/>
                </w:tcPr>
                <w:p w14:paraId="5393E2A5">
                  <w:pPr>
                    <w:jc w:val="center"/>
                    <w:rPr>
                      <w:rFonts w:hint="default" w:ascii="Times New Roman" w:hAnsi="Times New Roman" w:eastAsia="宋体" w:cs="Times New Roman"/>
                      <w:b/>
                      <w:bCs w:val="0"/>
                      <w:color w:val="auto"/>
                      <w:szCs w:val="21"/>
                      <w:highlight w:val="none"/>
                    </w:rPr>
                  </w:pPr>
                </w:p>
              </w:tc>
              <w:tc>
                <w:tcPr>
                  <w:tcW w:w="427" w:type="dxa"/>
                  <w:vMerge w:val="continue"/>
                  <w:tcBorders>
                    <w:tl2br w:val="nil"/>
                    <w:tr2bl w:val="nil"/>
                  </w:tcBorders>
                  <w:noWrap w:val="0"/>
                  <w:vAlign w:val="center"/>
                </w:tcPr>
                <w:p w14:paraId="6DBC1E07">
                  <w:pPr>
                    <w:jc w:val="center"/>
                    <w:rPr>
                      <w:rFonts w:hint="default" w:ascii="Times New Roman" w:hAnsi="Times New Roman" w:eastAsia="宋体" w:cs="Times New Roman"/>
                      <w:b/>
                      <w:bCs w:val="0"/>
                      <w:color w:val="auto"/>
                      <w:szCs w:val="21"/>
                      <w:highlight w:val="none"/>
                    </w:rPr>
                  </w:pPr>
                </w:p>
              </w:tc>
            </w:tr>
            <w:tr w14:paraId="7E5A926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2" w:type="dxa"/>
                  <w:tcBorders>
                    <w:tl2br w:val="nil"/>
                    <w:tr2bl w:val="nil"/>
                  </w:tcBorders>
                  <w:noWrap w:val="0"/>
                  <w:vAlign w:val="center"/>
                </w:tcPr>
                <w:p w14:paraId="7458AF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w:t>
                  </w:r>
                </w:p>
                <w:p w14:paraId="5DB5D1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49" w:type="dxa"/>
                  <w:tcBorders>
                    <w:tl2br w:val="nil"/>
                    <w:tr2bl w:val="nil"/>
                  </w:tcBorders>
                  <w:noWrap w:val="0"/>
                  <w:vAlign w:val="center"/>
                </w:tcPr>
                <w:p w14:paraId="35710C4F">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19" w:type="dxa"/>
                  <w:tcBorders>
                    <w:tl2br w:val="nil"/>
                    <w:tr2bl w:val="nil"/>
                  </w:tcBorders>
                  <w:noWrap w:val="0"/>
                  <w:vAlign w:val="center"/>
                </w:tcPr>
                <w:p w14:paraId="4826DB2A">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496.51</w:t>
                  </w:r>
                </w:p>
              </w:tc>
              <w:tc>
                <w:tcPr>
                  <w:tcW w:w="1159" w:type="dxa"/>
                  <w:tcBorders>
                    <w:tl2br w:val="nil"/>
                    <w:tr2bl w:val="nil"/>
                  </w:tcBorders>
                  <w:noWrap w:val="0"/>
                  <w:vAlign w:val="center"/>
                </w:tcPr>
                <w:p w14:paraId="1033D02A">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24.65</w:t>
                  </w:r>
                </w:p>
              </w:tc>
              <w:tc>
                <w:tcPr>
                  <w:tcW w:w="637" w:type="dxa"/>
                  <w:tcBorders>
                    <w:tl2br w:val="nil"/>
                    <w:tr2bl w:val="nil"/>
                  </w:tcBorders>
                  <w:noWrap w:val="0"/>
                  <w:vAlign w:val="center"/>
                </w:tcPr>
                <w:p w14:paraId="7E5F674E">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w:t>
                  </w:r>
                  <w:r>
                    <w:rPr>
                      <w:rFonts w:hint="eastAsia" w:cs="Times New Roman"/>
                      <w:bCs/>
                      <w:color w:val="auto"/>
                      <w:sz w:val="21"/>
                      <w:szCs w:val="21"/>
                      <w:highlight w:val="none"/>
                      <w:lang w:val="en-US" w:eastAsia="zh-CN"/>
                    </w:rPr>
                    <w:t>9.6</w:t>
                  </w:r>
                </w:p>
              </w:tc>
              <w:tc>
                <w:tcPr>
                  <w:tcW w:w="1219" w:type="dxa"/>
                  <w:tcBorders>
                    <w:tl2br w:val="nil"/>
                    <w:tr2bl w:val="nil"/>
                  </w:tcBorders>
                  <w:noWrap w:val="0"/>
                  <w:vAlign w:val="center"/>
                </w:tcPr>
                <w:p w14:paraId="26BE7505">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1.99</w:t>
                  </w:r>
                </w:p>
              </w:tc>
              <w:tc>
                <w:tcPr>
                  <w:tcW w:w="899" w:type="dxa"/>
                  <w:tcBorders>
                    <w:tl2br w:val="nil"/>
                    <w:tr2bl w:val="nil"/>
                  </w:tcBorders>
                  <w:noWrap w:val="0"/>
                  <w:vAlign w:val="center"/>
                </w:tcPr>
                <w:p w14:paraId="34A2A23F">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0986</w:t>
                  </w:r>
                </w:p>
              </w:tc>
              <w:tc>
                <w:tcPr>
                  <w:tcW w:w="1219" w:type="dxa"/>
                  <w:tcBorders>
                    <w:tl2br w:val="nil"/>
                    <w:tr2bl w:val="nil"/>
                  </w:tcBorders>
                  <w:noWrap w:val="0"/>
                  <w:vAlign w:val="center"/>
                </w:tcPr>
                <w:p w14:paraId="79083842">
                  <w:pPr>
                    <w:adjustRightInd w:val="0"/>
                    <w:snapToGrid w:val="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4E41C92E">
                  <w:pPr>
                    <w:adjustRightInd w:val="0"/>
                    <w:snapToGrid w:val="0"/>
                    <w:jc w:val="center"/>
                    <w:textAlignment w:val="baseline"/>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highlight w:val="none"/>
                      <w:lang w:val="en-US" w:eastAsia="zh-CN"/>
                    </w:rPr>
                    <w:t>达标</w:t>
                  </w:r>
                </w:p>
              </w:tc>
            </w:tr>
            <w:tr w14:paraId="51B470A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842" w:type="dxa"/>
                  <w:tcBorders>
                    <w:tl2br w:val="nil"/>
                    <w:tr2bl w:val="nil"/>
                  </w:tcBorders>
                  <w:noWrap w:val="0"/>
                  <w:vAlign w:val="center"/>
                </w:tcPr>
                <w:p w14:paraId="21CC00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w:t>
                  </w:r>
                </w:p>
              </w:tc>
              <w:tc>
                <w:tcPr>
                  <w:tcW w:w="849" w:type="dxa"/>
                  <w:tcBorders>
                    <w:tl2br w:val="nil"/>
                    <w:tr2bl w:val="nil"/>
                  </w:tcBorders>
                  <w:noWrap w:val="0"/>
                  <w:vAlign w:val="center"/>
                </w:tcPr>
                <w:p w14:paraId="474AA996">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19" w:type="dxa"/>
                  <w:tcBorders>
                    <w:tl2br w:val="nil"/>
                    <w:tr2bl w:val="nil"/>
                  </w:tcBorders>
                  <w:noWrap w:val="0"/>
                  <w:vAlign w:val="center"/>
                </w:tcPr>
                <w:p w14:paraId="06BDDF12">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color w:val="auto"/>
                      <w:sz w:val="21"/>
                      <w:szCs w:val="21"/>
                      <w:highlight w:val="none"/>
                      <w:lang w:val="en-US" w:eastAsia="zh-CN"/>
                    </w:rPr>
                    <w:t>171.21</w:t>
                  </w:r>
                </w:p>
              </w:tc>
              <w:tc>
                <w:tcPr>
                  <w:tcW w:w="1159" w:type="dxa"/>
                  <w:tcBorders>
                    <w:tl2br w:val="nil"/>
                    <w:tr2bl w:val="nil"/>
                  </w:tcBorders>
                  <w:noWrap w:val="0"/>
                  <w:vAlign w:val="center"/>
                </w:tcPr>
                <w:p w14:paraId="081FB1A4">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8.5</w:t>
                  </w:r>
                </w:p>
              </w:tc>
              <w:tc>
                <w:tcPr>
                  <w:tcW w:w="637" w:type="dxa"/>
                  <w:tcBorders>
                    <w:tl2br w:val="nil"/>
                    <w:tr2bl w:val="nil"/>
                  </w:tcBorders>
                  <w:noWrap w:val="0"/>
                  <w:vAlign w:val="center"/>
                </w:tcPr>
                <w:p w14:paraId="67486C92">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9</w:t>
                  </w:r>
                  <w:r>
                    <w:rPr>
                      <w:rFonts w:hint="eastAsia" w:cs="Times New Roman"/>
                      <w:bCs/>
                      <w:color w:val="auto"/>
                      <w:szCs w:val="21"/>
                      <w:highlight w:val="none"/>
                      <w:lang w:val="en-US" w:eastAsia="zh-CN"/>
                    </w:rPr>
                    <w:t>9.6</w:t>
                  </w:r>
                </w:p>
              </w:tc>
              <w:tc>
                <w:tcPr>
                  <w:tcW w:w="1219" w:type="dxa"/>
                  <w:tcBorders>
                    <w:tl2br w:val="nil"/>
                    <w:tr2bl w:val="nil"/>
                  </w:tcBorders>
                  <w:noWrap w:val="0"/>
                  <w:vAlign w:val="center"/>
                </w:tcPr>
                <w:p w14:paraId="346AC2A0">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0.69</w:t>
                  </w:r>
                </w:p>
              </w:tc>
              <w:tc>
                <w:tcPr>
                  <w:tcW w:w="899" w:type="dxa"/>
                  <w:tcBorders>
                    <w:tl2br w:val="nil"/>
                    <w:tr2bl w:val="nil"/>
                  </w:tcBorders>
                  <w:noWrap w:val="0"/>
                  <w:vAlign w:val="center"/>
                </w:tcPr>
                <w:p w14:paraId="6271F987">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0.034</w:t>
                  </w:r>
                </w:p>
              </w:tc>
              <w:tc>
                <w:tcPr>
                  <w:tcW w:w="1219" w:type="dxa"/>
                  <w:tcBorders>
                    <w:tl2br w:val="nil"/>
                    <w:tr2bl w:val="nil"/>
                  </w:tcBorders>
                  <w:noWrap w:val="0"/>
                  <w:vAlign w:val="center"/>
                </w:tcPr>
                <w:p w14:paraId="04FA8B9E">
                  <w:pPr>
                    <w:adjustRightInd w:val="0"/>
                    <w:snapToGrid w:val="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6F85BE93">
                  <w:pPr>
                    <w:adjustRightInd w:val="0"/>
                    <w:snapToGrid w:val="0"/>
                    <w:jc w:val="center"/>
                    <w:textAlignment w:val="baseline"/>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达标</w:t>
                  </w:r>
                </w:p>
              </w:tc>
            </w:tr>
            <w:tr w14:paraId="694A95B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2" w:type="dxa"/>
                  <w:tcBorders>
                    <w:tl2br w:val="nil"/>
                    <w:tr2bl w:val="nil"/>
                  </w:tcBorders>
                  <w:noWrap w:val="0"/>
                  <w:vAlign w:val="center"/>
                </w:tcPr>
                <w:p w14:paraId="5DB6CC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3</w:t>
                  </w:r>
                </w:p>
              </w:tc>
              <w:tc>
                <w:tcPr>
                  <w:tcW w:w="849" w:type="dxa"/>
                  <w:tcBorders>
                    <w:tl2br w:val="nil"/>
                    <w:tr2bl w:val="nil"/>
                  </w:tcBorders>
                  <w:noWrap w:val="0"/>
                  <w:vAlign w:val="center"/>
                </w:tcPr>
                <w:p w14:paraId="7E86AA09">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19" w:type="dxa"/>
                  <w:tcBorders>
                    <w:tl2br w:val="nil"/>
                    <w:tr2bl w:val="nil"/>
                  </w:tcBorders>
                  <w:noWrap w:val="0"/>
                  <w:vAlign w:val="center"/>
                </w:tcPr>
                <w:p w14:paraId="76A36627">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color w:val="auto"/>
                      <w:sz w:val="21"/>
                      <w:szCs w:val="21"/>
                      <w:highlight w:val="none"/>
                      <w:lang w:val="en-US" w:eastAsia="zh-CN"/>
                    </w:rPr>
                    <w:t>496.51</w:t>
                  </w:r>
                </w:p>
              </w:tc>
              <w:tc>
                <w:tcPr>
                  <w:tcW w:w="1159" w:type="dxa"/>
                  <w:tcBorders>
                    <w:tl2br w:val="nil"/>
                    <w:tr2bl w:val="nil"/>
                  </w:tcBorders>
                  <w:noWrap w:val="0"/>
                  <w:vAlign w:val="center"/>
                </w:tcPr>
                <w:p w14:paraId="2F88A290">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eastAsia="宋体" w:cs="Times New Roman"/>
                      <w:color w:val="auto"/>
                      <w:sz w:val="21"/>
                      <w:szCs w:val="21"/>
                      <w:highlight w:val="none"/>
                      <w:lang w:val="en-US" w:eastAsia="zh-CN"/>
                    </w:rPr>
                    <w:t>24.65</w:t>
                  </w:r>
                </w:p>
              </w:tc>
              <w:tc>
                <w:tcPr>
                  <w:tcW w:w="637" w:type="dxa"/>
                  <w:tcBorders>
                    <w:tl2br w:val="nil"/>
                    <w:tr2bl w:val="nil"/>
                  </w:tcBorders>
                  <w:noWrap w:val="0"/>
                  <w:vAlign w:val="center"/>
                </w:tcPr>
                <w:p w14:paraId="61310DAF">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w:t>
                  </w:r>
                  <w:r>
                    <w:rPr>
                      <w:rFonts w:hint="eastAsia" w:cs="Times New Roman"/>
                      <w:bCs/>
                      <w:color w:val="auto"/>
                      <w:sz w:val="21"/>
                      <w:szCs w:val="21"/>
                      <w:highlight w:val="none"/>
                      <w:lang w:val="en-US" w:eastAsia="zh-CN"/>
                    </w:rPr>
                    <w:t>9.6</w:t>
                  </w:r>
                </w:p>
              </w:tc>
              <w:tc>
                <w:tcPr>
                  <w:tcW w:w="1219" w:type="dxa"/>
                  <w:tcBorders>
                    <w:tl2br w:val="nil"/>
                    <w:tr2bl w:val="nil"/>
                  </w:tcBorders>
                  <w:noWrap w:val="0"/>
                  <w:vAlign w:val="center"/>
                </w:tcPr>
                <w:p w14:paraId="7B353643">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1.99</w:t>
                  </w:r>
                </w:p>
              </w:tc>
              <w:tc>
                <w:tcPr>
                  <w:tcW w:w="899" w:type="dxa"/>
                  <w:tcBorders>
                    <w:tl2br w:val="nil"/>
                    <w:tr2bl w:val="nil"/>
                  </w:tcBorders>
                  <w:noWrap w:val="0"/>
                  <w:vAlign w:val="center"/>
                </w:tcPr>
                <w:p w14:paraId="15FF1930">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0986</w:t>
                  </w:r>
                </w:p>
              </w:tc>
              <w:tc>
                <w:tcPr>
                  <w:tcW w:w="1219" w:type="dxa"/>
                  <w:tcBorders>
                    <w:tl2br w:val="nil"/>
                    <w:tr2bl w:val="nil"/>
                  </w:tcBorders>
                  <w:noWrap w:val="0"/>
                  <w:vAlign w:val="center"/>
                </w:tcPr>
                <w:p w14:paraId="0E243CA7">
                  <w:pPr>
                    <w:adjustRightInd w:val="0"/>
                    <w:snapToGrid w:val="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1AC0F6A3">
                  <w:pPr>
                    <w:adjustRightInd w:val="0"/>
                    <w:snapToGrid w:val="0"/>
                    <w:jc w:val="center"/>
                    <w:textAlignment w:val="baseline"/>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达标</w:t>
                  </w:r>
                </w:p>
              </w:tc>
            </w:tr>
            <w:tr w14:paraId="3EEC922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42" w:type="dxa"/>
                  <w:tcBorders>
                    <w:tl2br w:val="nil"/>
                    <w:tr2bl w:val="nil"/>
                  </w:tcBorders>
                  <w:noWrap w:val="0"/>
                  <w:vAlign w:val="center"/>
                </w:tcPr>
                <w:p w14:paraId="231478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4</w:t>
                  </w:r>
                </w:p>
              </w:tc>
              <w:tc>
                <w:tcPr>
                  <w:tcW w:w="849" w:type="dxa"/>
                  <w:tcBorders>
                    <w:tl2br w:val="nil"/>
                    <w:tr2bl w:val="nil"/>
                  </w:tcBorders>
                  <w:noWrap w:val="0"/>
                  <w:vAlign w:val="center"/>
                </w:tcPr>
                <w:p w14:paraId="2451146F">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19" w:type="dxa"/>
                  <w:tcBorders>
                    <w:tl2br w:val="nil"/>
                    <w:tr2bl w:val="nil"/>
                  </w:tcBorders>
                  <w:noWrap w:val="0"/>
                  <w:vAlign w:val="center"/>
                </w:tcPr>
                <w:p w14:paraId="1C4B7B6D">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color w:val="auto"/>
                      <w:sz w:val="21"/>
                      <w:szCs w:val="21"/>
                      <w:highlight w:val="none"/>
                      <w:lang w:val="en-US" w:eastAsia="zh-CN"/>
                    </w:rPr>
                    <w:t>656.13</w:t>
                  </w:r>
                </w:p>
              </w:tc>
              <w:tc>
                <w:tcPr>
                  <w:tcW w:w="1159" w:type="dxa"/>
                  <w:tcBorders>
                    <w:tl2br w:val="nil"/>
                    <w:tr2bl w:val="nil"/>
                  </w:tcBorders>
                  <w:noWrap w:val="0"/>
                  <w:vAlign w:val="center"/>
                </w:tcPr>
                <w:p w14:paraId="66B04F79">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42.5</w:t>
                  </w:r>
                </w:p>
              </w:tc>
              <w:tc>
                <w:tcPr>
                  <w:tcW w:w="637" w:type="dxa"/>
                  <w:tcBorders>
                    <w:tl2br w:val="nil"/>
                    <w:tr2bl w:val="nil"/>
                  </w:tcBorders>
                  <w:noWrap w:val="0"/>
                  <w:vAlign w:val="center"/>
                </w:tcPr>
                <w:p w14:paraId="47A3147B">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9</w:t>
                  </w:r>
                  <w:r>
                    <w:rPr>
                      <w:rFonts w:hint="eastAsia" w:cs="Times New Roman"/>
                      <w:bCs/>
                      <w:color w:val="auto"/>
                      <w:szCs w:val="21"/>
                      <w:highlight w:val="none"/>
                      <w:lang w:val="en-US" w:eastAsia="zh-CN"/>
                    </w:rPr>
                    <w:t>9.6</w:t>
                  </w:r>
                </w:p>
              </w:tc>
              <w:tc>
                <w:tcPr>
                  <w:tcW w:w="1219" w:type="dxa"/>
                  <w:tcBorders>
                    <w:tl2br w:val="nil"/>
                    <w:tr2bl w:val="nil"/>
                  </w:tcBorders>
                  <w:noWrap w:val="0"/>
                  <w:vAlign w:val="center"/>
                </w:tcPr>
                <w:p w14:paraId="5EC8DE16">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2.62</w:t>
                  </w:r>
                </w:p>
              </w:tc>
              <w:tc>
                <w:tcPr>
                  <w:tcW w:w="899" w:type="dxa"/>
                  <w:tcBorders>
                    <w:tl2br w:val="nil"/>
                    <w:tr2bl w:val="nil"/>
                  </w:tcBorders>
                  <w:noWrap w:val="0"/>
                  <w:vAlign w:val="center"/>
                </w:tcPr>
                <w:p w14:paraId="2CA7D252">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0.17</w:t>
                  </w:r>
                </w:p>
              </w:tc>
              <w:tc>
                <w:tcPr>
                  <w:tcW w:w="1219" w:type="dxa"/>
                  <w:tcBorders>
                    <w:tl2br w:val="nil"/>
                    <w:tr2bl w:val="nil"/>
                  </w:tcBorders>
                  <w:noWrap w:val="0"/>
                  <w:vAlign w:val="center"/>
                </w:tcPr>
                <w:p w14:paraId="7D8B0424">
                  <w:pPr>
                    <w:adjustRightInd w:val="0"/>
                    <w:snapToGrid w:val="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3F98D170">
                  <w:pPr>
                    <w:adjustRightInd w:val="0"/>
                    <w:snapToGrid w:val="0"/>
                    <w:jc w:val="center"/>
                    <w:textAlignment w:val="baseline"/>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达标</w:t>
                  </w:r>
                </w:p>
              </w:tc>
            </w:tr>
            <w:tr w14:paraId="047CB15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42" w:type="dxa"/>
                  <w:vMerge w:val="restart"/>
                  <w:tcBorders>
                    <w:tl2br w:val="nil"/>
                    <w:tr2bl w:val="nil"/>
                  </w:tcBorders>
                  <w:noWrap w:val="0"/>
                  <w:vAlign w:val="center"/>
                </w:tcPr>
                <w:p w14:paraId="37E13E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5</w:t>
                  </w:r>
                </w:p>
              </w:tc>
              <w:tc>
                <w:tcPr>
                  <w:tcW w:w="849" w:type="dxa"/>
                  <w:tcBorders>
                    <w:tl2br w:val="nil"/>
                    <w:tr2bl w:val="nil"/>
                  </w:tcBorders>
                  <w:noWrap w:val="0"/>
                  <w:vAlign w:val="center"/>
                </w:tcPr>
                <w:p w14:paraId="199AB138">
                  <w:pPr>
                    <w:jc w:val="center"/>
                    <w:rPr>
                      <w:rFonts w:hint="default" w:ascii="Times New Roman" w:hAnsi="Times New Roman" w:eastAsia="宋体" w:cs="Times New Roman"/>
                      <w:bCs/>
                      <w:color w:val="auto"/>
                      <w:szCs w:val="21"/>
                      <w:highlight w:val="none"/>
                      <w:lang w:val="en-US" w:eastAsia="zh-CN"/>
                    </w:rPr>
                  </w:pPr>
                  <w:r>
                    <w:rPr>
                      <w:rFonts w:hint="eastAsia" w:cs="Times New Roman"/>
                      <w:color w:val="auto"/>
                      <w:sz w:val="21"/>
                      <w:szCs w:val="21"/>
                      <w:highlight w:val="none"/>
                      <w:lang w:eastAsia="zh-CN"/>
                    </w:rPr>
                    <w:t>颗粒物</w:t>
                  </w:r>
                </w:p>
              </w:tc>
              <w:tc>
                <w:tcPr>
                  <w:tcW w:w="1219" w:type="dxa"/>
                  <w:tcBorders>
                    <w:tl2br w:val="nil"/>
                    <w:tr2bl w:val="nil"/>
                  </w:tcBorders>
                  <w:noWrap w:val="0"/>
                  <w:vAlign w:val="center"/>
                </w:tcPr>
                <w:p w14:paraId="78D419C2">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color w:val="auto"/>
                      <w:sz w:val="21"/>
                      <w:szCs w:val="21"/>
                      <w:highlight w:val="none"/>
                      <w:lang w:val="en-US" w:eastAsia="zh-CN"/>
                    </w:rPr>
                    <w:t>321.67</w:t>
                  </w:r>
                </w:p>
              </w:tc>
              <w:tc>
                <w:tcPr>
                  <w:tcW w:w="1159" w:type="dxa"/>
                  <w:tcBorders>
                    <w:tl2br w:val="nil"/>
                    <w:tr2bl w:val="nil"/>
                  </w:tcBorders>
                  <w:noWrap w:val="0"/>
                  <w:vAlign w:val="center"/>
                </w:tcPr>
                <w:p w14:paraId="6AA235E0">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76.667</w:t>
                  </w:r>
                </w:p>
              </w:tc>
              <w:tc>
                <w:tcPr>
                  <w:tcW w:w="637" w:type="dxa"/>
                  <w:tcBorders>
                    <w:tl2br w:val="nil"/>
                    <w:tr2bl w:val="nil"/>
                  </w:tcBorders>
                  <w:noWrap w:val="0"/>
                  <w:vAlign w:val="center"/>
                </w:tcPr>
                <w:p w14:paraId="33308AA5">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9</w:t>
                  </w:r>
                  <w:r>
                    <w:rPr>
                      <w:rFonts w:hint="eastAsia" w:cs="Times New Roman"/>
                      <w:bCs/>
                      <w:color w:val="auto"/>
                      <w:szCs w:val="21"/>
                      <w:highlight w:val="none"/>
                      <w:lang w:val="en-US" w:eastAsia="zh-CN"/>
                    </w:rPr>
                    <w:t>9.6</w:t>
                  </w:r>
                </w:p>
              </w:tc>
              <w:tc>
                <w:tcPr>
                  <w:tcW w:w="1219" w:type="dxa"/>
                  <w:tcBorders>
                    <w:tl2br w:val="nil"/>
                    <w:tr2bl w:val="nil"/>
                  </w:tcBorders>
                  <w:noWrap w:val="0"/>
                  <w:vAlign w:val="center"/>
                </w:tcPr>
                <w:p w14:paraId="4DA225B8">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1.29</w:t>
                  </w:r>
                </w:p>
              </w:tc>
              <w:tc>
                <w:tcPr>
                  <w:tcW w:w="899" w:type="dxa"/>
                  <w:tcBorders>
                    <w:tl2br w:val="nil"/>
                    <w:tr2bl w:val="nil"/>
                  </w:tcBorders>
                  <w:noWrap w:val="0"/>
                  <w:vAlign w:val="center"/>
                </w:tcPr>
                <w:p w14:paraId="29437DA8">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0.3067</w:t>
                  </w:r>
                </w:p>
              </w:tc>
              <w:tc>
                <w:tcPr>
                  <w:tcW w:w="1219" w:type="dxa"/>
                  <w:tcBorders>
                    <w:tl2br w:val="nil"/>
                    <w:tr2bl w:val="nil"/>
                  </w:tcBorders>
                  <w:noWrap w:val="0"/>
                  <w:vAlign w:val="center"/>
                </w:tcPr>
                <w:p w14:paraId="0F19DE17">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200</w:t>
                  </w:r>
                </w:p>
              </w:tc>
              <w:tc>
                <w:tcPr>
                  <w:tcW w:w="427" w:type="dxa"/>
                  <w:tcBorders>
                    <w:tl2br w:val="nil"/>
                    <w:tr2bl w:val="nil"/>
                  </w:tcBorders>
                  <w:noWrap w:val="0"/>
                  <w:vAlign w:val="center"/>
                </w:tcPr>
                <w:p w14:paraId="4CB158B8">
                  <w:pPr>
                    <w:adjustRightInd w:val="0"/>
                    <w:snapToGrid w:val="0"/>
                    <w:jc w:val="center"/>
                    <w:textAlignment w:val="baseline"/>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达标</w:t>
                  </w:r>
                </w:p>
              </w:tc>
            </w:tr>
            <w:tr w14:paraId="495B021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42" w:type="dxa"/>
                  <w:vMerge w:val="continue"/>
                  <w:tcBorders>
                    <w:tl2br w:val="nil"/>
                    <w:tr2bl w:val="nil"/>
                  </w:tcBorders>
                  <w:noWrap w:val="0"/>
                  <w:vAlign w:val="center"/>
                </w:tcPr>
                <w:p w14:paraId="5B3D5812">
                  <w:pPr>
                    <w:adjustRightInd w:val="0"/>
                    <w:snapToGrid w:val="0"/>
                    <w:jc w:val="center"/>
                    <w:textAlignment w:val="baseline"/>
                    <w:rPr>
                      <w:color w:val="auto"/>
                    </w:rPr>
                  </w:pPr>
                </w:p>
              </w:tc>
              <w:tc>
                <w:tcPr>
                  <w:tcW w:w="849" w:type="dxa"/>
                  <w:tcBorders>
                    <w:tl2br w:val="nil"/>
                    <w:tr2bl w:val="nil"/>
                  </w:tcBorders>
                  <w:noWrap w:val="0"/>
                  <w:vAlign w:val="center"/>
                </w:tcPr>
                <w:p w14:paraId="0EF651E6">
                  <w:pPr>
                    <w:adjustRightInd w:val="0"/>
                    <w:snapToGrid w:val="0"/>
                    <w:jc w:val="center"/>
                    <w:textAlignment w:val="baseline"/>
                    <w:rPr>
                      <w:rFonts w:hint="eastAsia" w:cs="Times New Roman"/>
                      <w:color w:val="auto"/>
                      <w:sz w:val="21"/>
                      <w:szCs w:val="21"/>
                      <w:highlight w:val="none"/>
                      <w:lang w:eastAsia="zh-CN"/>
                    </w:rPr>
                  </w:pPr>
                  <w:r>
                    <w:rPr>
                      <w:rFonts w:hint="eastAsia" w:cs="Times New Roman"/>
                      <w:color w:val="auto"/>
                      <w:sz w:val="21"/>
                      <w:szCs w:val="21"/>
                      <w:highlight w:val="none"/>
                      <w:lang w:eastAsia="zh-CN"/>
                    </w:rPr>
                    <w:t>二氧化硫</w:t>
                  </w:r>
                </w:p>
              </w:tc>
              <w:tc>
                <w:tcPr>
                  <w:tcW w:w="1219" w:type="dxa"/>
                  <w:tcBorders>
                    <w:tl2br w:val="nil"/>
                    <w:tr2bl w:val="nil"/>
                  </w:tcBorders>
                  <w:noWrap w:val="0"/>
                  <w:vAlign w:val="center"/>
                </w:tcPr>
                <w:p w14:paraId="022699DC">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234.06</w:t>
                  </w:r>
                </w:p>
              </w:tc>
              <w:tc>
                <w:tcPr>
                  <w:tcW w:w="1159" w:type="dxa"/>
                  <w:tcBorders>
                    <w:tl2br w:val="nil"/>
                    <w:tr2bl w:val="nil"/>
                  </w:tcBorders>
                  <w:noWrap w:val="0"/>
                  <w:vAlign w:val="center"/>
                </w:tcPr>
                <w:p w14:paraId="3A341270">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55.7863</w:t>
                  </w:r>
                </w:p>
              </w:tc>
              <w:tc>
                <w:tcPr>
                  <w:tcW w:w="637" w:type="dxa"/>
                  <w:tcBorders>
                    <w:tl2br w:val="nil"/>
                    <w:tr2bl w:val="nil"/>
                  </w:tcBorders>
                  <w:noWrap w:val="0"/>
                  <w:vAlign w:val="center"/>
                </w:tcPr>
                <w:p w14:paraId="546EEDDE">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1219" w:type="dxa"/>
                  <w:tcBorders>
                    <w:tl2br w:val="nil"/>
                    <w:tr2bl w:val="nil"/>
                  </w:tcBorders>
                  <w:noWrap w:val="0"/>
                  <w:vAlign w:val="center"/>
                </w:tcPr>
                <w:p w14:paraId="7255696D">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35.11</w:t>
                  </w:r>
                </w:p>
              </w:tc>
              <w:tc>
                <w:tcPr>
                  <w:tcW w:w="899" w:type="dxa"/>
                  <w:tcBorders>
                    <w:tl2br w:val="nil"/>
                    <w:tr2bl w:val="nil"/>
                  </w:tcBorders>
                  <w:noWrap w:val="0"/>
                  <w:vAlign w:val="center"/>
                </w:tcPr>
                <w:p w14:paraId="13DCD4BF">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8.3679</w:t>
                  </w:r>
                </w:p>
              </w:tc>
              <w:tc>
                <w:tcPr>
                  <w:tcW w:w="1219" w:type="dxa"/>
                  <w:tcBorders>
                    <w:tl2br w:val="nil"/>
                    <w:tr2bl w:val="nil"/>
                  </w:tcBorders>
                  <w:noWrap w:val="0"/>
                  <w:vAlign w:val="center"/>
                </w:tcPr>
                <w:p w14:paraId="1752D8DD">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850</w:t>
                  </w:r>
                </w:p>
              </w:tc>
              <w:tc>
                <w:tcPr>
                  <w:tcW w:w="427" w:type="dxa"/>
                  <w:tcBorders>
                    <w:tl2br w:val="nil"/>
                    <w:tr2bl w:val="nil"/>
                  </w:tcBorders>
                  <w:noWrap w:val="0"/>
                  <w:vAlign w:val="center"/>
                </w:tcPr>
                <w:p w14:paraId="62720753">
                  <w:pPr>
                    <w:adjustRightInd w:val="0"/>
                    <w:snapToGrid w:val="0"/>
                    <w:jc w:val="center"/>
                    <w:textAlignment w:val="baseline"/>
                    <w:rPr>
                      <w:rFonts w:hint="eastAsia" w:cs="Times New Roman"/>
                      <w:color w:val="auto"/>
                      <w:sz w:val="21"/>
                      <w:szCs w:val="21"/>
                      <w:highlight w:val="none"/>
                      <w:lang w:eastAsia="zh-CN"/>
                    </w:rPr>
                  </w:pPr>
                  <w:r>
                    <w:rPr>
                      <w:rFonts w:hint="eastAsia" w:cs="Times New Roman"/>
                      <w:bCs/>
                      <w:color w:val="auto"/>
                      <w:highlight w:val="none"/>
                      <w:lang w:val="en-US" w:eastAsia="zh-CN"/>
                    </w:rPr>
                    <w:t>达标</w:t>
                  </w:r>
                </w:p>
              </w:tc>
            </w:tr>
            <w:tr w14:paraId="472095E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42" w:type="dxa"/>
                  <w:vMerge w:val="continue"/>
                  <w:tcBorders>
                    <w:tl2br w:val="nil"/>
                    <w:tr2bl w:val="nil"/>
                  </w:tcBorders>
                  <w:noWrap w:val="0"/>
                  <w:vAlign w:val="center"/>
                </w:tcPr>
                <w:p w14:paraId="3CD54752">
                  <w:pPr>
                    <w:adjustRightInd w:val="0"/>
                    <w:snapToGrid w:val="0"/>
                    <w:jc w:val="center"/>
                    <w:textAlignment w:val="baseline"/>
                    <w:rPr>
                      <w:rFonts w:hint="eastAsia" w:cs="Times New Roman"/>
                      <w:color w:val="auto"/>
                      <w:sz w:val="21"/>
                      <w:szCs w:val="21"/>
                      <w:highlight w:val="none"/>
                      <w:lang w:eastAsia="zh-CN"/>
                    </w:rPr>
                  </w:pPr>
                </w:p>
              </w:tc>
              <w:tc>
                <w:tcPr>
                  <w:tcW w:w="849" w:type="dxa"/>
                  <w:tcBorders>
                    <w:tl2br w:val="nil"/>
                    <w:tr2bl w:val="nil"/>
                  </w:tcBorders>
                  <w:noWrap w:val="0"/>
                  <w:vAlign w:val="center"/>
                </w:tcPr>
                <w:p w14:paraId="55AA474B">
                  <w:pPr>
                    <w:adjustRightInd w:val="0"/>
                    <w:snapToGrid w:val="0"/>
                    <w:jc w:val="center"/>
                    <w:textAlignment w:val="baseline"/>
                    <w:rPr>
                      <w:rFonts w:hint="eastAsia" w:cs="Times New Roman"/>
                      <w:color w:val="auto"/>
                      <w:sz w:val="21"/>
                      <w:szCs w:val="21"/>
                      <w:highlight w:val="none"/>
                      <w:lang w:eastAsia="zh-CN"/>
                    </w:rPr>
                  </w:pPr>
                  <w:r>
                    <w:rPr>
                      <w:rFonts w:hint="eastAsia" w:cs="Times New Roman"/>
                      <w:color w:val="auto"/>
                      <w:sz w:val="21"/>
                      <w:szCs w:val="21"/>
                      <w:highlight w:val="none"/>
                      <w:lang w:eastAsia="zh-CN"/>
                    </w:rPr>
                    <w:t>氮氧化物</w:t>
                  </w:r>
                </w:p>
              </w:tc>
              <w:tc>
                <w:tcPr>
                  <w:tcW w:w="1219" w:type="dxa"/>
                  <w:tcBorders>
                    <w:tl2br w:val="nil"/>
                    <w:tr2bl w:val="nil"/>
                  </w:tcBorders>
                  <w:noWrap w:val="0"/>
                  <w:vAlign w:val="center"/>
                </w:tcPr>
                <w:p w14:paraId="27F05CC4">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156.04</w:t>
                  </w:r>
                </w:p>
              </w:tc>
              <w:tc>
                <w:tcPr>
                  <w:tcW w:w="1159" w:type="dxa"/>
                  <w:tcBorders>
                    <w:tl2br w:val="nil"/>
                    <w:tr2bl w:val="nil"/>
                  </w:tcBorders>
                  <w:noWrap w:val="0"/>
                  <w:vAlign w:val="center"/>
                </w:tcPr>
                <w:p w14:paraId="6842545B">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37.1909</w:t>
                  </w:r>
                </w:p>
              </w:tc>
              <w:tc>
                <w:tcPr>
                  <w:tcW w:w="637" w:type="dxa"/>
                  <w:tcBorders>
                    <w:tl2br w:val="nil"/>
                    <w:tr2bl w:val="nil"/>
                  </w:tcBorders>
                  <w:noWrap w:val="0"/>
                  <w:vAlign w:val="center"/>
                </w:tcPr>
                <w:p w14:paraId="7AE3B4B9">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1219" w:type="dxa"/>
                  <w:tcBorders>
                    <w:tl2br w:val="nil"/>
                    <w:tr2bl w:val="nil"/>
                  </w:tcBorders>
                  <w:noWrap w:val="0"/>
                  <w:vAlign w:val="center"/>
                </w:tcPr>
                <w:p w14:paraId="48DF2137">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39.01</w:t>
                  </w:r>
                </w:p>
              </w:tc>
              <w:tc>
                <w:tcPr>
                  <w:tcW w:w="899" w:type="dxa"/>
                  <w:tcBorders>
                    <w:tl2br w:val="nil"/>
                    <w:tr2bl w:val="nil"/>
                  </w:tcBorders>
                  <w:noWrap w:val="0"/>
                  <w:vAlign w:val="center"/>
                </w:tcPr>
                <w:p w14:paraId="6E04E724">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9.2977</w:t>
                  </w:r>
                </w:p>
              </w:tc>
              <w:tc>
                <w:tcPr>
                  <w:tcW w:w="1219" w:type="dxa"/>
                  <w:tcBorders>
                    <w:tl2br w:val="nil"/>
                    <w:tr2bl w:val="nil"/>
                  </w:tcBorders>
                  <w:noWrap w:val="0"/>
                  <w:vAlign w:val="center"/>
                </w:tcPr>
                <w:p w14:paraId="10A5F60F">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240</w:t>
                  </w:r>
                </w:p>
              </w:tc>
              <w:tc>
                <w:tcPr>
                  <w:tcW w:w="427" w:type="dxa"/>
                  <w:tcBorders>
                    <w:tl2br w:val="nil"/>
                    <w:tr2bl w:val="nil"/>
                  </w:tcBorders>
                  <w:noWrap w:val="0"/>
                  <w:vAlign w:val="center"/>
                </w:tcPr>
                <w:p w14:paraId="0CF1AF2B">
                  <w:pPr>
                    <w:adjustRightInd w:val="0"/>
                    <w:snapToGrid w:val="0"/>
                    <w:jc w:val="center"/>
                    <w:textAlignment w:val="baseline"/>
                    <w:rPr>
                      <w:rFonts w:hint="eastAsia" w:cs="Times New Roman"/>
                      <w:color w:val="auto"/>
                      <w:sz w:val="21"/>
                      <w:szCs w:val="21"/>
                      <w:highlight w:val="none"/>
                      <w:lang w:eastAsia="zh-CN"/>
                    </w:rPr>
                  </w:pPr>
                  <w:r>
                    <w:rPr>
                      <w:rFonts w:hint="eastAsia" w:cs="Times New Roman"/>
                      <w:bCs/>
                      <w:color w:val="auto"/>
                      <w:highlight w:val="none"/>
                      <w:lang w:val="en-US" w:eastAsia="zh-CN"/>
                    </w:rPr>
                    <w:t>达标</w:t>
                  </w:r>
                </w:p>
              </w:tc>
            </w:tr>
            <w:tr w14:paraId="273A0BE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42" w:type="dxa"/>
                  <w:vMerge w:val="continue"/>
                  <w:tcBorders>
                    <w:tl2br w:val="nil"/>
                    <w:tr2bl w:val="nil"/>
                  </w:tcBorders>
                  <w:noWrap w:val="0"/>
                  <w:vAlign w:val="center"/>
                </w:tcPr>
                <w:p w14:paraId="565FF8E3">
                  <w:pPr>
                    <w:adjustRightInd w:val="0"/>
                    <w:snapToGrid w:val="0"/>
                    <w:jc w:val="center"/>
                    <w:textAlignment w:val="baseline"/>
                    <w:rPr>
                      <w:rFonts w:hint="eastAsia" w:cs="Times New Roman"/>
                      <w:color w:val="auto"/>
                      <w:sz w:val="21"/>
                      <w:szCs w:val="21"/>
                      <w:highlight w:val="none"/>
                      <w:lang w:eastAsia="zh-CN"/>
                    </w:rPr>
                  </w:pPr>
                </w:p>
              </w:tc>
              <w:tc>
                <w:tcPr>
                  <w:tcW w:w="849" w:type="dxa"/>
                  <w:tcBorders>
                    <w:tl2br w:val="nil"/>
                    <w:tr2bl w:val="nil"/>
                  </w:tcBorders>
                  <w:noWrap w:val="0"/>
                  <w:vAlign w:val="center"/>
                </w:tcPr>
                <w:p w14:paraId="3A5B2E80">
                  <w:pPr>
                    <w:adjustRightInd w:val="0"/>
                    <w:snapToGrid w:val="0"/>
                    <w:jc w:val="center"/>
                    <w:textAlignment w:val="baseline"/>
                    <w:rPr>
                      <w:rFonts w:hint="eastAsia" w:cs="Times New Roman"/>
                      <w:color w:val="auto"/>
                      <w:sz w:val="21"/>
                      <w:szCs w:val="21"/>
                      <w:highlight w:val="none"/>
                      <w:lang w:eastAsia="zh-CN"/>
                    </w:rPr>
                  </w:pPr>
                  <w:r>
                    <w:rPr>
                      <w:rFonts w:hint="eastAsia"/>
                      <w:color w:val="auto"/>
                      <w:szCs w:val="21"/>
                    </w:rPr>
                    <w:t>N</w:t>
                  </w:r>
                  <w:r>
                    <w:rPr>
                      <w:color w:val="auto"/>
                      <w:szCs w:val="21"/>
                    </w:rPr>
                    <w:t>H</w:t>
                  </w:r>
                  <w:r>
                    <w:rPr>
                      <w:color w:val="auto"/>
                      <w:szCs w:val="21"/>
                      <w:vertAlign w:val="subscript"/>
                    </w:rPr>
                    <w:t>3</w:t>
                  </w:r>
                </w:p>
              </w:tc>
              <w:tc>
                <w:tcPr>
                  <w:tcW w:w="1219" w:type="dxa"/>
                  <w:tcBorders>
                    <w:tl2br w:val="nil"/>
                    <w:tr2bl w:val="nil"/>
                  </w:tcBorders>
                  <w:noWrap w:val="0"/>
                  <w:vAlign w:val="center"/>
                </w:tcPr>
                <w:p w14:paraId="2917AADA">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eastAsia="zh-CN"/>
                    </w:rPr>
                  </w:pPr>
                  <w:r>
                    <w:rPr>
                      <w:color w:val="auto"/>
                      <w:sz w:val="21"/>
                      <w:szCs w:val="21"/>
                    </w:rPr>
                    <w:t>6.0</w:t>
                  </w:r>
                  <w:r>
                    <w:rPr>
                      <w:rFonts w:hint="eastAsia"/>
                      <w:color w:val="auto"/>
                      <w:sz w:val="21"/>
                      <w:szCs w:val="21"/>
                      <w:lang w:val="en-US" w:eastAsia="zh-CN"/>
                    </w:rPr>
                    <w:t>72</w:t>
                  </w:r>
                </w:p>
              </w:tc>
              <w:tc>
                <w:tcPr>
                  <w:tcW w:w="1159" w:type="dxa"/>
                  <w:tcBorders>
                    <w:tl2br w:val="nil"/>
                    <w:tr2bl w:val="nil"/>
                  </w:tcBorders>
                  <w:noWrap w:val="0"/>
                  <w:vAlign w:val="center"/>
                </w:tcPr>
                <w:p w14:paraId="0B221880">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1.4475</w:t>
                  </w:r>
                </w:p>
              </w:tc>
              <w:tc>
                <w:tcPr>
                  <w:tcW w:w="637" w:type="dxa"/>
                  <w:tcBorders>
                    <w:tl2br w:val="nil"/>
                    <w:tr2bl w:val="nil"/>
                  </w:tcBorders>
                  <w:noWrap w:val="0"/>
                  <w:vAlign w:val="center"/>
                </w:tcPr>
                <w:p w14:paraId="76527B7A">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1219" w:type="dxa"/>
                  <w:tcBorders>
                    <w:tl2br w:val="nil"/>
                    <w:tr2bl w:val="nil"/>
                  </w:tcBorders>
                  <w:noWrap w:val="0"/>
                  <w:vAlign w:val="center"/>
                </w:tcPr>
                <w:p w14:paraId="1F0C119F">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1.22</w:t>
                  </w:r>
                </w:p>
              </w:tc>
              <w:tc>
                <w:tcPr>
                  <w:tcW w:w="899" w:type="dxa"/>
                  <w:tcBorders>
                    <w:tl2br w:val="nil"/>
                    <w:tr2bl w:val="nil"/>
                  </w:tcBorders>
                  <w:noWrap w:val="0"/>
                  <w:vAlign w:val="center"/>
                </w:tcPr>
                <w:p w14:paraId="28EBF296">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0.2895</w:t>
                  </w:r>
                </w:p>
              </w:tc>
              <w:tc>
                <w:tcPr>
                  <w:tcW w:w="1219" w:type="dxa"/>
                  <w:tcBorders>
                    <w:tl2br w:val="nil"/>
                    <w:tr2bl w:val="nil"/>
                  </w:tcBorders>
                  <w:noWrap w:val="0"/>
                  <w:vAlign w:val="center"/>
                </w:tcPr>
                <w:p w14:paraId="0BF10072">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427" w:type="dxa"/>
                  <w:tcBorders>
                    <w:tl2br w:val="nil"/>
                    <w:tr2bl w:val="nil"/>
                  </w:tcBorders>
                  <w:noWrap w:val="0"/>
                  <w:vAlign w:val="center"/>
                </w:tcPr>
                <w:p w14:paraId="20C557C9">
                  <w:pPr>
                    <w:adjustRightInd w:val="0"/>
                    <w:snapToGrid w:val="0"/>
                    <w:jc w:val="center"/>
                    <w:textAlignment w:val="baseline"/>
                    <w:rPr>
                      <w:rFonts w:hint="eastAsia" w:cs="Times New Roman"/>
                      <w:color w:val="auto"/>
                      <w:sz w:val="21"/>
                      <w:szCs w:val="21"/>
                      <w:highlight w:val="none"/>
                      <w:lang w:eastAsia="zh-CN"/>
                    </w:rPr>
                  </w:pPr>
                  <w:r>
                    <w:rPr>
                      <w:rFonts w:hint="eastAsia" w:cs="Times New Roman"/>
                      <w:bCs/>
                      <w:color w:val="auto"/>
                      <w:highlight w:val="none"/>
                      <w:lang w:val="en-US" w:eastAsia="zh-CN"/>
                    </w:rPr>
                    <w:t>达标</w:t>
                  </w:r>
                </w:p>
              </w:tc>
            </w:tr>
            <w:tr w14:paraId="3BBC52F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42" w:type="dxa"/>
                  <w:tcBorders>
                    <w:tl2br w:val="nil"/>
                    <w:tr2bl w:val="nil"/>
                  </w:tcBorders>
                  <w:noWrap w:val="0"/>
                  <w:vAlign w:val="center"/>
                </w:tcPr>
                <w:p w14:paraId="710DBC6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6</w:t>
                  </w:r>
                </w:p>
              </w:tc>
              <w:tc>
                <w:tcPr>
                  <w:tcW w:w="849" w:type="dxa"/>
                  <w:tcBorders>
                    <w:tl2br w:val="nil"/>
                    <w:tr2bl w:val="nil"/>
                  </w:tcBorders>
                  <w:noWrap w:val="0"/>
                  <w:vAlign w:val="center"/>
                </w:tcPr>
                <w:p w14:paraId="3D5E8F27">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19" w:type="dxa"/>
                  <w:tcBorders>
                    <w:tl2br w:val="nil"/>
                    <w:tr2bl w:val="nil"/>
                  </w:tcBorders>
                  <w:noWrap w:val="0"/>
                  <w:vAlign w:val="center"/>
                </w:tcPr>
                <w:p w14:paraId="3987E114">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color w:val="auto"/>
                      <w:sz w:val="21"/>
                      <w:szCs w:val="21"/>
                      <w:highlight w:val="none"/>
                      <w:lang w:val="en-US" w:eastAsia="zh-CN"/>
                    </w:rPr>
                    <w:t>27.15</w:t>
                  </w:r>
                </w:p>
              </w:tc>
              <w:tc>
                <w:tcPr>
                  <w:tcW w:w="1159" w:type="dxa"/>
                  <w:tcBorders>
                    <w:tl2br w:val="nil"/>
                    <w:tr2bl w:val="nil"/>
                  </w:tcBorders>
                  <w:noWrap w:val="0"/>
                  <w:vAlign w:val="center"/>
                </w:tcPr>
                <w:p w14:paraId="32BD4D7C">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0.3646</w:t>
                  </w:r>
                </w:p>
              </w:tc>
              <w:tc>
                <w:tcPr>
                  <w:tcW w:w="637" w:type="dxa"/>
                  <w:tcBorders>
                    <w:tl2br w:val="nil"/>
                    <w:tr2bl w:val="nil"/>
                  </w:tcBorders>
                  <w:noWrap w:val="0"/>
                  <w:vAlign w:val="center"/>
                </w:tcPr>
                <w:p w14:paraId="7B8C7DD5">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9</w:t>
                  </w:r>
                  <w:r>
                    <w:rPr>
                      <w:rFonts w:hint="eastAsia" w:cs="Times New Roman"/>
                      <w:bCs/>
                      <w:color w:val="auto"/>
                      <w:szCs w:val="21"/>
                      <w:highlight w:val="none"/>
                      <w:lang w:val="en-US" w:eastAsia="zh-CN"/>
                    </w:rPr>
                    <w:t>9.6</w:t>
                  </w:r>
                </w:p>
              </w:tc>
              <w:tc>
                <w:tcPr>
                  <w:tcW w:w="1219" w:type="dxa"/>
                  <w:tcBorders>
                    <w:tl2br w:val="nil"/>
                    <w:tr2bl w:val="nil"/>
                  </w:tcBorders>
                  <w:noWrap w:val="0"/>
                  <w:vAlign w:val="center"/>
                </w:tcPr>
                <w:p w14:paraId="1107DE8B">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0.10</w:t>
                  </w:r>
                </w:p>
              </w:tc>
              <w:tc>
                <w:tcPr>
                  <w:tcW w:w="899" w:type="dxa"/>
                  <w:tcBorders>
                    <w:tl2br w:val="nil"/>
                    <w:tr2bl w:val="nil"/>
                  </w:tcBorders>
                  <w:noWrap w:val="0"/>
                  <w:vAlign w:val="center"/>
                </w:tcPr>
                <w:p w14:paraId="57EC58F7">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0.0015</w:t>
                  </w:r>
                </w:p>
              </w:tc>
              <w:tc>
                <w:tcPr>
                  <w:tcW w:w="1219" w:type="dxa"/>
                  <w:tcBorders>
                    <w:tl2br w:val="nil"/>
                    <w:tr2bl w:val="nil"/>
                  </w:tcBorders>
                  <w:noWrap w:val="0"/>
                  <w:vAlign w:val="center"/>
                </w:tcPr>
                <w:p w14:paraId="5D98C5E8">
                  <w:pPr>
                    <w:adjustRightInd w:val="0"/>
                    <w:snapToGrid w:val="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6ED5EC2E">
                  <w:pPr>
                    <w:adjustRightInd w:val="0"/>
                    <w:snapToGrid w:val="0"/>
                    <w:jc w:val="center"/>
                    <w:textAlignment w:val="baseline"/>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达标</w:t>
                  </w:r>
                </w:p>
              </w:tc>
            </w:tr>
            <w:tr w14:paraId="06CC4FC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2" w:type="dxa"/>
                  <w:tcBorders>
                    <w:tl2br w:val="nil"/>
                    <w:tr2bl w:val="nil"/>
                  </w:tcBorders>
                  <w:noWrap w:val="0"/>
                  <w:vAlign w:val="center"/>
                </w:tcPr>
                <w:p w14:paraId="28519DD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7</w:t>
                  </w:r>
                </w:p>
              </w:tc>
              <w:tc>
                <w:tcPr>
                  <w:tcW w:w="849" w:type="dxa"/>
                  <w:tcBorders>
                    <w:tl2br w:val="nil"/>
                    <w:tr2bl w:val="nil"/>
                  </w:tcBorders>
                  <w:noWrap w:val="0"/>
                  <w:vAlign w:val="center"/>
                </w:tcPr>
                <w:p w14:paraId="44EBDF1A">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19" w:type="dxa"/>
                  <w:tcBorders>
                    <w:tl2br w:val="nil"/>
                    <w:tr2bl w:val="nil"/>
                  </w:tcBorders>
                  <w:noWrap w:val="0"/>
                  <w:vAlign w:val="center"/>
                </w:tcPr>
                <w:p w14:paraId="4801BB2C">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color w:val="auto"/>
                      <w:sz w:val="21"/>
                      <w:szCs w:val="21"/>
                      <w:highlight w:val="none"/>
                      <w:lang w:val="en-US" w:eastAsia="zh-CN"/>
                    </w:rPr>
                    <w:t>27.15</w:t>
                  </w:r>
                </w:p>
              </w:tc>
              <w:tc>
                <w:tcPr>
                  <w:tcW w:w="1159" w:type="dxa"/>
                  <w:tcBorders>
                    <w:tl2br w:val="nil"/>
                    <w:tr2bl w:val="nil"/>
                  </w:tcBorders>
                  <w:noWrap w:val="0"/>
                  <w:vAlign w:val="center"/>
                </w:tcPr>
                <w:p w14:paraId="47948F39">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0.3646</w:t>
                  </w:r>
                </w:p>
              </w:tc>
              <w:tc>
                <w:tcPr>
                  <w:tcW w:w="637" w:type="dxa"/>
                  <w:tcBorders>
                    <w:tl2br w:val="nil"/>
                    <w:tr2bl w:val="nil"/>
                  </w:tcBorders>
                  <w:noWrap w:val="0"/>
                  <w:vAlign w:val="center"/>
                </w:tcPr>
                <w:p w14:paraId="3D121262">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9</w:t>
                  </w:r>
                  <w:r>
                    <w:rPr>
                      <w:rFonts w:hint="eastAsia" w:cs="Times New Roman"/>
                      <w:bCs/>
                      <w:color w:val="auto"/>
                      <w:szCs w:val="21"/>
                      <w:highlight w:val="none"/>
                      <w:lang w:val="en-US" w:eastAsia="zh-CN"/>
                    </w:rPr>
                    <w:t>9.6</w:t>
                  </w:r>
                </w:p>
              </w:tc>
              <w:tc>
                <w:tcPr>
                  <w:tcW w:w="1219" w:type="dxa"/>
                  <w:tcBorders>
                    <w:tl2br w:val="nil"/>
                    <w:tr2bl w:val="nil"/>
                  </w:tcBorders>
                  <w:noWrap w:val="0"/>
                  <w:vAlign w:val="center"/>
                </w:tcPr>
                <w:p w14:paraId="3714C1F4">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0.10</w:t>
                  </w:r>
                </w:p>
              </w:tc>
              <w:tc>
                <w:tcPr>
                  <w:tcW w:w="899" w:type="dxa"/>
                  <w:tcBorders>
                    <w:tl2br w:val="nil"/>
                    <w:tr2bl w:val="nil"/>
                  </w:tcBorders>
                  <w:noWrap w:val="0"/>
                  <w:vAlign w:val="center"/>
                </w:tcPr>
                <w:p w14:paraId="7DBA75C1">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0.0015</w:t>
                  </w:r>
                </w:p>
              </w:tc>
              <w:tc>
                <w:tcPr>
                  <w:tcW w:w="1219" w:type="dxa"/>
                  <w:tcBorders>
                    <w:tl2br w:val="nil"/>
                    <w:tr2bl w:val="nil"/>
                  </w:tcBorders>
                  <w:noWrap w:val="0"/>
                  <w:vAlign w:val="center"/>
                </w:tcPr>
                <w:p w14:paraId="373969E6">
                  <w:pPr>
                    <w:adjustRightInd w:val="0"/>
                    <w:snapToGrid w:val="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49673DA5">
                  <w:pPr>
                    <w:adjustRightInd w:val="0"/>
                    <w:snapToGrid w:val="0"/>
                    <w:jc w:val="center"/>
                    <w:textAlignment w:val="baseline"/>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达标</w:t>
                  </w:r>
                </w:p>
              </w:tc>
            </w:tr>
            <w:tr w14:paraId="6ECBEC4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2" w:type="dxa"/>
                  <w:tcBorders>
                    <w:tl2br w:val="nil"/>
                    <w:tr2bl w:val="nil"/>
                  </w:tcBorders>
                  <w:noWrap w:val="0"/>
                  <w:vAlign w:val="center"/>
                </w:tcPr>
                <w:p w14:paraId="2FEC047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8</w:t>
                  </w:r>
                </w:p>
              </w:tc>
              <w:tc>
                <w:tcPr>
                  <w:tcW w:w="849" w:type="dxa"/>
                  <w:tcBorders>
                    <w:tl2br w:val="nil"/>
                    <w:tr2bl w:val="nil"/>
                  </w:tcBorders>
                  <w:noWrap w:val="0"/>
                  <w:vAlign w:val="center"/>
                </w:tcPr>
                <w:p w14:paraId="33F58C19">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19" w:type="dxa"/>
                  <w:tcBorders>
                    <w:tl2br w:val="nil"/>
                    <w:tr2bl w:val="nil"/>
                  </w:tcBorders>
                  <w:noWrap w:val="0"/>
                  <w:vAlign w:val="center"/>
                </w:tcPr>
                <w:p w14:paraId="6867A2FB">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color w:val="auto"/>
                      <w:sz w:val="21"/>
                      <w:szCs w:val="21"/>
                      <w:highlight w:val="none"/>
                      <w:lang w:val="en-US" w:eastAsia="zh-CN"/>
                    </w:rPr>
                    <w:t>8.90</w:t>
                  </w:r>
                </w:p>
              </w:tc>
              <w:tc>
                <w:tcPr>
                  <w:tcW w:w="1159" w:type="dxa"/>
                  <w:tcBorders>
                    <w:tl2br w:val="nil"/>
                    <w:tr2bl w:val="nil"/>
                  </w:tcBorders>
                  <w:noWrap w:val="0"/>
                  <w:vAlign w:val="center"/>
                </w:tcPr>
                <w:p w14:paraId="3932D3EC">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0.1199</w:t>
                  </w:r>
                </w:p>
              </w:tc>
              <w:tc>
                <w:tcPr>
                  <w:tcW w:w="637" w:type="dxa"/>
                  <w:tcBorders>
                    <w:tl2br w:val="nil"/>
                    <w:tr2bl w:val="nil"/>
                  </w:tcBorders>
                  <w:noWrap w:val="0"/>
                  <w:vAlign w:val="center"/>
                </w:tcPr>
                <w:p w14:paraId="7948E4EF">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9</w:t>
                  </w:r>
                  <w:r>
                    <w:rPr>
                      <w:rFonts w:hint="eastAsia" w:cs="Times New Roman"/>
                      <w:bCs/>
                      <w:color w:val="auto"/>
                      <w:szCs w:val="21"/>
                      <w:highlight w:val="none"/>
                      <w:lang w:val="en-US" w:eastAsia="zh-CN"/>
                    </w:rPr>
                    <w:t>9.6</w:t>
                  </w:r>
                </w:p>
              </w:tc>
              <w:tc>
                <w:tcPr>
                  <w:tcW w:w="1219" w:type="dxa"/>
                  <w:tcBorders>
                    <w:tl2br w:val="nil"/>
                    <w:tr2bl w:val="nil"/>
                  </w:tcBorders>
                  <w:noWrap w:val="0"/>
                  <w:vAlign w:val="center"/>
                </w:tcPr>
                <w:p w14:paraId="06A817EF">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0.04</w:t>
                  </w:r>
                </w:p>
              </w:tc>
              <w:tc>
                <w:tcPr>
                  <w:tcW w:w="899" w:type="dxa"/>
                  <w:tcBorders>
                    <w:tl2br w:val="nil"/>
                    <w:tr2bl w:val="nil"/>
                  </w:tcBorders>
                  <w:noWrap w:val="0"/>
                  <w:vAlign w:val="center"/>
                </w:tcPr>
                <w:p w14:paraId="3D74D752">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0.0005</w:t>
                  </w:r>
                </w:p>
              </w:tc>
              <w:tc>
                <w:tcPr>
                  <w:tcW w:w="1219" w:type="dxa"/>
                  <w:tcBorders>
                    <w:tl2br w:val="nil"/>
                    <w:tr2bl w:val="nil"/>
                  </w:tcBorders>
                  <w:noWrap w:val="0"/>
                  <w:vAlign w:val="center"/>
                </w:tcPr>
                <w:p w14:paraId="78238902">
                  <w:pPr>
                    <w:adjustRightInd w:val="0"/>
                    <w:snapToGrid w:val="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6D9C1191">
                  <w:pPr>
                    <w:adjustRightInd w:val="0"/>
                    <w:snapToGrid w:val="0"/>
                    <w:jc w:val="center"/>
                    <w:textAlignment w:val="baseline"/>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达标</w:t>
                  </w:r>
                </w:p>
              </w:tc>
            </w:tr>
            <w:tr w14:paraId="1ADB95E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42" w:type="dxa"/>
                  <w:tcBorders>
                    <w:tl2br w:val="nil"/>
                    <w:tr2bl w:val="nil"/>
                  </w:tcBorders>
                  <w:noWrap w:val="0"/>
                  <w:vAlign w:val="center"/>
                </w:tcPr>
                <w:p w14:paraId="767C633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9</w:t>
                  </w:r>
                </w:p>
              </w:tc>
              <w:tc>
                <w:tcPr>
                  <w:tcW w:w="849" w:type="dxa"/>
                  <w:tcBorders>
                    <w:tl2br w:val="nil"/>
                    <w:tr2bl w:val="nil"/>
                  </w:tcBorders>
                  <w:noWrap w:val="0"/>
                  <w:vAlign w:val="center"/>
                </w:tcPr>
                <w:p w14:paraId="1A5B2D4B">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19" w:type="dxa"/>
                  <w:tcBorders>
                    <w:tl2br w:val="nil"/>
                    <w:tr2bl w:val="nil"/>
                  </w:tcBorders>
                  <w:noWrap w:val="0"/>
                  <w:vAlign w:val="center"/>
                </w:tcPr>
                <w:p w14:paraId="14E274C7">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2.22</w:t>
                  </w:r>
                </w:p>
              </w:tc>
              <w:tc>
                <w:tcPr>
                  <w:tcW w:w="1159" w:type="dxa"/>
                  <w:tcBorders>
                    <w:tl2br w:val="nil"/>
                    <w:tr2bl w:val="nil"/>
                  </w:tcBorders>
                  <w:noWrap w:val="0"/>
                  <w:vAlign w:val="center"/>
                </w:tcPr>
                <w:p w14:paraId="47DAE95A">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0.0599</w:t>
                  </w:r>
                </w:p>
              </w:tc>
              <w:tc>
                <w:tcPr>
                  <w:tcW w:w="637" w:type="dxa"/>
                  <w:tcBorders>
                    <w:tl2br w:val="nil"/>
                    <w:tr2bl w:val="nil"/>
                  </w:tcBorders>
                  <w:noWrap w:val="0"/>
                  <w:vAlign w:val="center"/>
                </w:tcPr>
                <w:p w14:paraId="682E2AEB">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9</w:t>
                  </w:r>
                  <w:r>
                    <w:rPr>
                      <w:rFonts w:hint="eastAsia" w:cs="Times New Roman"/>
                      <w:bCs/>
                      <w:color w:val="auto"/>
                      <w:szCs w:val="21"/>
                      <w:highlight w:val="none"/>
                      <w:lang w:val="en-US" w:eastAsia="zh-CN"/>
                    </w:rPr>
                    <w:t>9.6</w:t>
                  </w:r>
                </w:p>
              </w:tc>
              <w:tc>
                <w:tcPr>
                  <w:tcW w:w="1219" w:type="dxa"/>
                  <w:tcBorders>
                    <w:tl2br w:val="nil"/>
                    <w:tr2bl w:val="nil"/>
                  </w:tcBorders>
                  <w:noWrap w:val="0"/>
                  <w:vAlign w:val="center"/>
                </w:tcPr>
                <w:p w14:paraId="75DA12E0">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0.01</w:t>
                  </w:r>
                </w:p>
              </w:tc>
              <w:tc>
                <w:tcPr>
                  <w:tcW w:w="899" w:type="dxa"/>
                  <w:tcBorders>
                    <w:tl2br w:val="nil"/>
                    <w:tr2bl w:val="nil"/>
                  </w:tcBorders>
                  <w:noWrap w:val="0"/>
                  <w:vAlign w:val="center"/>
                </w:tcPr>
                <w:p w14:paraId="5777E8FD">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0.0002</w:t>
                  </w:r>
                </w:p>
              </w:tc>
              <w:tc>
                <w:tcPr>
                  <w:tcW w:w="1219" w:type="dxa"/>
                  <w:tcBorders>
                    <w:tl2br w:val="nil"/>
                    <w:tr2bl w:val="nil"/>
                  </w:tcBorders>
                  <w:noWrap w:val="0"/>
                  <w:vAlign w:val="center"/>
                </w:tcPr>
                <w:p w14:paraId="0C30F24D">
                  <w:pPr>
                    <w:adjustRightInd w:val="0"/>
                    <w:snapToGrid w:val="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77471851">
                  <w:pPr>
                    <w:adjustRightInd w:val="0"/>
                    <w:snapToGrid w:val="0"/>
                    <w:jc w:val="center"/>
                    <w:textAlignment w:val="baseline"/>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达标</w:t>
                  </w:r>
                </w:p>
              </w:tc>
            </w:tr>
            <w:tr w14:paraId="7E38CF3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42" w:type="dxa"/>
                  <w:tcBorders>
                    <w:tl2br w:val="nil"/>
                    <w:tr2bl w:val="nil"/>
                  </w:tcBorders>
                  <w:noWrap w:val="0"/>
                  <w:vAlign w:val="center"/>
                </w:tcPr>
                <w:p w14:paraId="2D0CB4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10</w:t>
                  </w:r>
                </w:p>
              </w:tc>
              <w:tc>
                <w:tcPr>
                  <w:tcW w:w="849" w:type="dxa"/>
                  <w:tcBorders>
                    <w:tl2br w:val="nil"/>
                    <w:tr2bl w:val="nil"/>
                  </w:tcBorders>
                  <w:noWrap w:val="0"/>
                  <w:vAlign w:val="center"/>
                </w:tcPr>
                <w:p w14:paraId="7B716F01">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19" w:type="dxa"/>
                  <w:tcBorders>
                    <w:tl2br w:val="nil"/>
                    <w:tr2bl w:val="nil"/>
                  </w:tcBorders>
                  <w:noWrap w:val="0"/>
                  <w:vAlign w:val="center"/>
                </w:tcPr>
                <w:p w14:paraId="5928418E">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2.22</w:t>
                  </w:r>
                </w:p>
              </w:tc>
              <w:tc>
                <w:tcPr>
                  <w:tcW w:w="1159" w:type="dxa"/>
                  <w:tcBorders>
                    <w:tl2br w:val="nil"/>
                    <w:tr2bl w:val="nil"/>
                  </w:tcBorders>
                  <w:noWrap w:val="0"/>
                  <w:vAlign w:val="center"/>
                </w:tcPr>
                <w:p w14:paraId="34CCE9DB">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0.0599</w:t>
                  </w:r>
                </w:p>
              </w:tc>
              <w:tc>
                <w:tcPr>
                  <w:tcW w:w="637" w:type="dxa"/>
                  <w:tcBorders>
                    <w:tl2br w:val="nil"/>
                    <w:tr2bl w:val="nil"/>
                  </w:tcBorders>
                  <w:noWrap w:val="0"/>
                  <w:vAlign w:val="center"/>
                </w:tcPr>
                <w:p w14:paraId="3E87AFFB">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9</w:t>
                  </w:r>
                  <w:r>
                    <w:rPr>
                      <w:rFonts w:hint="eastAsia" w:cs="Times New Roman"/>
                      <w:bCs/>
                      <w:color w:val="auto"/>
                      <w:szCs w:val="21"/>
                      <w:highlight w:val="none"/>
                      <w:lang w:val="en-US" w:eastAsia="zh-CN"/>
                    </w:rPr>
                    <w:t>9.6</w:t>
                  </w:r>
                </w:p>
              </w:tc>
              <w:tc>
                <w:tcPr>
                  <w:tcW w:w="1219" w:type="dxa"/>
                  <w:tcBorders>
                    <w:tl2br w:val="nil"/>
                    <w:tr2bl w:val="nil"/>
                  </w:tcBorders>
                  <w:noWrap w:val="0"/>
                  <w:vAlign w:val="center"/>
                </w:tcPr>
                <w:p w14:paraId="555F95D3">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0.01</w:t>
                  </w:r>
                </w:p>
              </w:tc>
              <w:tc>
                <w:tcPr>
                  <w:tcW w:w="899" w:type="dxa"/>
                  <w:tcBorders>
                    <w:tl2br w:val="nil"/>
                    <w:tr2bl w:val="nil"/>
                  </w:tcBorders>
                  <w:noWrap w:val="0"/>
                  <w:vAlign w:val="center"/>
                </w:tcPr>
                <w:p w14:paraId="3D50B512">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0.0002</w:t>
                  </w:r>
                </w:p>
              </w:tc>
              <w:tc>
                <w:tcPr>
                  <w:tcW w:w="1219" w:type="dxa"/>
                  <w:tcBorders>
                    <w:tl2br w:val="nil"/>
                    <w:tr2bl w:val="nil"/>
                  </w:tcBorders>
                  <w:noWrap w:val="0"/>
                  <w:vAlign w:val="center"/>
                </w:tcPr>
                <w:p w14:paraId="6E2AD4B2">
                  <w:pPr>
                    <w:adjustRightInd w:val="0"/>
                    <w:snapToGrid w:val="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1B9FFA73">
                  <w:pPr>
                    <w:adjustRightInd w:val="0"/>
                    <w:snapToGrid w:val="0"/>
                    <w:jc w:val="center"/>
                    <w:textAlignment w:val="baseline"/>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达标</w:t>
                  </w:r>
                </w:p>
              </w:tc>
            </w:tr>
            <w:tr w14:paraId="7BF7591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42" w:type="dxa"/>
                  <w:tcBorders>
                    <w:tl2br w:val="nil"/>
                    <w:tr2bl w:val="nil"/>
                  </w:tcBorders>
                  <w:noWrap w:val="0"/>
                  <w:vAlign w:val="center"/>
                </w:tcPr>
                <w:p w14:paraId="7F6E1D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11</w:t>
                  </w:r>
                </w:p>
              </w:tc>
              <w:tc>
                <w:tcPr>
                  <w:tcW w:w="849" w:type="dxa"/>
                  <w:tcBorders>
                    <w:tl2br w:val="nil"/>
                    <w:tr2bl w:val="nil"/>
                  </w:tcBorders>
                  <w:noWrap w:val="0"/>
                  <w:vAlign w:val="center"/>
                </w:tcPr>
                <w:p w14:paraId="31DD7FE5">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19" w:type="dxa"/>
                  <w:tcBorders>
                    <w:tl2br w:val="nil"/>
                    <w:tr2bl w:val="nil"/>
                  </w:tcBorders>
                  <w:noWrap w:val="0"/>
                  <w:vAlign w:val="center"/>
                </w:tcPr>
                <w:p w14:paraId="6488AEBE">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color w:val="auto"/>
                      <w:sz w:val="21"/>
                      <w:szCs w:val="21"/>
                      <w:highlight w:val="none"/>
                      <w:lang w:val="en-US" w:eastAsia="zh-CN"/>
                    </w:rPr>
                    <w:t>231.06</w:t>
                  </w:r>
                </w:p>
              </w:tc>
              <w:tc>
                <w:tcPr>
                  <w:tcW w:w="1159" w:type="dxa"/>
                  <w:tcBorders>
                    <w:tl2br w:val="nil"/>
                    <w:tr2bl w:val="nil"/>
                  </w:tcBorders>
                  <w:noWrap w:val="0"/>
                  <w:vAlign w:val="center"/>
                </w:tcPr>
                <w:p w14:paraId="3FC57C8B">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11.4716</w:t>
                  </w:r>
                </w:p>
              </w:tc>
              <w:tc>
                <w:tcPr>
                  <w:tcW w:w="637" w:type="dxa"/>
                  <w:tcBorders>
                    <w:tl2br w:val="nil"/>
                    <w:tr2bl w:val="nil"/>
                  </w:tcBorders>
                  <w:noWrap w:val="0"/>
                  <w:vAlign w:val="center"/>
                </w:tcPr>
                <w:p w14:paraId="053DBF33">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9</w:t>
                  </w:r>
                  <w:r>
                    <w:rPr>
                      <w:rFonts w:hint="eastAsia" w:cs="Times New Roman"/>
                      <w:bCs/>
                      <w:color w:val="auto"/>
                      <w:szCs w:val="21"/>
                      <w:highlight w:val="none"/>
                      <w:lang w:val="en-US" w:eastAsia="zh-CN"/>
                    </w:rPr>
                    <w:t>9.6</w:t>
                  </w:r>
                </w:p>
              </w:tc>
              <w:tc>
                <w:tcPr>
                  <w:tcW w:w="1219" w:type="dxa"/>
                  <w:tcBorders>
                    <w:tl2br w:val="nil"/>
                    <w:tr2bl w:val="nil"/>
                  </w:tcBorders>
                  <w:noWrap w:val="0"/>
                  <w:vAlign w:val="center"/>
                </w:tcPr>
                <w:p w14:paraId="05A70888">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0.92</w:t>
                  </w:r>
                </w:p>
              </w:tc>
              <w:tc>
                <w:tcPr>
                  <w:tcW w:w="899" w:type="dxa"/>
                  <w:tcBorders>
                    <w:tl2br w:val="nil"/>
                    <w:tr2bl w:val="nil"/>
                  </w:tcBorders>
                  <w:noWrap w:val="0"/>
                  <w:vAlign w:val="center"/>
                </w:tcPr>
                <w:p w14:paraId="7FA32EB2">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0.0459</w:t>
                  </w:r>
                </w:p>
              </w:tc>
              <w:tc>
                <w:tcPr>
                  <w:tcW w:w="1219" w:type="dxa"/>
                  <w:tcBorders>
                    <w:tl2br w:val="nil"/>
                    <w:tr2bl w:val="nil"/>
                  </w:tcBorders>
                  <w:noWrap w:val="0"/>
                  <w:vAlign w:val="center"/>
                </w:tcPr>
                <w:p w14:paraId="441E0636">
                  <w:pPr>
                    <w:adjustRightInd w:val="0"/>
                    <w:snapToGrid w:val="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395CA1C9">
                  <w:pPr>
                    <w:adjustRightInd w:val="0"/>
                    <w:snapToGrid w:val="0"/>
                    <w:jc w:val="center"/>
                    <w:textAlignment w:val="baseline"/>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达标</w:t>
                  </w:r>
                </w:p>
              </w:tc>
            </w:tr>
            <w:tr w14:paraId="14A56C1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42" w:type="dxa"/>
                  <w:tcBorders>
                    <w:tl2br w:val="nil"/>
                    <w:tr2bl w:val="nil"/>
                  </w:tcBorders>
                  <w:noWrap w:val="0"/>
                  <w:vAlign w:val="center"/>
                </w:tcPr>
                <w:p w14:paraId="040DFC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12</w:t>
                  </w:r>
                </w:p>
              </w:tc>
              <w:tc>
                <w:tcPr>
                  <w:tcW w:w="849" w:type="dxa"/>
                  <w:tcBorders>
                    <w:tl2br w:val="nil"/>
                    <w:tr2bl w:val="nil"/>
                  </w:tcBorders>
                  <w:noWrap w:val="0"/>
                  <w:vAlign w:val="center"/>
                </w:tcPr>
                <w:p w14:paraId="05B6F0CD">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19" w:type="dxa"/>
                  <w:tcBorders>
                    <w:tl2br w:val="nil"/>
                    <w:tr2bl w:val="nil"/>
                  </w:tcBorders>
                  <w:noWrap w:val="0"/>
                  <w:vAlign w:val="center"/>
                </w:tcPr>
                <w:p w14:paraId="757DFA46">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color w:val="auto"/>
                      <w:sz w:val="21"/>
                      <w:szCs w:val="21"/>
                      <w:highlight w:val="none"/>
                      <w:lang w:val="en-US" w:eastAsia="zh-CN"/>
                    </w:rPr>
                    <w:t>202.94</w:t>
                  </w:r>
                </w:p>
              </w:tc>
              <w:tc>
                <w:tcPr>
                  <w:tcW w:w="1159" w:type="dxa"/>
                  <w:tcBorders>
                    <w:tl2br w:val="nil"/>
                    <w:tr2bl w:val="nil"/>
                  </w:tcBorders>
                  <w:noWrap w:val="0"/>
                  <w:vAlign w:val="center"/>
                </w:tcPr>
                <w:p w14:paraId="1C7195D0">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10.0756</w:t>
                  </w:r>
                </w:p>
              </w:tc>
              <w:tc>
                <w:tcPr>
                  <w:tcW w:w="637" w:type="dxa"/>
                  <w:tcBorders>
                    <w:tl2br w:val="nil"/>
                    <w:tr2bl w:val="nil"/>
                  </w:tcBorders>
                  <w:noWrap w:val="0"/>
                  <w:vAlign w:val="center"/>
                </w:tcPr>
                <w:p w14:paraId="1412371B">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9</w:t>
                  </w:r>
                  <w:r>
                    <w:rPr>
                      <w:rFonts w:hint="eastAsia" w:cs="Times New Roman"/>
                      <w:bCs/>
                      <w:color w:val="auto"/>
                      <w:szCs w:val="21"/>
                      <w:highlight w:val="none"/>
                      <w:lang w:val="en-US" w:eastAsia="zh-CN"/>
                    </w:rPr>
                    <w:t>9.6</w:t>
                  </w:r>
                </w:p>
              </w:tc>
              <w:tc>
                <w:tcPr>
                  <w:tcW w:w="1219" w:type="dxa"/>
                  <w:tcBorders>
                    <w:tl2br w:val="nil"/>
                    <w:tr2bl w:val="nil"/>
                  </w:tcBorders>
                  <w:noWrap w:val="0"/>
                  <w:vAlign w:val="center"/>
                </w:tcPr>
                <w:p w14:paraId="59796C1A">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0.81</w:t>
                  </w:r>
                </w:p>
              </w:tc>
              <w:tc>
                <w:tcPr>
                  <w:tcW w:w="899" w:type="dxa"/>
                  <w:tcBorders>
                    <w:tl2br w:val="nil"/>
                    <w:tr2bl w:val="nil"/>
                  </w:tcBorders>
                  <w:noWrap w:val="0"/>
                  <w:vAlign w:val="center"/>
                </w:tcPr>
                <w:p w14:paraId="7ED8782E">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0.0403</w:t>
                  </w:r>
                </w:p>
              </w:tc>
              <w:tc>
                <w:tcPr>
                  <w:tcW w:w="1219" w:type="dxa"/>
                  <w:tcBorders>
                    <w:tl2br w:val="nil"/>
                    <w:tr2bl w:val="nil"/>
                  </w:tcBorders>
                  <w:noWrap w:val="0"/>
                  <w:vAlign w:val="center"/>
                </w:tcPr>
                <w:p w14:paraId="4D1CA6E9">
                  <w:pPr>
                    <w:adjustRightInd w:val="0"/>
                    <w:snapToGrid w:val="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7810B1F3">
                  <w:pPr>
                    <w:adjustRightInd w:val="0"/>
                    <w:snapToGrid w:val="0"/>
                    <w:jc w:val="center"/>
                    <w:textAlignment w:val="baseline"/>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达标</w:t>
                  </w:r>
                </w:p>
              </w:tc>
            </w:tr>
            <w:tr w14:paraId="3B32D78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42" w:type="dxa"/>
                  <w:tcBorders>
                    <w:tl2br w:val="nil"/>
                    <w:tr2bl w:val="nil"/>
                  </w:tcBorders>
                  <w:noWrap w:val="0"/>
                  <w:vAlign w:val="center"/>
                </w:tcPr>
                <w:p w14:paraId="5EB649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13</w:t>
                  </w:r>
                </w:p>
              </w:tc>
              <w:tc>
                <w:tcPr>
                  <w:tcW w:w="849" w:type="dxa"/>
                  <w:tcBorders>
                    <w:tl2br w:val="nil"/>
                    <w:tr2bl w:val="nil"/>
                  </w:tcBorders>
                  <w:noWrap w:val="0"/>
                  <w:vAlign w:val="center"/>
                </w:tcPr>
                <w:p w14:paraId="5557E26B">
                  <w:pPr>
                    <w:jc w:val="center"/>
                    <w:rPr>
                      <w:rFonts w:hint="default" w:ascii="Times New Roman" w:hAnsi="Times New Roman" w:eastAsia="宋体" w:cs="Times New Roman"/>
                      <w:bCs/>
                      <w:color w:val="auto"/>
                      <w:szCs w:val="21"/>
                      <w:highlight w:val="none"/>
                      <w:lang w:val="en-US" w:eastAsia="zh-CN"/>
                    </w:rPr>
                  </w:pPr>
                  <w:r>
                    <w:rPr>
                      <w:rFonts w:hint="eastAsia" w:cs="Times New Roman"/>
                      <w:color w:val="auto"/>
                      <w:sz w:val="21"/>
                      <w:szCs w:val="21"/>
                      <w:highlight w:val="none"/>
                      <w:lang w:eastAsia="zh-CN"/>
                    </w:rPr>
                    <w:t>颗粒物</w:t>
                  </w:r>
                </w:p>
              </w:tc>
              <w:tc>
                <w:tcPr>
                  <w:tcW w:w="1219" w:type="dxa"/>
                  <w:tcBorders>
                    <w:tl2br w:val="nil"/>
                    <w:tr2bl w:val="nil"/>
                  </w:tcBorders>
                  <w:noWrap w:val="0"/>
                  <w:vAlign w:val="center"/>
                </w:tcPr>
                <w:p w14:paraId="3219C2D8">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highlight w:val="none"/>
                      <w:u w:val="none"/>
                      <w:lang w:val="en-US" w:eastAsia="zh-CN" w:bidi="ar"/>
                    </w:rPr>
                    <w:t>303.19</w:t>
                  </w:r>
                </w:p>
              </w:tc>
              <w:tc>
                <w:tcPr>
                  <w:tcW w:w="1159" w:type="dxa"/>
                  <w:tcBorders>
                    <w:tl2br w:val="nil"/>
                    <w:tr2bl w:val="nil"/>
                  </w:tcBorders>
                  <w:noWrap w:val="0"/>
                  <w:vAlign w:val="center"/>
                </w:tcPr>
                <w:p w14:paraId="6DD1CB9C">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15.0527</w:t>
                  </w:r>
                </w:p>
              </w:tc>
              <w:tc>
                <w:tcPr>
                  <w:tcW w:w="637" w:type="dxa"/>
                  <w:tcBorders>
                    <w:tl2br w:val="nil"/>
                    <w:tr2bl w:val="nil"/>
                  </w:tcBorders>
                  <w:noWrap w:val="0"/>
                  <w:vAlign w:val="center"/>
                </w:tcPr>
                <w:p w14:paraId="66BFC105">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9</w:t>
                  </w:r>
                  <w:r>
                    <w:rPr>
                      <w:rFonts w:hint="eastAsia" w:cs="Times New Roman"/>
                      <w:bCs/>
                      <w:color w:val="auto"/>
                      <w:szCs w:val="21"/>
                      <w:highlight w:val="none"/>
                      <w:lang w:val="en-US" w:eastAsia="zh-CN"/>
                    </w:rPr>
                    <w:t>9.6</w:t>
                  </w:r>
                </w:p>
              </w:tc>
              <w:tc>
                <w:tcPr>
                  <w:tcW w:w="1219" w:type="dxa"/>
                  <w:tcBorders>
                    <w:tl2br w:val="nil"/>
                    <w:tr2bl w:val="nil"/>
                  </w:tcBorders>
                  <w:noWrap w:val="0"/>
                  <w:vAlign w:val="center"/>
                </w:tcPr>
                <w:p w14:paraId="02B34966">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1.22</w:t>
                  </w:r>
                </w:p>
              </w:tc>
              <w:tc>
                <w:tcPr>
                  <w:tcW w:w="899" w:type="dxa"/>
                  <w:tcBorders>
                    <w:tl2br w:val="nil"/>
                    <w:tr2bl w:val="nil"/>
                  </w:tcBorders>
                  <w:noWrap w:val="0"/>
                  <w:vAlign w:val="center"/>
                </w:tcPr>
                <w:p w14:paraId="26482E47">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0.0602</w:t>
                  </w:r>
                </w:p>
              </w:tc>
              <w:tc>
                <w:tcPr>
                  <w:tcW w:w="1219" w:type="dxa"/>
                  <w:tcBorders>
                    <w:tl2br w:val="nil"/>
                    <w:tr2bl w:val="nil"/>
                  </w:tcBorders>
                  <w:noWrap w:val="0"/>
                  <w:vAlign w:val="center"/>
                </w:tcPr>
                <w:p w14:paraId="1C5BE9AC">
                  <w:pPr>
                    <w:adjustRightInd w:val="0"/>
                    <w:snapToGrid w:val="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16357D49">
                  <w:pPr>
                    <w:adjustRightInd w:val="0"/>
                    <w:snapToGrid w:val="0"/>
                    <w:jc w:val="center"/>
                    <w:textAlignment w:val="baseline"/>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达标</w:t>
                  </w:r>
                </w:p>
              </w:tc>
            </w:tr>
            <w:tr w14:paraId="71FB397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42" w:type="dxa"/>
                  <w:tcBorders>
                    <w:tl2br w:val="nil"/>
                    <w:tr2bl w:val="nil"/>
                  </w:tcBorders>
                  <w:noWrap w:val="0"/>
                  <w:vAlign w:val="center"/>
                </w:tcPr>
                <w:p w14:paraId="3CFED02D">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DA014</w:t>
                  </w:r>
                </w:p>
              </w:tc>
              <w:tc>
                <w:tcPr>
                  <w:tcW w:w="849" w:type="dxa"/>
                  <w:tcBorders>
                    <w:tl2br w:val="nil"/>
                    <w:tr2bl w:val="nil"/>
                  </w:tcBorders>
                  <w:noWrap w:val="0"/>
                  <w:vAlign w:val="center"/>
                </w:tcPr>
                <w:p w14:paraId="2E4C3AEA">
                  <w:pPr>
                    <w:adjustRightInd w:val="0"/>
                    <w:snapToGrid w:val="0"/>
                    <w:jc w:val="center"/>
                    <w:textAlignment w:val="baseline"/>
                    <w:rPr>
                      <w:rFonts w:hint="eastAsia" w:eastAsia="宋体"/>
                      <w:color w:val="auto"/>
                      <w:szCs w:val="21"/>
                      <w:lang w:eastAsia="zh-CN"/>
                    </w:rPr>
                  </w:pPr>
                  <w:r>
                    <w:rPr>
                      <w:rFonts w:hint="eastAsia"/>
                      <w:color w:val="auto"/>
                      <w:szCs w:val="21"/>
                      <w:lang w:eastAsia="zh-CN"/>
                    </w:rPr>
                    <w:t>颗粒物</w:t>
                  </w:r>
                </w:p>
              </w:tc>
              <w:tc>
                <w:tcPr>
                  <w:tcW w:w="1219" w:type="dxa"/>
                  <w:tcBorders>
                    <w:tl2br w:val="nil"/>
                    <w:tr2bl w:val="nil"/>
                  </w:tcBorders>
                  <w:noWrap w:val="0"/>
                  <w:vAlign w:val="center"/>
                </w:tcPr>
                <w:p w14:paraId="5FD112B6">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231.06</w:t>
                  </w:r>
                </w:p>
              </w:tc>
              <w:tc>
                <w:tcPr>
                  <w:tcW w:w="1159" w:type="dxa"/>
                  <w:tcBorders>
                    <w:tl2br w:val="nil"/>
                    <w:tr2bl w:val="nil"/>
                  </w:tcBorders>
                  <w:noWrap w:val="0"/>
                  <w:vAlign w:val="center"/>
                </w:tcPr>
                <w:p w14:paraId="66EC0D3C">
                  <w:pPr>
                    <w:adjustRightInd w:val="0"/>
                    <w:snapToGrid w:val="0"/>
                    <w:jc w:val="center"/>
                    <w:textAlignment w:val="baseline"/>
                    <w:rPr>
                      <w:rFonts w:hint="default" w:cs="Times New Roman"/>
                      <w:color w:val="auto"/>
                      <w:sz w:val="21"/>
                      <w:szCs w:val="21"/>
                      <w:highlight w:val="none"/>
                      <w:lang w:val="en-US" w:eastAsia="zh-CN"/>
                    </w:rPr>
                  </w:pPr>
                  <w:r>
                    <w:rPr>
                      <w:rFonts w:hint="eastAsia"/>
                      <w:bCs/>
                      <w:color w:val="auto"/>
                      <w:highlight w:val="none"/>
                      <w:lang w:val="en-US" w:eastAsia="zh-CN"/>
                    </w:rPr>
                    <w:t>22.9432</w:t>
                  </w:r>
                </w:p>
              </w:tc>
              <w:tc>
                <w:tcPr>
                  <w:tcW w:w="637" w:type="dxa"/>
                  <w:tcBorders>
                    <w:tl2br w:val="nil"/>
                    <w:tr2bl w:val="nil"/>
                  </w:tcBorders>
                  <w:noWrap w:val="0"/>
                  <w:vAlign w:val="center"/>
                </w:tcPr>
                <w:p w14:paraId="257D5F44">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99.6</w:t>
                  </w:r>
                </w:p>
              </w:tc>
              <w:tc>
                <w:tcPr>
                  <w:tcW w:w="1219" w:type="dxa"/>
                  <w:tcBorders>
                    <w:tl2br w:val="nil"/>
                    <w:tr2bl w:val="nil"/>
                  </w:tcBorders>
                  <w:noWrap w:val="0"/>
                  <w:vAlign w:val="center"/>
                </w:tcPr>
                <w:p w14:paraId="2A45BFC8">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93</w:t>
                  </w:r>
                </w:p>
              </w:tc>
              <w:tc>
                <w:tcPr>
                  <w:tcW w:w="899" w:type="dxa"/>
                  <w:tcBorders>
                    <w:tl2br w:val="nil"/>
                    <w:tr2bl w:val="nil"/>
                  </w:tcBorders>
                  <w:noWrap w:val="0"/>
                  <w:vAlign w:val="center"/>
                </w:tcPr>
                <w:p w14:paraId="7D5405A4">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0.0918</w:t>
                  </w:r>
                </w:p>
              </w:tc>
              <w:tc>
                <w:tcPr>
                  <w:tcW w:w="1219" w:type="dxa"/>
                  <w:tcBorders>
                    <w:tl2br w:val="nil"/>
                    <w:tr2bl w:val="nil"/>
                  </w:tcBorders>
                  <w:noWrap w:val="0"/>
                  <w:vAlign w:val="center"/>
                </w:tcPr>
                <w:p w14:paraId="5E93CA7C">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121D2BE3">
                  <w:pPr>
                    <w:adjustRightInd w:val="0"/>
                    <w:snapToGrid w:val="0"/>
                    <w:jc w:val="center"/>
                    <w:textAlignment w:val="baseline"/>
                    <w:rPr>
                      <w:rFonts w:hint="eastAsia" w:cs="Times New Roman"/>
                      <w:bCs/>
                      <w:color w:val="auto"/>
                      <w:highlight w:val="none"/>
                      <w:lang w:val="en-US" w:eastAsia="zh-CN"/>
                    </w:rPr>
                  </w:pPr>
                  <w:r>
                    <w:rPr>
                      <w:rFonts w:hint="eastAsia" w:cs="Times New Roman"/>
                      <w:bCs/>
                      <w:color w:val="auto"/>
                      <w:highlight w:val="none"/>
                      <w:lang w:val="en-US" w:eastAsia="zh-CN"/>
                    </w:rPr>
                    <w:t>达标</w:t>
                  </w:r>
                </w:p>
              </w:tc>
            </w:tr>
            <w:tr w14:paraId="208325B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42" w:type="dxa"/>
                  <w:tcBorders>
                    <w:tl2br w:val="nil"/>
                    <w:tr2bl w:val="nil"/>
                  </w:tcBorders>
                  <w:noWrap w:val="0"/>
                  <w:vAlign w:val="center"/>
                </w:tcPr>
                <w:p w14:paraId="25FEF53A">
                  <w:pPr>
                    <w:adjustRightInd w:val="0"/>
                    <w:snapToGrid w:val="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DA015</w:t>
                  </w:r>
                </w:p>
              </w:tc>
              <w:tc>
                <w:tcPr>
                  <w:tcW w:w="849" w:type="dxa"/>
                  <w:tcBorders>
                    <w:tl2br w:val="nil"/>
                    <w:tr2bl w:val="nil"/>
                  </w:tcBorders>
                  <w:noWrap w:val="0"/>
                  <w:vAlign w:val="center"/>
                </w:tcPr>
                <w:p w14:paraId="44E88891">
                  <w:pPr>
                    <w:adjustRightInd w:val="0"/>
                    <w:snapToGrid w:val="0"/>
                    <w:jc w:val="center"/>
                    <w:textAlignment w:val="baseline"/>
                    <w:rPr>
                      <w:rFonts w:hint="eastAsia"/>
                      <w:color w:val="auto"/>
                      <w:szCs w:val="21"/>
                      <w:lang w:eastAsia="zh-CN"/>
                    </w:rPr>
                  </w:pPr>
                  <w:r>
                    <w:rPr>
                      <w:rFonts w:hint="eastAsia"/>
                      <w:color w:val="auto"/>
                      <w:szCs w:val="21"/>
                      <w:lang w:eastAsia="zh-CN"/>
                    </w:rPr>
                    <w:t>颗粒物</w:t>
                  </w:r>
                </w:p>
              </w:tc>
              <w:tc>
                <w:tcPr>
                  <w:tcW w:w="1219" w:type="dxa"/>
                  <w:tcBorders>
                    <w:tl2br w:val="nil"/>
                    <w:tr2bl w:val="nil"/>
                  </w:tcBorders>
                  <w:noWrap w:val="0"/>
                  <w:vAlign w:val="center"/>
                </w:tcPr>
                <w:p w14:paraId="7CAA4D4D">
                  <w:pPr>
                    <w:keepNext w:val="0"/>
                    <w:keepLines w:val="0"/>
                    <w:widowControl/>
                    <w:suppressLineNumbers w:val="0"/>
                    <w:jc w:val="center"/>
                    <w:textAlignment w:val="center"/>
                    <w:rPr>
                      <w:rFonts w:hint="eastAsia"/>
                      <w:bCs/>
                      <w:color w:val="auto"/>
                      <w:kern w:val="0"/>
                      <w:szCs w:val="21"/>
                      <w:lang w:val="en-US" w:eastAsia="zh-CN"/>
                    </w:rPr>
                  </w:pPr>
                  <w:r>
                    <w:rPr>
                      <w:rFonts w:hint="eastAsia" w:cs="Times New Roman"/>
                      <w:color w:val="auto"/>
                      <w:sz w:val="21"/>
                      <w:szCs w:val="21"/>
                      <w:highlight w:val="none"/>
                      <w:lang w:val="en-US" w:eastAsia="zh-CN"/>
                    </w:rPr>
                    <w:t>56.67</w:t>
                  </w:r>
                </w:p>
              </w:tc>
              <w:tc>
                <w:tcPr>
                  <w:tcW w:w="1159" w:type="dxa"/>
                  <w:tcBorders>
                    <w:tl2br w:val="nil"/>
                    <w:tr2bl w:val="nil"/>
                  </w:tcBorders>
                  <w:noWrap w:val="0"/>
                  <w:vAlign w:val="center"/>
                </w:tcPr>
                <w:p w14:paraId="40C167F0">
                  <w:pPr>
                    <w:adjustRightInd w:val="0"/>
                    <w:snapToGrid w:val="0"/>
                    <w:jc w:val="center"/>
                    <w:textAlignment w:val="baseline"/>
                    <w:rPr>
                      <w:rFonts w:hint="default" w:ascii="Times New Roman" w:hAnsi="Times New Roman"/>
                      <w:bCs/>
                      <w:color w:val="auto"/>
                      <w:highlight w:val="none"/>
                      <w:lang w:val="en-US" w:eastAsia="zh-CN"/>
                    </w:rPr>
                  </w:pPr>
                  <w:r>
                    <w:rPr>
                      <w:rFonts w:hint="eastAsia"/>
                      <w:bCs/>
                      <w:color w:val="auto"/>
                      <w:highlight w:val="none"/>
                      <w:lang w:val="en-US" w:eastAsia="zh-CN"/>
                    </w:rPr>
                    <w:t>2.3500</w:t>
                  </w:r>
                </w:p>
              </w:tc>
              <w:tc>
                <w:tcPr>
                  <w:tcW w:w="637" w:type="dxa"/>
                  <w:tcBorders>
                    <w:tl2br w:val="nil"/>
                    <w:tr2bl w:val="nil"/>
                  </w:tcBorders>
                  <w:noWrap w:val="0"/>
                  <w:vAlign w:val="center"/>
                </w:tcPr>
                <w:p w14:paraId="2F5684CF">
                  <w:pPr>
                    <w:adjustRightInd w:val="0"/>
                    <w:snapToGrid w:val="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99.6</w:t>
                  </w:r>
                </w:p>
              </w:tc>
              <w:tc>
                <w:tcPr>
                  <w:tcW w:w="1219" w:type="dxa"/>
                  <w:tcBorders>
                    <w:tl2br w:val="nil"/>
                    <w:tr2bl w:val="nil"/>
                  </w:tcBorders>
                  <w:noWrap w:val="0"/>
                  <w:vAlign w:val="center"/>
                </w:tcPr>
                <w:p w14:paraId="53F74DDD">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23</w:t>
                  </w:r>
                </w:p>
              </w:tc>
              <w:tc>
                <w:tcPr>
                  <w:tcW w:w="899" w:type="dxa"/>
                  <w:tcBorders>
                    <w:tl2br w:val="nil"/>
                    <w:tr2bl w:val="nil"/>
                  </w:tcBorders>
                  <w:noWrap w:val="0"/>
                  <w:vAlign w:val="center"/>
                </w:tcPr>
                <w:p w14:paraId="41E2D2EC">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0.0094</w:t>
                  </w:r>
                </w:p>
              </w:tc>
              <w:tc>
                <w:tcPr>
                  <w:tcW w:w="1219" w:type="dxa"/>
                  <w:tcBorders>
                    <w:tl2br w:val="nil"/>
                    <w:tr2bl w:val="nil"/>
                  </w:tcBorders>
                  <w:noWrap w:val="0"/>
                  <w:vAlign w:val="center"/>
                </w:tcPr>
                <w:p w14:paraId="67AC26FF">
                  <w:pPr>
                    <w:adjustRightInd w:val="0"/>
                    <w:snapToGrid w:val="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504FEA2A">
                  <w:pPr>
                    <w:adjustRightInd w:val="0"/>
                    <w:snapToGrid w:val="0"/>
                    <w:jc w:val="center"/>
                    <w:textAlignment w:val="baseline"/>
                    <w:rPr>
                      <w:rFonts w:hint="eastAsia" w:cs="Times New Roman"/>
                      <w:bCs/>
                      <w:color w:val="auto"/>
                      <w:highlight w:val="none"/>
                      <w:lang w:val="en-US" w:eastAsia="zh-CN"/>
                    </w:rPr>
                  </w:pPr>
                  <w:r>
                    <w:rPr>
                      <w:rFonts w:hint="eastAsia" w:cs="Times New Roman"/>
                      <w:bCs/>
                      <w:color w:val="auto"/>
                      <w:highlight w:val="none"/>
                      <w:lang w:val="en-US" w:eastAsia="zh-CN"/>
                    </w:rPr>
                    <w:t>达标</w:t>
                  </w:r>
                </w:p>
              </w:tc>
            </w:tr>
            <w:tr w14:paraId="7972537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42" w:type="dxa"/>
                  <w:tcBorders>
                    <w:tl2br w:val="nil"/>
                    <w:tr2bl w:val="nil"/>
                  </w:tcBorders>
                  <w:noWrap w:val="0"/>
                  <w:vAlign w:val="center"/>
                </w:tcPr>
                <w:p w14:paraId="3ED6FD6D">
                  <w:pPr>
                    <w:adjustRightInd w:val="0"/>
                    <w:snapToGrid w:val="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DA016</w:t>
                  </w:r>
                </w:p>
              </w:tc>
              <w:tc>
                <w:tcPr>
                  <w:tcW w:w="849" w:type="dxa"/>
                  <w:tcBorders>
                    <w:tl2br w:val="nil"/>
                    <w:tr2bl w:val="nil"/>
                  </w:tcBorders>
                  <w:noWrap w:val="0"/>
                  <w:vAlign w:val="center"/>
                </w:tcPr>
                <w:p w14:paraId="6A021C52">
                  <w:pPr>
                    <w:adjustRightInd w:val="0"/>
                    <w:snapToGrid w:val="0"/>
                    <w:jc w:val="center"/>
                    <w:textAlignment w:val="baseline"/>
                    <w:rPr>
                      <w:rFonts w:hint="eastAsia"/>
                      <w:color w:val="auto"/>
                      <w:szCs w:val="21"/>
                      <w:lang w:eastAsia="zh-CN"/>
                    </w:rPr>
                  </w:pPr>
                  <w:r>
                    <w:rPr>
                      <w:rFonts w:hint="eastAsia"/>
                      <w:color w:val="auto"/>
                      <w:szCs w:val="21"/>
                      <w:lang w:eastAsia="zh-CN"/>
                    </w:rPr>
                    <w:t>颗粒物</w:t>
                  </w:r>
                </w:p>
              </w:tc>
              <w:tc>
                <w:tcPr>
                  <w:tcW w:w="1219" w:type="dxa"/>
                  <w:tcBorders>
                    <w:tl2br w:val="nil"/>
                    <w:tr2bl w:val="nil"/>
                  </w:tcBorders>
                  <w:noWrap w:val="0"/>
                  <w:vAlign w:val="center"/>
                </w:tcPr>
                <w:p w14:paraId="1DD4A556">
                  <w:pPr>
                    <w:keepNext w:val="0"/>
                    <w:keepLines w:val="0"/>
                    <w:widowControl/>
                    <w:suppressLineNumbers w:val="0"/>
                    <w:jc w:val="center"/>
                    <w:textAlignment w:val="center"/>
                    <w:rPr>
                      <w:rFonts w:hint="eastAsia"/>
                      <w:bCs/>
                      <w:color w:val="auto"/>
                      <w:kern w:val="0"/>
                      <w:szCs w:val="21"/>
                      <w:lang w:val="en-US" w:eastAsia="zh-CN"/>
                    </w:rPr>
                  </w:pPr>
                  <w:r>
                    <w:rPr>
                      <w:rFonts w:hint="eastAsia" w:cs="Times New Roman"/>
                      <w:color w:val="auto"/>
                      <w:sz w:val="21"/>
                      <w:szCs w:val="21"/>
                      <w:highlight w:val="none"/>
                      <w:lang w:val="en-US" w:eastAsia="zh-CN"/>
                    </w:rPr>
                    <w:t>56.67</w:t>
                  </w:r>
                </w:p>
              </w:tc>
              <w:tc>
                <w:tcPr>
                  <w:tcW w:w="1159" w:type="dxa"/>
                  <w:tcBorders>
                    <w:tl2br w:val="nil"/>
                    <w:tr2bl w:val="nil"/>
                  </w:tcBorders>
                  <w:noWrap w:val="0"/>
                  <w:vAlign w:val="center"/>
                </w:tcPr>
                <w:p w14:paraId="44D19D86">
                  <w:pPr>
                    <w:adjustRightInd w:val="0"/>
                    <w:snapToGrid w:val="0"/>
                    <w:jc w:val="center"/>
                    <w:textAlignment w:val="baseline"/>
                    <w:rPr>
                      <w:rFonts w:hint="eastAsia" w:ascii="Times New Roman" w:hAnsi="Times New Roman"/>
                      <w:bCs/>
                      <w:color w:val="auto"/>
                      <w:lang w:val="en-US" w:eastAsia="zh-CN"/>
                    </w:rPr>
                  </w:pPr>
                  <w:r>
                    <w:rPr>
                      <w:rFonts w:hint="eastAsia"/>
                      <w:bCs/>
                      <w:color w:val="auto"/>
                      <w:highlight w:val="none"/>
                      <w:lang w:val="en-US" w:eastAsia="zh-CN"/>
                    </w:rPr>
                    <w:t>2.3500</w:t>
                  </w:r>
                </w:p>
              </w:tc>
              <w:tc>
                <w:tcPr>
                  <w:tcW w:w="637" w:type="dxa"/>
                  <w:tcBorders>
                    <w:tl2br w:val="nil"/>
                    <w:tr2bl w:val="nil"/>
                  </w:tcBorders>
                  <w:noWrap w:val="0"/>
                  <w:vAlign w:val="center"/>
                </w:tcPr>
                <w:p w14:paraId="55D2C14B">
                  <w:pPr>
                    <w:adjustRightInd w:val="0"/>
                    <w:snapToGrid w:val="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99.6</w:t>
                  </w:r>
                </w:p>
              </w:tc>
              <w:tc>
                <w:tcPr>
                  <w:tcW w:w="1219" w:type="dxa"/>
                  <w:tcBorders>
                    <w:tl2br w:val="nil"/>
                    <w:tr2bl w:val="nil"/>
                  </w:tcBorders>
                  <w:noWrap w:val="0"/>
                  <w:vAlign w:val="center"/>
                </w:tcPr>
                <w:p w14:paraId="1ED42606">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23</w:t>
                  </w:r>
                </w:p>
              </w:tc>
              <w:tc>
                <w:tcPr>
                  <w:tcW w:w="899" w:type="dxa"/>
                  <w:tcBorders>
                    <w:tl2br w:val="nil"/>
                    <w:tr2bl w:val="nil"/>
                  </w:tcBorders>
                  <w:noWrap w:val="0"/>
                  <w:vAlign w:val="center"/>
                </w:tcPr>
                <w:p w14:paraId="11DCE2C0">
                  <w:pPr>
                    <w:adjustRightInd w:val="0"/>
                    <w:snapToGrid w:val="0"/>
                    <w:jc w:val="center"/>
                    <w:textAlignment w:val="baseline"/>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0.0094</w:t>
                  </w:r>
                </w:p>
              </w:tc>
              <w:tc>
                <w:tcPr>
                  <w:tcW w:w="1219" w:type="dxa"/>
                  <w:tcBorders>
                    <w:tl2br w:val="nil"/>
                    <w:tr2bl w:val="nil"/>
                  </w:tcBorders>
                  <w:noWrap w:val="0"/>
                  <w:vAlign w:val="center"/>
                </w:tcPr>
                <w:p w14:paraId="1C09F0FF">
                  <w:pPr>
                    <w:adjustRightInd w:val="0"/>
                    <w:snapToGrid w:val="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17A9C9D0">
                  <w:pPr>
                    <w:adjustRightInd w:val="0"/>
                    <w:snapToGrid w:val="0"/>
                    <w:jc w:val="center"/>
                    <w:textAlignment w:val="baseline"/>
                    <w:rPr>
                      <w:rFonts w:hint="eastAsia" w:cs="Times New Roman"/>
                      <w:bCs/>
                      <w:color w:val="auto"/>
                      <w:highlight w:val="none"/>
                      <w:lang w:val="en-US" w:eastAsia="zh-CN"/>
                    </w:rPr>
                  </w:pPr>
                  <w:r>
                    <w:rPr>
                      <w:rFonts w:hint="eastAsia" w:cs="Times New Roman"/>
                      <w:bCs/>
                      <w:color w:val="auto"/>
                      <w:highlight w:val="none"/>
                      <w:lang w:val="en-US" w:eastAsia="zh-CN"/>
                    </w:rPr>
                    <w:t>达标</w:t>
                  </w:r>
                </w:p>
              </w:tc>
            </w:tr>
            <w:tr w14:paraId="10127CC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42" w:type="dxa"/>
                  <w:tcBorders>
                    <w:tl2br w:val="nil"/>
                    <w:tr2bl w:val="nil"/>
                  </w:tcBorders>
                  <w:noWrap w:val="0"/>
                  <w:vAlign w:val="center"/>
                </w:tcPr>
                <w:p w14:paraId="5504464B">
                  <w:pPr>
                    <w:adjustRightInd w:val="0"/>
                    <w:snapToGrid w:val="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DA017</w:t>
                  </w:r>
                </w:p>
              </w:tc>
              <w:tc>
                <w:tcPr>
                  <w:tcW w:w="849" w:type="dxa"/>
                  <w:tcBorders>
                    <w:tl2br w:val="nil"/>
                    <w:tr2bl w:val="nil"/>
                  </w:tcBorders>
                  <w:noWrap w:val="0"/>
                  <w:vAlign w:val="center"/>
                </w:tcPr>
                <w:p w14:paraId="4647CFCE">
                  <w:pPr>
                    <w:adjustRightInd w:val="0"/>
                    <w:snapToGrid w:val="0"/>
                    <w:jc w:val="center"/>
                    <w:textAlignment w:val="baseline"/>
                    <w:rPr>
                      <w:rFonts w:hint="eastAsia"/>
                      <w:color w:val="auto"/>
                      <w:szCs w:val="21"/>
                      <w:lang w:eastAsia="zh-CN"/>
                    </w:rPr>
                  </w:pPr>
                  <w:r>
                    <w:rPr>
                      <w:rFonts w:hint="eastAsia"/>
                      <w:color w:val="auto"/>
                      <w:szCs w:val="21"/>
                      <w:lang w:eastAsia="zh-CN"/>
                    </w:rPr>
                    <w:t>颗粒物</w:t>
                  </w:r>
                </w:p>
              </w:tc>
              <w:tc>
                <w:tcPr>
                  <w:tcW w:w="1219" w:type="dxa"/>
                  <w:tcBorders>
                    <w:tl2br w:val="nil"/>
                    <w:tr2bl w:val="nil"/>
                  </w:tcBorders>
                  <w:noWrap w:val="0"/>
                  <w:vAlign w:val="center"/>
                </w:tcPr>
                <w:p w14:paraId="2E445A72">
                  <w:pPr>
                    <w:keepNext w:val="0"/>
                    <w:keepLines w:val="0"/>
                    <w:widowControl/>
                    <w:suppressLineNumbers w:val="0"/>
                    <w:jc w:val="center"/>
                    <w:textAlignment w:val="center"/>
                    <w:rPr>
                      <w:rFonts w:hint="eastAsia"/>
                      <w:bCs/>
                      <w:color w:val="auto"/>
                      <w:kern w:val="0"/>
                      <w:szCs w:val="21"/>
                      <w:lang w:val="en-US" w:eastAsia="zh-CN"/>
                    </w:rPr>
                  </w:pPr>
                  <w:r>
                    <w:rPr>
                      <w:rFonts w:hint="eastAsia" w:cs="Times New Roman"/>
                      <w:color w:val="auto"/>
                      <w:sz w:val="21"/>
                      <w:szCs w:val="21"/>
                      <w:highlight w:val="none"/>
                      <w:lang w:val="en-US" w:eastAsia="zh-CN"/>
                    </w:rPr>
                    <w:t>19.49</w:t>
                  </w:r>
                </w:p>
              </w:tc>
              <w:tc>
                <w:tcPr>
                  <w:tcW w:w="1159" w:type="dxa"/>
                  <w:tcBorders>
                    <w:tl2br w:val="nil"/>
                    <w:tr2bl w:val="nil"/>
                  </w:tcBorders>
                  <w:noWrap w:val="0"/>
                  <w:vAlign w:val="center"/>
                </w:tcPr>
                <w:p w14:paraId="24D46B8F">
                  <w:pPr>
                    <w:adjustRightInd w:val="0"/>
                    <w:snapToGrid w:val="0"/>
                    <w:jc w:val="center"/>
                    <w:textAlignment w:val="baseline"/>
                    <w:rPr>
                      <w:rFonts w:hint="default" w:ascii="Times New Roman" w:hAnsi="Times New Roman"/>
                      <w:bCs/>
                      <w:color w:val="auto"/>
                      <w:highlight w:val="none"/>
                      <w:lang w:val="en-US" w:eastAsia="zh-CN"/>
                    </w:rPr>
                  </w:pPr>
                  <w:r>
                    <w:rPr>
                      <w:rFonts w:hint="eastAsia"/>
                      <w:bCs/>
                      <w:color w:val="auto"/>
                      <w:highlight w:val="none"/>
                      <w:lang w:val="en-US" w:eastAsia="zh-CN"/>
                    </w:rPr>
                    <w:t>0.4302</w:t>
                  </w:r>
                </w:p>
              </w:tc>
              <w:tc>
                <w:tcPr>
                  <w:tcW w:w="637" w:type="dxa"/>
                  <w:tcBorders>
                    <w:tl2br w:val="nil"/>
                    <w:tr2bl w:val="nil"/>
                  </w:tcBorders>
                  <w:noWrap w:val="0"/>
                  <w:vAlign w:val="center"/>
                </w:tcPr>
                <w:p w14:paraId="70F70BD5">
                  <w:pPr>
                    <w:adjustRightInd w:val="0"/>
                    <w:snapToGrid w:val="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99.6</w:t>
                  </w:r>
                </w:p>
              </w:tc>
              <w:tc>
                <w:tcPr>
                  <w:tcW w:w="1219" w:type="dxa"/>
                  <w:tcBorders>
                    <w:tl2br w:val="nil"/>
                    <w:tr2bl w:val="nil"/>
                  </w:tcBorders>
                  <w:noWrap w:val="0"/>
                  <w:vAlign w:val="center"/>
                </w:tcPr>
                <w:p w14:paraId="7B0EF841">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9</w:t>
                  </w:r>
                </w:p>
              </w:tc>
              <w:tc>
                <w:tcPr>
                  <w:tcW w:w="899" w:type="dxa"/>
                  <w:tcBorders>
                    <w:tl2br w:val="nil"/>
                    <w:tr2bl w:val="nil"/>
                  </w:tcBorders>
                  <w:noWrap w:val="0"/>
                  <w:vAlign w:val="center"/>
                </w:tcPr>
                <w:p w14:paraId="1EAA94AE">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0.0017</w:t>
                  </w:r>
                </w:p>
              </w:tc>
              <w:tc>
                <w:tcPr>
                  <w:tcW w:w="1219" w:type="dxa"/>
                  <w:tcBorders>
                    <w:tl2br w:val="nil"/>
                    <w:tr2bl w:val="nil"/>
                  </w:tcBorders>
                  <w:noWrap w:val="0"/>
                  <w:vAlign w:val="center"/>
                </w:tcPr>
                <w:p w14:paraId="46EB98B8">
                  <w:pPr>
                    <w:adjustRightInd w:val="0"/>
                    <w:snapToGrid w:val="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7141568B">
                  <w:pPr>
                    <w:adjustRightInd w:val="0"/>
                    <w:snapToGrid w:val="0"/>
                    <w:jc w:val="center"/>
                    <w:textAlignment w:val="baseline"/>
                    <w:rPr>
                      <w:rFonts w:hint="eastAsia" w:cs="Times New Roman"/>
                      <w:bCs/>
                      <w:color w:val="auto"/>
                      <w:highlight w:val="none"/>
                      <w:lang w:val="en-US" w:eastAsia="zh-CN"/>
                    </w:rPr>
                  </w:pPr>
                  <w:r>
                    <w:rPr>
                      <w:rFonts w:hint="eastAsia" w:cs="Times New Roman"/>
                      <w:bCs/>
                      <w:color w:val="auto"/>
                      <w:highlight w:val="none"/>
                      <w:lang w:val="en-US" w:eastAsia="zh-CN"/>
                    </w:rPr>
                    <w:t>达标</w:t>
                  </w:r>
                </w:p>
              </w:tc>
            </w:tr>
            <w:tr w14:paraId="6864A94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42" w:type="dxa"/>
                  <w:tcBorders>
                    <w:tl2br w:val="nil"/>
                    <w:tr2bl w:val="nil"/>
                  </w:tcBorders>
                  <w:noWrap w:val="0"/>
                  <w:vAlign w:val="center"/>
                </w:tcPr>
                <w:p w14:paraId="12EC4C50">
                  <w:pPr>
                    <w:adjustRightInd w:val="0"/>
                    <w:snapToGrid w:val="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DA018</w:t>
                  </w:r>
                </w:p>
              </w:tc>
              <w:tc>
                <w:tcPr>
                  <w:tcW w:w="849" w:type="dxa"/>
                  <w:tcBorders>
                    <w:tl2br w:val="nil"/>
                    <w:tr2bl w:val="nil"/>
                  </w:tcBorders>
                  <w:noWrap w:val="0"/>
                  <w:vAlign w:val="center"/>
                </w:tcPr>
                <w:p w14:paraId="052A3D46">
                  <w:pPr>
                    <w:adjustRightInd w:val="0"/>
                    <w:snapToGrid w:val="0"/>
                    <w:jc w:val="center"/>
                    <w:textAlignment w:val="baseline"/>
                    <w:rPr>
                      <w:rFonts w:hint="eastAsia"/>
                      <w:color w:val="auto"/>
                      <w:szCs w:val="21"/>
                      <w:lang w:eastAsia="zh-CN"/>
                    </w:rPr>
                  </w:pPr>
                  <w:r>
                    <w:rPr>
                      <w:rFonts w:hint="eastAsia"/>
                      <w:color w:val="auto"/>
                      <w:szCs w:val="21"/>
                      <w:lang w:eastAsia="zh-CN"/>
                    </w:rPr>
                    <w:t>颗粒物</w:t>
                  </w:r>
                </w:p>
              </w:tc>
              <w:tc>
                <w:tcPr>
                  <w:tcW w:w="1219" w:type="dxa"/>
                  <w:tcBorders>
                    <w:tl2br w:val="nil"/>
                    <w:tr2bl w:val="nil"/>
                  </w:tcBorders>
                  <w:noWrap w:val="0"/>
                  <w:vAlign w:val="center"/>
                </w:tcPr>
                <w:p w14:paraId="5C5CF749">
                  <w:pPr>
                    <w:keepNext w:val="0"/>
                    <w:keepLines w:val="0"/>
                    <w:widowControl/>
                    <w:suppressLineNumbers w:val="0"/>
                    <w:jc w:val="center"/>
                    <w:textAlignment w:val="center"/>
                    <w:rPr>
                      <w:rFonts w:hint="eastAsia"/>
                      <w:bCs/>
                      <w:color w:val="auto"/>
                      <w:kern w:val="0"/>
                      <w:szCs w:val="21"/>
                      <w:lang w:val="en-US" w:eastAsia="zh-CN"/>
                    </w:rPr>
                  </w:pPr>
                  <w:r>
                    <w:rPr>
                      <w:rFonts w:hint="eastAsia" w:cs="Times New Roman"/>
                      <w:color w:val="auto"/>
                      <w:sz w:val="21"/>
                      <w:szCs w:val="21"/>
                      <w:highlight w:val="none"/>
                      <w:lang w:val="en-US" w:eastAsia="zh-CN"/>
                    </w:rPr>
                    <w:t>19.49</w:t>
                  </w:r>
                </w:p>
              </w:tc>
              <w:tc>
                <w:tcPr>
                  <w:tcW w:w="1159" w:type="dxa"/>
                  <w:tcBorders>
                    <w:tl2br w:val="nil"/>
                    <w:tr2bl w:val="nil"/>
                  </w:tcBorders>
                  <w:noWrap w:val="0"/>
                  <w:vAlign w:val="center"/>
                </w:tcPr>
                <w:p w14:paraId="060EC919">
                  <w:pPr>
                    <w:adjustRightInd w:val="0"/>
                    <w:snapToGrid w:val="0"/>
                    <w:jc w:val="center"/>
                    <w:textAlignment w:val="baseline"/>
                    <w:rPr>
                      <w:rFonts w:hint="eastAsia" w:ascii="Times New Roman" w:hAnsi="Times New Roman"/>
                      <w:bCs/>
                      <w:color w:val="auto"/>
                      <w:lang w:val="en-US" w:eastAsia="zh-CN"/>
                    </w:rPr>
                  </w:pPr>
                  <w:r>
                    <w:rPr>
                      <w:rFonts w:hint="eastAsia"/>
                      <w:bCs/>
                      <w:color w:val="auto"/>
                      <w:highlight w:val="none"/>
                      <w:lang w:val="en-US" w:eastAsia="zh-CN"/>
                    </w:rPr>
                    <w:t>0.4302</w:t>
                  </w:r>
                </w:p>
              </w:tc>
              <w:tc>
                <w:tcPr>
                  <w:tcW w:w="637" w:type="dxa"/>
                  <w:tcBorders>
                    <w:tl2br w:val="nil"/>
                    <w:tr2bl w:val="nil"/>
                  </w:tcBorders>
                  <w:noWrap w:val="0"/>
                  <w:vAlign w:val="center"/>
                </w:tcPr>
                <w:p w14:paraId="244F8C14">
                  <w:pPr>
                    <w:adjustRightInd w:val="0"/>
                    <w:snapToGrid w:val="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99.6</w:t>
                  </w:r>
                </w:p>
              </w:tc>
              <w:tc>
                <w:tcPr>
                  <w:tcW w:w="1219" w:type="dxa"/>
                  <w:tcBorders>
                    <w:tl2br w:val="nil"/>
                    <w:tr2bl w:val="nil"/>
                  </w:tcBorders>
                  <w:noWrap w:val="0"/>
                  <w:vAlign w:val="center"/>
                </w:tcPr>
                <w:p w14:paraId="084227A0">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9</w:t>
                  </w:r>
                </w:p>
              </w:tc>
              <w:tc>
                <w:tcPr>
                  <w:tcW w:w="899" w:type="dxa"/>
                  <w:tcBorders>
                    <w:tl2br w:val="nil"/>
                    <w:tr2bl w:val="nil"/>
                  </w:tcBorders>
                  <w:noWrap w:val="0"/>
                  <w:vAlign w:val="center"/>
                </w:tcPr>
                <w:p w14:paraId="76C8B61E">
                  <w:pPr>
                    <w:adjustRightInd w:val="0"/>
                    <w:snapToGrid w:val="0"/>
                    <w:jc w:val="center"/>
                    <w:textAlignment w:val="baseline"/>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0.0017</w:t>
                  </w:r>
                </w:p>
              </w:tc>
              <w:tc>
                <w:tcPr>
                  <w:tcW w:w="1219" w:type="dxa"/>
                  <w:tcBorders>
                    <w:tl2br w:val="nil"/>
                    <w:tr2bl w:val="nil"/>
                  </w:tcBorders>
                  <w:noWrap w:val="0"/>
                  <w:vAlign w:val="center"/>
                </w:tcPr>
                <w:p w14:paraId="2B73DC3E">
                  <w:pPr>
                    <w:adjustRightInd w:val="0"/>
                    <w:snapToGrid w:val="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5CF3CDCC">
                  <w:pPr>
                    <w:adjustRightInd w:val="0"/>
                    <w:snapToGrid w:val="0"/>
                    <w:jc w:val="center"/>
                    <w:textAlignment w:val="baseline"/>
                    <w:rPr>
                      <w:rFonts w:hint="eastAsia" w:cs="Times New Roman"/>
                      <w:bCs/>
                      <w:color w:val="auto"/>
                      <w:highlight w:val="none"/>
                      <w:lang w:val="en-US" w:eastAsia="zh-CN"/>
                    </w:rPr>
                  </w:pPr>
                  <w:r>
                    <w:rPr>
                      <w:rFonts w:hint="eastAsia" w:cs="Times New Roman"/>
                      <w:bCs/>
                      <w:color w:val="auto"/>
                      <w:highlight w:val="none"/>
                      <w:lang w:val="en-US" w:eastAsia="zh-CN"/>
                    </w:rPr>
                    <w:t>达标</w:t>
                  </w:r>
                </w:p>
              </w:tc>
            </w:tr>
            <w:tr w14:paraId="7D36496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42" w:type="dxa"/>
                  <w:tcBorders>
                    <w:tl2br w:val="nil"/>
                    <w:tr2bl w:val="nil"/>
                  </w:tcBorders>
                  <w:noWrap w:val="0"/>
                  <w:vAlign w:val="center"/>
                </w:tcPr>
                <w:p w14:paraId="04995DF2">
                  <w:pPr>
                    <w:adjustRightInd w:val="0"/>
                    <w:snapToGrid w:val="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DA019</w:t>
                  </w:r>
                </w:p>
              </w:tc>
              <w:tc>
                <w:tcPr>
                  <w:tcW w:w="849" w:type="dxa"/>
                  <w:tcBorders>
                    <w:tl2br w:val="nil"/>
                    <w:tr2bl w:val="nil"/>
                  </w:tcBorders>
                  <w:noWrap w:val="0"/>
                  <w:vAlign w:val="center"/>
                </w:tcPr>
                <w:p w14:paraId="7B51846D">
                  <w:pPr>
                    <w:adjustRightInd w:val="0"/>
                    <w:snapToGrid w:val="0"/>
                    <w:jc w:val="center"/>
                    <w:textAlignment w:val="baseline"/>
                    <w:rPr>
                      <w:rFonts w:hint="eastAsia"/>
                      <w:color w:val="auto"/>
                      <w:szCs w:val="21"/>
                      <w:lang w:eastAsia="zh-CN"/>
                    </w:rPr>
                  </w:pPr>
                  <w:r>
                    <w:rPr>
                      <w:rFonts w:hint="eastAsia"/>
                      <w:color w:val="auto"/>
                      <w:szCs w:val="21"/>
                      <w:lang w:eastAsia="zh-CN"/>
                    </w:rPr>
                    <w:t>颗粒物</w:t>
                  </w:r>
                </w:p>
              </w:tc>
              <w:tc>
                <w:tcPr>
                  <w:tcW w:w="1219" w:type="dxa"/>
                  <w:tcBorders>
                    <w:tl2br w:val="nil"/>
                    <w:tr2bl w:val="nil"/>
                  </w:tcBorders>
                  <w:noWrap w:val="0"/>
                  <w:vAlign w:val="center"/>
                </w:tcPr>
                <w:p w14:paraId="14458AC9">
                  <w:pPr>
                    <w:keepNext w:val="0"/>
                    <w:keepLines w:val="0"/>
                    <w:widowControl/>
                    <w:suppressLineNumbers w:val="0"/>
                    <w:jc w:val="center"/>
                    <w:textAlignment w:val="center"/>
                    <w:rPr>
                      <w:rFonts w:hint="eastAsia"/>
                      <w:bCs/>
                      <w:color w:val="auto"/>
                      <w:kern w:val="0"/>
                      <w:szCs w:val="21"/>
                      <w:lang w:val="en-US" w:eastAsia="zh-CN"/>
                    </w:rPr>
                  </w:pPr>
                  <w:r>
                    <w:rPr>
                      <w:rFonts w:hint="eastAsia" w:cs="Times New Roman"/>
                      <w:color w:val="auto"/>
                      <w:sz w:val="21"/>
                      <w:szCs w:val="21"/>
                      <w:highlight w:val="none"/>
                      <w:lang w:val="en-US" w:eastAsia="zh-CN"/>
                    </w:rPr>
                    <w:t>7662.5</w:t>
                  </w:r>
                </w:p>
              </w:tc>
              <w:tc>
                <w:tcPr>
                  <w:tcW w:w="1159" w:type="dxa"/>
                  <w:tcBorders>
                    <w:tl2br w:val="nil"/>
                    <w:tr2bl w:val="nil"/>
                  </w:tcBorders>
                  <w:noWrap w:val="0"/>
                  <w:vAlign w:val="center"/>
                </w:tcPr>
                <w:p w14:paraId="1ADBB5AE">
                  <w:pPr>
                    <w:adjustRightInd w:val="0"/>
                    <w:snapToGrid w:val="0"/>
                    <w:jc w:val="center"/>
                    <w:textAlignment w:val="baseline"/>
                    <w:rPr>
                      <w:rFonts w:hint="default" w:ascii="Times New Roman" w:hAnsi="Times New Roman"/>
                      <w:bCs/>
                      <w:color w:val="auto"/>
                      <w:lang w:val="en-US" w:eastAsia="zh-CN"/>
                    </w:rPr>
                  </w:pPr>
                  <w:r>
                    <w:rPr>
                      <w:rFonts w:hint="eastAsia"/>
                      <w:bCs/>
                      <w:color w:val="auto"/>
                      <w:lang w:val="en-US" w:eastAsia="zh-CN"/>
                    </w:rPr>
                    <w:t>0.3065</w:t>
                  </w:r>
                </w:p>
              </w:tc>
              <w:tc>
                <w:tcPr>
                  <w:tcW w:w="637" w:type="dxa"/>
                  <w:tcBorders>
                    <w:tl2br w:val="nil"/>
                    <w:tr2bl w:val="nil"/>
                  </w:tcBorders>
                  <w:noWrap w:val="0"/>
                  <w:vAlign w:val="center"/>
                </w:tcPr>
                <w:p w14:paraId="2D41F038">
                  <w:pPr>
                    <w:adjustRightInd w:val="0"/>
                    <w:snapToGrid w:val="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99.6</w:t>
                  </w:r>
                </w:p>
              </w:tc>
              <w:tc>
                <w:tcPr>
                  <w:tcW w:w="1219" w:type="dxa"/>
                  <w:tcBorders>
                    <w:tl2br w:val="nil"/>
                    <w:tr2bl w:val="nil"/>
                  </w:tcBorders>
                  <w:noWrap w:val="0"/>
                  <w:vAlign w:val="center"/>
                </w:tcPr>
                <w:p w14:paraId="75F40A6D">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30.65</w:t>
                  </w:r>
                </w:p>
              </w:tc>
              <w:tc>
                <w:tcPr>
                  <w:tcW w:w="899" w:type="dxa"/>
                  <w:tcBorders>
                    <w:tl2br w:val="nil"/>
                    <w:tr2bl w:val="nil"/>
                  </w:tcBorders>
                  <w:noWrap w:val="0"/>
                  <w:vAlign w:val="center"/>
                </w:tcPr>
                <w:p w14:paraId="5FABE13A">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0.0012</w:t>
                  </w:r>
                </w:p>
              </w:tc>
              <w:tc>
                <w:tcPr>
                  <w:tcW w:w="1219" w:type="dxa"/>
                  <w:tcBorders>
                    <w:tl2br w:val="nil"/>
                    <w:tr2bl w:val="nil"/>
                  </w:tcBorders>
                  <w:noWrap w:val="0"/>
                  <w:vAlign w:val="center"/>
                </w:tcPr>
                <w:p w14:paraId="42B0B5A2">
                  <w:pPr>
                    <w:adjustRightInd w:val="0"/>
                    <w:snapToGrid w:val="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427" w:type="dxa"/>
                  <w:tcBorders>
                    <w:tl2br w:val="nil"/>
                    <w:tr2bl w:val="nil"/>
                  </w:tcBorders>
                  <w:noWrap w:val="0"/>
                  <w:vAlign w:val="center"/>
                </w:tcPr>
                <w:p w14:paraId="67889B49">
                  <w:pPr>
                    <w:adjustRightInd w:val="0"/>
                    <w:snapToGrid w:val="0"/>
                    <w:jc w:val="center"/>
                    <w:textAlignment w:val="baseline"/>
                    <w:rPr>
                      <w:rFonts w:hint="eastAsia" w:cs="Times New Roman"/>
                      <w:bCs/>
                      <w:color w:val="auto"/>
                      <w:highlight w:val="none"/>
                      <w:lang w:val="en-US" w:eastAsia="zh-CN"/>
                    </w:rPr>
                  </w:pPr>
                  <w:r>
                    <w:rPr>
                      <w:rFonts w:hint="eastAsia" w:cs="Times New Roman"/>
                      <w:bCs/>
                      <w:color w:val="auto"/>
                      <w:highlight w:val="none"/>
                      <w:lang w:val="en-US" w:eastAsia="zh-CN"/>
                    </w:rPr>
                    <w:t>达标</w:t>
                  </w:r>
                </w:p>
              </w:tc>
            </w:tr>
          </w:tbl>
          <w:p w14:paraId="6D1C29F3">
            <w:pPr>
              <w:pStyle w:val="16"/>
              <w:keepNext w:val="0"/>
              <w:keepLines w:val="0"/>
              <w:pageBreakBefore w:val="0"/>
              <w:widowControl w:val="0"/>
              <w:kinsoku/>
              <w:wordWrap/>
              <w:overflowPunct/>
              <w:topLinePunct w:val="0"/>
              <w:autoSpaceDE/>
              <w:autoSpaceDN/>
              <w:bidi w:val="0"/>
              <w:adjustRightInd/>
              <w:snapToGrid/>
              <w:spacing w:line="351" w:lineRule="auto"/>
              <w:ind w:firstLine="482"/>
              <w:textAlignment w:val="auto"/>
              <w:rPr>
                <w:rFonts w:hint="default" w:ascii="Times New Roman" w:hAnsi="Times New Roman" w:eastAsia="宋体" w:cs="Times New Roman"/>
                <w:color w:val="auto"/>
                <w:kern w:val="0"/>
                <w:sz w:val="24"/>
                <w:szCs w:val="24"/>
                <w:highlight w:val="none"/>
                <w:lang w:val="en-US"/>
              </w:rPr>
            </w:pPr>
            <w:r>
              <w:rPr>
                <w:rFonts w:hint="default" w:ascii="Times New Roman" w:hAnsi="Times New Roman" w:eastAsia="宋体" w:cs="Times New Roman"/>
                <w:color w:val="auto"/>
                <w:kern w:val="0"/>
                <w:sz w:val="24"/>
                <w:szCs w:val="24"/>
                <w:highlight w:val="none"/>
              </w:rPr>
              <w:t>根据</w:t>
            </w:r>
            <w:r>
              <w:rPr>
                <w:rFonts w:hint="default" w:ascii="Times New Roman" w:hAnsi="Times New Roman" w:eastAsia="宋体" w:cs="Times New Roman"/>
                <w:color w:val="auto"/>
                <w:kern w:val="0"/>
                <w:sz w:val="24"/>
                <w:szCs w:val="24"/>
                <w:highlight w:val="none"/>
                <w:lang w:val="en-US" w:eastAsia="zh-CN"/>
              </w:rPr>
              <w:t>上文</w:t>
            </w:r>
            <w:r>
              <w:rPr>
                <w:rFonts w:hint="default" w:ascii="Times New Roman" w:hAnsi="Times New Roman" w:eastAsia="宋体" w:cs="Times New Roman"/>
                <w:color w:val="auto"/>
                <w:kern w:val="0"/>
                <w:sz w:val="24"/>
                <w:szCs w:val="24"/>
                <w:highlight w:val="none"/>
                <w:lang w:eastAsia="zh-CN"/>
              </w:rPr>
              <w:t>污染物核算</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项目</w:t>
            </w:r>
            <w:r>
              <w:rPr>
                <w:rFonts w:hint="default" w:ascii="Times New Roman" w:hAnsi="Times New Roman" w:eastAsia="宋体" w:cs="Times New Roman"/>
                <w:bCs/>
                <w:color w:val="auto"/>
                <w:kern w:val="0"/>
                <w:sz w:val="24"/>
                <w:szCs w:val="24"/>
                <w:highlight w:val="none"/>
              </w:rPr>
              <w:t>DA001</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2</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3</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4</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6</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7</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8</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DA00</w:t>
            </w:r>
            <w:r>
              <w:rPr>
                <w:rFonts w:hint="default" w:ascii="Times New Roman" w:hAnsi="Times New Roman" w:eastAsia="宋体" w:cs="Times New Roman"/>
                <w:bCs/>
                <w:color w:val="auto"/>
                <w:kern w:val="0"/>
                <w:sz w:val="24"/>
                <w:szCs w:val="24"/>
                <w:highlight w:val="none"/>
                <w:lang w:val="en-US" w:eastAsia="zh-CN"/>
              </w:rPr>
              <w:t>9</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w:t>
            </w:r>
            <w:r>
              <w:rPr>
                <w:rFonts w:hint="default" w:ascii="Times New Roman" w:hAnsi="Times New Roman" w:eastAsia="宋体" w:cs="Times New Roman"/>
                <w:bCs/>
                <w:color w:val="auto"/>
                <w:kern w:val="0"/>
                <w:sz w:val="24"/>
                <w:szCs w:val="24"/>
                <w:highlight w:val="none"/>
                <w:lang w:val="en-US" w:eastAsia="zh-CN"/>
              </w:rPr>
              <w:t>10</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DA01</w:t>
            </w:r>
            <w:r>
              <w:rPr>
                <w:rFonts w:hint="default" w:ascii="Times New Roman" w:hAnsi="Times New Roman" w:eastAsia="宋体" w:cs="Times New Roman"/>
                <w:bCs/>
                <w:color w:val="auto"/>
                <w:kern w:val="0"/>
                <w:sz w:val="24"/>
                <w:szCs w:val="24"/>
                <w:highlight w:val="none"/>
                <w:lang w:val="en-US" w:eastAsia="zh-CN"/>
              </w:rPr>
              <w:t>1</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DA0</w:t>
            </w:r>
            <w:r>
              <w:rPr>
                <w:rFonts w:hint="default" w:ascii="Times New Roman" w:hAnsi="Times New Roman" w:eastAsia="宋体" w:cs="Times New Roman"/>
                <w:bCs/>
                <w:color w:val="auto"/>
                <w:kern w:val="0"/>
                <w:sz w:val="24"/>
                <w:szCs w:val="24"/>
                <w:highlight w:val="none"/>
                <w:lang w:val="en-US" w:eastAsia="zh-CN"/>
              </w:rPr>
              <w:t>12</w:t>
            </w:r>
            <w:r>
              <w:rPr>
                <w:rFonts w:hint="eastAsia" w:ascii="Times New Roman" w:hAnsi="Times New Roman" w:cs="Times New Roman"/>
                <w:bCs/>
                <w:color w:val="auto"/>
                <w:kern w:val="0"/>
                <w:sz w:val="24"/>
                <w:szCs w:val="24"/>
                <w:highlight w:val="none"/>
                <w:lang w:val="en-US" w:eastAsia="zh-CN"/>
              </w:rPr>
              <w:t>、DA013、DA014、DA015、DA016、DA017、DA018、DA019</w:t>
            </w:r>
            <w:r>
              <w:rPr>
                <w:rFonts w:hint="default" w:ascii="Times New Roman" w:hAnsi="Times New Roman" w:eastAsia="宋体" w:cs="Times New Roman"/>
                <w:color w:val="auto"/>
                <w:spacing w:val="-9"/>
                <w:sz w:val="24"/>
                <w:szCs w:val="24"/>
                <w:highlight w:val="none"/>
                <w:lang w:val="en-US" w:eastAsia="zh-CN"/>
              </w:rPr>
              <w:t>排气筒中</w:t>
            </w:r>
            <w:r>
              <w:rPr>
                <w:rFonts w:hint="eastAsia" w:ascii="Times New Roman" w:hAnsi="Times New Roman" w:cs="Times New Roman"/>
                <w:color w:val="auto"/>
                <w:spacing w:val="-9"/>
                <w:sz w:val="24"/>
                <w:szCs w:val="24"/>
                <w:highlight w:val="none"/>
                <w:lang w:val="en-US" w:eastAsia="zh-CN"/>
              </w:rPr>
              <w:t>颗粒物</w:t>
            </w:r>
            <w:r>
              <w:rPr>
                <w:rFonts w:hint="default" w:ascii="Times New Roman" w:hAnsi="Times New Roman" w:eastAsia="宋体" w:cs="Times New Roman"/>
                <w:color w:val="auto"/>
                <w:spacing w:val="-3"/>
                <w:sz w:val="24"/>
                <w:szCs w:val="24"/>
                <w:highlight w:val="none"/>
              </w:rPr>
              <w:t>排放浓度</w:t>
            </w:r>
            <w:r>
              <w:rPr>
                <w:rFonts w:hint="default" w:ascii="Times New Roman" w:hAnsi="Times New Roman" w:eastAsia="宋体" w:cs="Times New Roman"/>
                <w:color w:val="auto"/>
                <w:spacing w:val="-3"/>
                <w:sz w:val="24"/>
                <w:szCs w:val="24"/>
                <w:highlight w:val="none"/>
                <w:lang w:val="en-US" w:eastAsia="zh-CN"/>
              </w:rPr>
              <w:t>能</w:t>
            </w:r>
            <w:r>
              <w:rPr>
                <w:rFonts w:hint="default" w:ascii="Times New Roman" w:hAnsi="Times New Roman" w:eastAsia="宋体" w:cs="Times New Roman"/>
                <w:color w:val="auto"/>
                <w:spacing w:val="-3"/>
                <w:sz w:val="24"/>
                <w:szCs w:val="24"/>
                <w:highlight w:val="none"/>
              </w:rPr>
              <w:t>满足</w:t>
            </w:r>
            <w:r>
              <w:rPr>
                <w:rFonts w:hint="default" w:ascii="Times New Roman" w:hAnsi="Times New Roman" w:cs="Times New Roman"/>
                <w:color w:val="auto"/>
                <w:sz w:val="24"/>
                <w:szCs w:val="24"/>
                <w:shd w:val="clear" w:color="auto" w:fill="auto"/>
                <w:lang w:val="zh-CN" w:eastAsia="zh-CN"/>
              </w:rPr>
              <w:t>《大气污染物综合排放标准》（GB16297-1996）表2中二级标准</w:t>
            </w:r>
            <w:r>
              <w:rPr>
                <w:rFonts w:hint="default" w:ascii="Times New Roman" w:hAnsi="Times New Roman" w:eastAsia="宋体" w:cs="Times New Roman"/>
                <w:color w:val="auto"/>
                <w:sz w:val="24"/>
                <w:szCs w:val="24"/>
                <w:highlight w:val="none"/>
                <w:lang w:val="en-US" w:eastAsia="zh-CN"/>
              </w:rPr>
              <w:t>，即：颗粒物≤</w:t>
            </w:r>
            <w:r>
              <w:rPr>
                <w:rFonts w:hint="eastAsia" w:ascii="Times New Roman" w:hAnsi="Times New Roman"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0mg/m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cs="Times New Roman"/>
                <w:color w:val="auto"/>
                <w:spacing w:val="-7"/>
                <w:sz w:val="24"/>
                <w:szCs w:val="24"/>
                <w:highlight w:val="none"/>
                <w:lang w:eastAsia="zh-CN"/>
              </w:rPr>
              <w:t>；</w:t>
            </w:r>
            <w:r>
              <w:rPr>
                <w:rFonts w:hint="eastAsia" w:ascii="Times New Roman" w:hAnsi="Times New Roman" w:cs="Times New Roman"/>
                <w:color w:val="auto"/>
                <w:sz w:val="24"/>
                <w:szCs w:val="24"/>
                <w:highlight w:val="none"/>
                <w:lang w:val="en-US" w:eastAsia="zh-CN"/>
              </w:rPr>
              <w:t>DA005</w:t>
            </w:r>
            <w:r>
              <w:rPr>
                <w:rFonts w:hint="default" w:ascii="Times New Roman" w:hAnsi="Times New Roman" w:eastAsia="宋体" w:cs="Times New Roman"/>
                <w:color w:val="auto"/>
                <w:spacing w:val="-9"/>
                <w:sz w:val="24"/>
                <w:szCs w:val="24"/>
                <w:highlight w:val="none"/>
                <w:lang w:val="en-US" w:eastAsia="zh-CN"/>
              </w:rPr>
              <w:t>排气筒中</w:t>
            </w:r>
            <w:r>
              <w:rPr>
                <w:rFonts w:hint="eastAsia" w:ascii="Times New Roman" w:hAnsi="Times New Roman" w:cs="Times New Roman"/>
                <w:color w:val="auto"/>
                <w:spacing w:val="-9"/>
                <w:sz w:val="24"/>
                <w:szCs w:val="24"/>
                <w:highlight w:val="none"/>
                <w:lang w:val="en-US" w:eastAsia="zh-CN"/>
              </w:rPr>
              <w:t>颗粒物</w:t>
            </w:r>
            <w:r>
              <w:rPr>
                <w:rFonts w:hint="default" w:ascii="Times New Roman" w:hAnsi="Times New Roman" w:eastAsia="宋体" w:cs="Times New Roman"/>
                <w:color w:val="auto"/>
                <w:spacing w:val="-3"/>
                <w:sz w:val="24"/>
                <w:szCs w:val="24"/>
                <w:highlight w:val="none"/>
              </w:rPr>
              <w:t>排放浓度</w:t>
            </w:r>
            <w:r>
              <w:rPr>
                <w:rFonts w:hint="default" w:ascii="Times New Roman" w:hAnsi="Times New Roman" w:eastAsia="宋体" w:cs="Times New Roman"/>
                <w:color w:val="auto"/>
                <w:spacing w:val="-3"/>
                <w:sz w:val="24"/>
                <w:szCs w:val="24"/>
                <w:highlight w:val="none"/>
                <w:lang w:val="en-US" w:eastAsia="zh-CN"/>
              </w:rPr>
              <w:t>能</w:t>
            </w:r>
            <w:r>
              <w:rPr>
                <w:rFonts w:hint="default" w:ascii="Times New Roman" w:hAnsi="Times New Roman" w:eastAsia="宋体" w:cs="Times New Roman"/>
                <w:color w:val="auto"/>
                <w:spacing w:val="-3"/>
                <w:sz w:val="24"/>
                <w:szCs w:val="24"/>
                <w:highlight w:val="none"/>
              </w:rPr>
              <w:t>满足</w:t>
            </w:r>
            <w:r>
              <w:rPr>
                <w:rFonts w:hint="default" w:ascii="Times New Roman" w:hAnsi="Times New Roman" w:eastAsia="宋体" w:cs="Times New Roman"/>
                <w:color w:val="auto"/>
                <w:sz w:val="24"/>
                <w:highlight w:val="none"/>
              </w:rPr>
              <w:t>《工业炉窑大气污染物排放标准》（GB9078-1996）中标准限值</w:t>
            </w:r>
            <w:r>
              <w:rPr>
                <w:rFonts w:hint="default" w:ascii="Times New Roman" w:hAnsi="Times New Roman" w:eastAsia="宋体" w:cs="Times New Roman"/>
                <w:color w:val="auto"/>
                <w:sz w:val="24"/>
                <w:szCs w:val="24"/>
                <w:highlight w:val="none"/>
                <w:lang w:val="en-US" w:eastAsia="zh-CN"/>
              </w:rPr>
              <w:t>，即：颗粒物≤</w:t>
            </w:r>
            <w:r>
              <w:rPr>
                <w:rFonts w:hint="eastAsia"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0mg/m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cs="Times New Roman"/>
                <w:color w:val="auto"/>
                <w:spacing w:val="-7"/>
                <w:sz w:val="24"/>
                <w:szCs w:val="24"/>
                <w:highlight w:val="none"/>
                <w:lang w:eastAsia="zh-CN"/>
              </w:rPr>
              <w:t>；</w:t>
            </w:r>
            <w:r>
              <w:rPr>
                <w:rFonts w:hint="eastAsia" w:ascii="Times New Roman" w:hAnsi="Times New Roman" w:cs="Times New Roman"/>
                <w:color w:val="auto"/>
                <w:sz w:val="24"/>
                <w:szCs w:val="24"/>
                <w:highlight w:val="none"/>
                <w:lang w:val="en-US" w:eastAsia="zh-CN"/>
              </w:rPr>
              <w:t>DA005</w:t>
            </w:r>
            <w:r>
              <w:rPr>
                <w:rFonts w:hint="default" w:ascii="Times New Roman" w:hAnsi="Times New Roman" w:eastAsia="宋体" w:cs="Times New Roman"/>
                <w:color w:val="auto"/>
                <w:spacing w:val="-9"/>
                <w:sz w:val="24"/>
                <w:szCs w:val="24"/>
                <w:highlight w:val="none"/>
                <w:lang w:val="en-US" w:eastAsia="zh-CN"/>
              </w:rPr>
              <w:t>排气筒中</w:t>
            </w:r>
            <w:r>
              <w:rPr>
                <w:rFonts w:hint="eastAsia" w:ascii="Times New Roman" w:hAnsi="Times New Roman" w:cs="Times New Roman"/>
                <w:color w:val="auto"/>
                <w:sz w:val="24"/>
                <w:szCs w:val="24"/>
                <w:highlight w:val="none"/>
                <w:lang w:val="en-US" w:eastAsia="zh-CN"/>
              </w:rPr>
              <w:t>SO</w:t>
            </w:r>
            <w:r>
              <w:rPr>
                <w:rFonts w:hint="eastAsia" w:ascii="Times New Roman" w:hAnsi="Times New Roman" w:cs="Times New Roman"/>
                <w:color w:val="auto"/>
                <w:sz w:val="24"/>
                <w:szCs w:val="24"/>
                <w:highlight w:val="none"/>
                <w:vertAlign w:val="subscript"/>
                <w:lang w:val="en-US" w:eastAsia="zh-CN"/>
              </w:rPr>
              <w:t>2</w:t>
            </w:r>
            <w:r>
              <w:rPr>
                <w:rFonts w:hint="default" w:ascii="Times New Roman" w:hAnsi="Times New Roman" w:eastAsia="宋体" w:cs="Times New Roman"/>
                <w:color w:val="auto"/>
                <w:spacing w:val="-3"/>
                <w:sz w:val="24"/>
                <w:szCs w:val="24"/>
                <w:highlight w:val="none"/>
              </w:rPr>
              <w:t>排放浓度</w:t>
            </w:r>
            <w:r>
              <w:rPr>
                <w:rFonts w:hint="default" w:ascii="Times New Roman" w:hAnsi="Times New Roman" w:eastAsia="宋体" w:cs="Times New Roman"/>
                <w:color w:val="auto"/>
                <w:spacing w:val="-3"/>
                <w:sz w:val="24"/>
                <w:szCs w:val="24"/>
                <w:highlight w:val="none"/>
                <w:lang w:val="en-US" w:eastAsia="zh-CN"/>
              </w:rPr>
              <w:t>能</w:t>
            </w:r>
            <w:r>
              <w:rPr>
                <w:rFonts w:hint="default" w:ascii="Times New Roman" w:hAnsi="Times New Roman" w:eastAsia="宋体" w:cs="Times New Roman"/>
                <w:color w:val="auto"/>
                <w:spacing w:val="-3"/>
                <w:sz w:val="24"/>
                <w:szCs w:val="24"/>
                <w:highlight w:val="none"/>
              </w:rPr>
              <w:t>满足</w:t>
            </w:r>
            <w:r>
              <w:rPr>
                <w:rFonts w:hint="default" w:ascii="Times New Roman" w:hAnsi="Times New Roman" w:eastAsia="宋体" w:cs="Times New Roman"/>
                <w:color w:val="auto"/>
                <w:sz w:val="24"/>
                <w:highlight w:val="none"/>
              </w:rPr>
              <w:t>《工业炉窑大气污染物排放标准》（GB9078-1996）中标准限值</w:t>
            </w:r>
            <w:r>
              <w:rPr>
                <w:rFonts w:hint="default" w:ascii="Times New Roman" w:hAnsi="Times New Roman" w:eastAsia="宋体" w:cs="Times New Roman"/>
                <w:color w:val="auto"/>
                <w:sz w:val="24"/>
                <w:szCs w:val="24"/>
                <w:highlight w:val="none"/>
                <w:lang w:val="en-US" w:eastAsia="zh-CN"/>
              </w:rPr>
              <w:t>，即：</w:t>
            </w:r>
            <w:r>
              <w:rPr>
                <w:rFonts w:hint="default" w:ascii="Times New Roman" w:hAnsi="Times New Roman" w:cs="Times New Roman"/>
                <w:color w:val="auto"/>
                <w:sz w:val="24"/>
                <w:szCs w:val="24"/>
                <w:highlight w:val="none"/>
                <w:lang w:val="en-US" w:eastAsia="zh-CN"/>
              </w:rPr>
              <w:t>SO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850</w:t>
            </w:r>
            <w:r>
              <w:rPr>
                <w:rFonts w:hint="default" w:ascii="Times New Roman" w:hAnsi="Times New Roman" w:eastAsia="宋体" w:cs="Times New Roman"/>
                <w:color w:val="auto"/>
                <w:sz w:val="24"/>
                <w:szCs w:val="24"/>
                <w:highlight w:val="none"/>
                <w:lang w:val="en-US" w:eastAsia="zh-CN"/>
              </w:rPr>
              <w:t>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cs="Times New Roman"/>
                <w:color w:val="auto"/>
                <w:spacing w:val="-7"/>
                <w:sz w:val="24"/>
                <w:szCs w:val="24"/>
                <w:highlight w:val="none"/>
                <w:lang w:eastAsia="zh-CN"/>
              </w:rPr>
              <w:t>；</w:t>
            </w:r>
            <w:r>
              <w:rPr>
                <w:rFonts w:hint="default" w:ascii="Times New Roman" w:hAnsi="Times New Roman" w:cs="Times New Roman"/>
                <w:color w:val="auto"/>
                <w:sz w:val="24"/>
                <w:szCs w:val="24"/>
                <w:highlight w:val="none"/>
                <w:lang w:val="en-US" w:eastAsia="zh-CN"/>
              </w:rPr>
              <w:t>DA005</w:t>
            </w:r>
            <w:r>
              <w:rPr>
                <w:rFonts w:hint="default" w:ascii="Times New Roman" w:hAnsi="Times New Roman" w:eastAsia="宋体" w:cs="Times New Roman"/>
                <w:color w:val="auto"/>
                <w:spacing w:val="-9"/>
                <w:sz w:val="24"/>
                <w:szCs w:val="24"/>
                <w:highlight w:val="none"/>
                <w:lang w:val="en-US" w:eastAsia="zh-CN"/>
              </w:rPr>
              <w:t>排气筒中</w:t>
            </w:r>
            <w:r>
              <w:rPr>
                <w:rFonts w:hint="default" w:ascii="Times New Roman" w:hAnsi="Times New Roman" w:cs="Times New Roman"/>
                <w:color w:val="auto"/>
                <w:sz w:val="24"/>
                <w:szCs w:val="24"/>
                <w:highlight w:val="none"/>
                <w:lang w:val="en-US" w:eastAsia="zh-CN"/>
              </w:rPr>
              <w:t>NOx</w:t>
            </w:r>
            <w:r>
              <w:rPr>
                <w:rFonts w:hint="default" w:ascii="Times New Roman" w:hAnsi="Times New Roman" w:eastAsia="宋体" w:cs="Times New Roman"/>
                <w:color w:val="auto"/>
                <w:spacing w:val="-3"/>
                <w:sz w:val="24"/>
                <w:szCs w:val="24"/>
                <w:highlight w:val="none"/>
              </w:rPr>
              <w:t>排放浓度</w:t>
            </w:r>
            <w:r>
              <w:rPr>
                <w:rFonts w:hint="default" w:ascii="Times New Roman" w:hAnsi="Times New Roman" w:eastAsia="宋体" w:cs="Times New Roman"/>
                <w:color w:val="auto"/>
                <w:spacing w:val="-3"/>
                <w:sz w:val="24"/>
                <w:szCs w:val="24"/>
                <w:highlight w:val="none"/>
                <w:lang w:val="en-US" w:eastAsia="zh-CN"/>
              </w:rPr>
              <w:t>能</w:t>
            </w:r>
            <w:r>
              <w:rPr>
                <w:rFonts w:hint="default" w:ascii="Times New Roman" w:hAnsi="Times New Roman" w:eastAsia="宋体" w:cs="Times New Roman"/>
                <w:color w:val="auto"/>
                <w:spacing w:val="-3"/>
                <w:sz w:val="24"/>
                <w:szCs w:val="24"/>
                <w:highlight w:val="none"/>
              </w:rPr>
              <w:t>满足</w:t>
            </w:r>
            <w:r>
              <w:rPr>
                <w:rFonts w:hint="default" w:ascii="Times New Roman" w:hAnsi="Times New Roman" w:cs="Times New Roman"/>
                <w:color w:val="auto"/>
                <w:sz w:val="24"/>
                <w:szCs w:val="24"/>
              </w:rPr>
              <w:t>《大气污染物综合排放标准》（GB16297-1996）中表2标准</w:t>
            </w:r>
            <w:r>
              <w:rPr>
                <w:rFonts w:hint="default" w:ascii="Times New Roman" w:hAnsi="Times New Roman" w:eastAsia="宋体" w:cs="Times New Roman"/>
                <w:color w:val="auto"/>
                <w:sz w:val="24"/>
                <w:szCs w:val="24"/>
                <w:highlight w:val="none"/>
                <w:lang w:val="en-US" w:eastAsia="zh-CN"/>
              </w:rPr>
              <w:t>，即：</w:t>
            </w:r>
            <w:r>
              <w:rPr>
                <w:rFonts w:hint="default" w:ascii="Times New Roman" w:hAnsi="Times New Roman" w:cs="Times New Roman"/>
                <w:color w:val="auto"/>
                <w:sz w:val="24"/>
                <w:szCs w:val="24"/>
                <w:highlight w:val="none"/>
                <w:lang w:val="en-US" w:eastAsia="zh-CN"/>
              </w:rPr>
              <w:t>NOx</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240</w:t>
            </w:r>
            <w:r>
              <w:rPr>
                <w:rFonts w:hint="default" w:ascii="Times New Roman" w:hAnsi="Times New Roman" w:eastAsia="宋体" w:cs="Times New Roman"/>
                <w:color w:val="auto"/>
                <w:sz w:val="24"/>
                <w:szCs w:val="24"/>
                <w:highlight w:val="none"/>
                <w:lang w:val="en-US" w:eastAsia="zh-CN"/>
              </w:rPr>
              <w:t>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lang w:val="en-US" w:eastAsia="zh-CN"/>
              </w:rPr>
              <w:t>DA005</w:t>
            </w:r>
            <w:r>
              <w:rPr>
                <w:rFonts w:hint="default" w:ascii="Times New Roman" w:hAnsi="Times New Roman" w:eastAsia="宋体" w:cs="Times New Roman"/>
                <w:color w:val="auto"/>
                <w:spacing w:val="-9"/>
                <w:sz w:val="24"/>
                <w:szCs w:val="24"/>
                <w:highlight w:val="none"/>
                <w:lang w:val="en-US" w:eastAsia="zh-CN"/>
              </w:rPr>
              <w:t>排气筒中</w:t>
            </w:r>
            <w:r>
              <w:rPr>
                <w:rFonts w:hint="default" w:ascii="Times New Roman" w:hAnsi="Times New Roman" w:cs="Times New Roman"/>
                <w:color w:val="auto"/>
                <w:sz w:val="24"/>
                <w:szCs w:val="24"/>
                <w:highlight w:val="none"/>
                <w:lang w:val="en-US" w:eastAsia="zh-CN"/>
              </w:rPr>
              <w:t>氨</w:t>
            </w:r>
            <w:r>
              <w:rPr>
                <w:rFonts w:hint="default" w:ascii="Times New Roman" w:hAnsi="Times New Roman" w:eastAsia="宋体" w:cs="Times New Roman"/>
                <w:color w:val="auto"/>
                <w:spacing w:val="-3"/>
                <w:sz w:val="24"/>
                <w:szCs w:val="24"/>
                <w:highlight w:val="none"/>
              </w:rPr>
              <w:t>排放浓度</w:t>
            </w:r>
            <w:r>
              <w:rPr>
                <w:rFonts w:hint="default" w:ascii="Times New Roman" w:hAnsi="Times New Roman" w:eastAsia="宋体" w:cs="Times New Roman"/>
                <w:color w:val="auto"/>
                <w:spacing w:val="-3"/>
                <w:sz w:val="24"/>
                <w:szCs w:val="24"/>
                <w:highlight w:val="none"/>
                <w:lang w:val="en-US" w:eastAsia="zh-CN"/>
              </w:rPr>
              <w:t>能</w:t>
            </w:r>
            <w:r>
              <w:rPr>
                <w:rFonts w:hint="default" w:ascii="Times New Roman" w:hAnsi="Times New Roman" w:eastAsia="宋体" w:cs="Times New Roman"/>
                <w:color w:val="auto"/>
                <w:spacing w:val="-3"/>
                <w:sz w:val="24"/>
                <w:szCs w:val="24"/>
                <w:highlight w:val="none"/>
              </w:rPr>
              <w:t>满足</w:t>
            </w:r>
            <w:r>
              <w:rPr>
                <w:rFonts w:hint="default" w:ascii="Times New Roman" w:hAnsi="Times New Roman" w:cs="Times New Roman"/>
                <w:color w:val="auto"/>
                <w:sz w:val="24"/>
              </w:rPr>
              <w:t>《恶臭污染物排放标准》（GB14554-93）表2标准限值及《火电厂烟气脱硝工程技术规范选择性非催化还原法》（HJ563-2010）氨逃逸浓度控制要求</w:t>
            </w:r>
            <w:r>
              <w:rPr>
                <w:rFonts w:hint="default" w:ascii="Times New Roman" w:hAnsi="Times New Roman" w:eastAsia="宋体" w:cs="Times New Roman"/>
                <w:color w:val="auto"/>
                <w:sz w:val="24"/>
                <w:szCs w:val="24"/>
                <w:highlight w:val="none"/>
                <w:lang w:val="en-US" w:eastAsia="zh-CN"/>
              </w:rPr>
              <w:t>，即：</w:t>
            </w:r>
            <w:r>
              <w:rPr>
                <w:rFonts w:hint="default" w:ascii="Times New Roman" w:hAnsi="Times New Roman" w:cs="Times New Roman"/>
                <w:color w:val="auto"/>
                <w:sz w:val="24"/>
                <w:szCs w:val="24"/>
                <w:highlight w:val="none"/>
                <w:lang w:val="en-US" w:eastAsia="zh-CN"/>
              </w:rPr>
              <w:t>氨</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lang w:val="en-US" w:eastAsia="zh-CN"/>
              </w:rPr>
              <w:t>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w:t>
            </w:r>
          </w:p>
          <w:p w14:paraId="0587372E">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②无组织废气达标分析</w:t>
            </w:r>
          </w:p>
          <w:p w14:paraId="603E9384">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本环评采用AERSCREEN模型估算</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项目建成后排放的污染物对周围环境的影响，估算模式为国家环境保护部工程评估中心环境质量模拟重点实验室提供。根据估算模式估算结果，项目无</w:t>
            </w:r>
            <w:r>
              <w:rPr>
                <w:rFonts w:hint="default" w:ascii="Times New Roman" w:hAnsi="Times New Roman" w:eastAsia="宋体" w:cs="Times New Roman"/>
                <w:color w:val="auto"/>
                <w:sz w:val="24"/>
                <w:highlight w:val="none"/>
              </w:rPr>
              <w:t>组织</w:t>
            </w:r>
            <w:r>
              <w:rPr>
                <w:rFonts w:hint="default" w:ascii="Times New Roman" w:hAnsi="Times New Roman" w:eastAsia="宋体" w:cs="Times New Roman"/>
                <w:color w:val="auto"/>
                <w:sz w:val="24"/>
                <w:szCs w:val="24"/>
                <w:highlight w:val="none"/>
              </w:rPr>
              <w:t>排放的污染物最大地面落地浓度距源距离为源下风向</w:t>
            </w:r>
            <w:r>
              <w:rPr>
                <w:rFonts w:hint="eastAsia" w:cs="Times New Roman"/>
                <w:color w:val="auto"/>
                <w:sz w:val="24"/>
                <w:szCs w:val="24"/>
                <w:highlight w:val="none"/>
                <w:lang w:val="en-US" w:eastAsia="zh-CN"/>
              </w:rPr>
              <w:t>179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val="en-US" w:eastAsia="zh-CN"/>
              </w:rPr>
              <w:t>无组织颗粒物</w:t>
            </w:r>
            <w:r>
              <w:rPr>
                <w:rFonts w:hint="default" w:ascii="Times New Roman" w:hAnsi="Times New Roman" w:eastAsia="宋体" w:cs="Times New Roman"/>
                <w:iCs/>
                <w:color w:val="auto"/>
                <w:sz w:val="24"/>
                <w:szCs w:val="24"/>
                <w:highlight w:val="none"/>
              </w:rPr>
              <w:t>最大落地浓度为</w:t>
            </w:r>
            <w:r>
              <w:rPr>
                <w:rFonts w:hint="eastAsia" w:cs="Times New Roman"/>
                <w:color w:val="auto"/>
                <w:sz w:val="24"/>
                <w:szCs w:val="24"/>
                <w:highlight w:val="none"/>
                <w:vertAlign w:val="baseline"/>
                <w:lang w:val="en-US" w:eastAsia="zh-CN"/>
              </w:rPr>
              <w:t>0.0648</w:t>
            </w:r>
            <w:r>
              <w:rPr>
                <w:rFonts w:hint="default" w:ascii="Times New Roman" w:hAnsi="Times New Roman" w:eastAsia="宋体" w:cs="Times New Roman"/>
                <w:color w:val="auto"/>
                <w:sz w:val="24"/>
                <w:szCs w:val="24"/>
                <w:highlight w:val="none"/>
                <w:vertAlign w:val="baseline"/>
                <w:lang w:val="en-US" w:eastAsia="zh-CN"/>
              </w:rPr>
              <w:t>m</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占标率为</w:t>
            </w:r>
            <w:r>
              <w:rPr>
                <w:rFonts w:hint="eastAsia" w:cs="Times New Roman"/>
                <w:color w:val="auto"/>
                <w:sz w:val="24"/>
                <w:szCs w:val="24"/>
                <w:highlight w:val="none"/>
                <w:vertAlign w:val="baseline"/>
                <w:lang w:val="en-US" w:eastAsia="zh-CN"/>
              </w:rPr>
              <w:t>7.2</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highlight w:val="none"/>
                <w:lang w:val="en-US" w:eastAsia="zh-CN"/>
              </w:rPr>
              <w:t>厂界颗粒物</w:t>
            </w:r>
            <w:r>
              <w:rPr>
                <w:rFonts w:hint="default" w:ascii="Times New Roman" w:hAnsi="Times New Roman" w:eastAsia="宋体" w:cs="Times New Roman"/>
                <w:color w:val="auto"/>
                <w:sz w:val="24"/>
                <w:highlight w:val="none"/>
              </w:rPr>
              <w:t>满足《大气污染物综合排放标准》（GB16297-1996）表</w:t>
            </w:r>
            <w:r>
              <w:rPr>
                <w:rFonts w:hint="default" w:ascii="Times New Roman" w:hAnsi="Times New Roman" w:eastAsia="宋体" w:cs="Times New Roman"/>
                <w:color w:val="auto"/>
                <w:kern w:val="0"/>
                <w:sz w:val="24"/>
                <w:szCs w:val="20"/>
                <w:highlight w:val="none"/>
              </w:rPr>
              <w:t>2无</w:t>
            </w:r>
            <w:r>
              <w:rPr>
                <w:rFonts w:hint="default" w:ascii="Times New Roman" w:hAnsi="Times New Roman" w:eastAsia="宋体" w:cs="Times New Roman"/>
                <w:color w:val="auto"/>
                <w:sz w:val="24"/>
                <w:highlight w:val="none"/>
              </w:rPr>
              <w:t>组织排放浓度限值，即：</w:t>
            </w:r>
            <w:r>
              <w:rPr>
                <w:rFonts w:hint="default" w:ascii="Times New Roman" w:hAnsi="Times New Roman" w:eastAsia="宋体" w:cs="Times New Roman"/>
                <w:color w:val="auto"/>
                <w:sz w:val="24"/>
                <w:highlight w:val="none"/>
                <w:vertAlign w:val="baseline"/>
                <w:lang w:val="en-US" w:eastAsia="zh-CN"/>
              </w:rPr>
              <w:t>颗粒物</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.0</w:t>
            </w:r>
            <w:r>
              <w:rPr>
                <w:rFonts w:hint="default" w:ascii="Times New Roman" w:hAnsi="Times New Roman" w:eastAsia="宋体" w:cs="Times New Roman"/>
                <w:color w:val="auto"/>
                <w:sz w:val="24"/>
                <w:highlight w:val="none"/>
                <w:lang w:val="zh-CN"/>
              </w:rPr>
              <w:t>mg/m</w:t>
            </w:r>
            <w:r>
              <w:rPr>
                <w:rFonts w:hint="default" w:ascii="Times New Roman" w:hAnsi="Times New Roman" w:eastAsia="宋体" w:cs="Times New Roman"/>
                <w:color w:val="auto"/>
                <w:sz w:val="24"/>
                <w:highlight w:val="none"/>
                <w:vertAlign w:val="superscript"/>
                <w:lang w:val="zh-CN"/>
              </w:rPr>
              <w:t>3</w:t>
            </w:r>
            <w:r>
              <w:rPr>
                <w:rFonts w:hint="default" w:ascii="Times New Roman" w:hAnsi="Times New Roman" w:eastAsia="宋体" w:cs="Times New Roman"/>
                <w:color w:val="auto"/>
                <w:sz w:val="24"/>
                <w:highlight w:val="none"/>
                <w:vertAlign w:val="baseline"/>
                <w:lang w:val="zh-CN"/>
              </w:rPr>
              <w:t>。</w:t>
            </w:r>
          </w:p>
          <w:p w14:paraId="308A6566">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kern w:val="0"/>
                <w:sz w:val="24"/>
                <w:highlight w:val="none"/>
              </w:rPr>
              <w:t>综上，本项目废气对周边大气环境影响较小。</w:t>
            </w:r>
          </w:p>
          <w:p w14:paraId="768FBDD4">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污染物排放量核算</w:t>
            </w:r>
          </w:p>
          <w:p w14:paraId="00C54354">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val="0"/>
                <w:bCs/>
                <w:color w:val="auto"/>
                <w:sz w:val="24"/>
                <w:szCs w:val="24"/>
                <w:highlight w:val="none"/>
                <w:lang w:val="en-US" w:eastAsia="zh-CN"/>
              </w:rPr>
              <w:t>根据《环境影响评价技术导则 大气环境》（HJ2.2-2018）中8.1.2内容，结合项目废气排放形式，根据附录C.6.2 无组织排放量核算，对项目污染物排放量进行核算，详见下表所示。</w:t>
            </w:r>
          </w:p>
          <w:p w14:paraId="364B5C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24</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 xml:space="preserve"> </w:t>
            </w:r>
            <w:r>
              <w:rPr>
                <w:rFonts w:hint="eastAsia" w:cs="Times New Roman"/>
                <w:b/>
                <w:bCs/>
                <w:color w:val="auto"/>
                <w:sz w:val="21"/>
                <w:szCs w:val="21"/>
                <w:highlight w:val="none"/>
                <w:lang w:val="en-US" w:eastAsia="zh-CN"/>
              </w:rPr>
              <w:t>项目</w:t>
            </w:r>
            <w:r>
              <w:rPr>
                <w:rFonts w:hint="default" w:ascii="Times New Roman" w:hAnsi="Times New Roman" w:eastAsia="宋体" w:cs="Times New Roman"/>
                <w:b/>
                <w:bCs/>
                <w:color w:val="auto"/>
                <w:sz w:val="21"/>
                <w:szCs w:val="21"/>
                <w:highlight w:val="none"/>
                <w:lang w:eastAsia="zh-CN"/>
              </w:rPr>
              <w:t>大气污染物有组织排放量核算表</w:t>
            </w:r>
          </w:p>
          <w:tbl>
            <w:tblPr>
              <w:tblStyle w:val="28"/>
              <w:tblW w:w="8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1371"/>
              <w:gridCol w:w="1077"/>
              <w:gridCol w:w="1593"/>
              <w:gridCol w:w="1607"/>
              <w:gridCol w:w="1473"/>
            </w:tblGrid>
            <w:tr w14:paraId="5F43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1" w:type="dxa"/>
                  <w:noWrap w:val="0"/>
                  <w:vAlign w:val="center"/>
                </w:tcPr>
                <w:p w14:paraId="2D87DF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1371" w:type="dxa"/>
                  <w:noWrap w:val="0"/>
                  <w:vAlign w:val="center"/>
                </w:tcPr>
                <w:p w14:paraId="322E9C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排放口编号</w:t>
                  </w:r>
                </w:p>
              </w:tc>
              <w:tc>
                <w:tcPr>
                  <w:tcW w:w="1077" w:type="dxa"/>
                  <w:noWrap w:val="0"/>
                  <w:vAlign w:val="center"/>
                </w:tcPr>
                <w:p w14:paraId="5F5765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1593" w:type="dxa"/>
                  <w:noWrap w:val="0"/>
                  <w:vAlign w:val="center"/>
                </w:tcPr>
                <w:p w14:paraId="7E135E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1607" w:type="dxa"/>
                  <w:noWrap w:val="0"/>
                  <w:vAlign w:val="center"/>
                </w:tcPr>
                <w:p w14:paraId="711BD1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核算排放速率（kg/h）</w:t>
                  </w:r>
                </w:p>
              </w:tc>
              <w:tc>
                <w:tcPr>
                  <w:tcW w:w="1473" w:type="dxa"/>
                  <w:noWrap w:val="0"/>
                  <w:vAlign w:val="center"/>
                </w:tcPr>
                <w:p w14:paraId="630061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14:paraId="230B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 w:hRule="atLeast"/>
                <w:jc w:val="center"/>
              </w:trPr>
              <w:tc>
                <w:tcPr>
                  <w:tcW w:w="1341" w:type="dxa"/>
                  <w:noWrap w:val="0"/>
                  <w:vAlign w:val="center"/>
                </w:tcPr>
                <w:p w14:paraId="1D19CE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color w:val="auto"/>
                      <w:szCs w:val="21"/>
                      <w:lang w:eastAsia="zh-CN"/>
                    </w:rPr>
                    <w:t>卸料扬</w:t>
                  </w:r>
                  <w:r>
                    <w:rPr>
                      <w:rFonts w:hint="default" w:ascii="Times New Roman" w:hAnsi="Times New Roman" w:eastAsia="宋体" w:cs="Times New Roman"/>
                      <w:color w:val="auto"/>
                      <w:szCs w:val="21"/>
                    </w:rPr>
                    <w:t>尘</w:t>
                  </w:r>
                </w:p>
              </w:tc>
              <w:tc>
                <w:tcPr>
                  <w:tcW w:w="1371" w:type="dxa"/>
                  <w:noWrap w:val="0"/>
                  <w:vAlign w:val="center"/>
                </w:tcPr>
                <w:p w14:paraId="1592D5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w:t>
                  </w:r>
                </w:p>
              </w:tc>
              <w:tc>
                <w:tcPr>
                  <w:tcW w:w="1077" w:type="dxa"/>
                  <w:noWrap w:val="0"/>
                  <w:vAlign w:val="center"/>
                </w:tcPr>
                <w:p w14:paraId="6EF2A7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593" w:type="dxa"/>
                  <w:noWrap w:val="0"/>
                  <w:vAlign w:val="center"/>
                </w:tcPr>
                <w:p w14:paraId="1F2D8CF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Cs/>
                      <w:i w:val="0"/>
                      <w:iCs w:val="0"/>
                      <w:color w:val="auto"/>
                      <w:kern w:val="0"/>
                      <w:sz w:val="21"/>
                      <w:szCs w:val="21"/>
                      <w:highlight w:val="none"/>
                      <w:u w:val="none"/>
                      <w:lang w:val="en-US" w:eastAsia="zh-CN" w:bidi="ar"/>
                    </w:rPr>
                    <w:t>1.99</w:t>
                  </w:r>
                </w:p>
              </w:tc>
              <w:tc>
                <w:tcPr>
                  <w:tcW w:w="1607" w:type="dxa"/>
                  <w:noWrap w:val="0"/>
                  <w:vAlign w:val="center"/>
                </w:tcPr>
                <w:p w14:paraId="62C31C4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u w:val="none"/>
                      <w:lang w:val="en-US" w:eastAsia="zh-CN" w:bidi="ar"/>
                    </w:rPr>
                    <w:t>0.0147</w:t>
                  </w:r>
                </w:p>
              </w:tc>
              <w:tc>
                <w:tcPr>
                  <w:tcW w:w="1473" w:type="dxa"/>
                  <w:noWrap w:val="0"/>
                  <w:vAlign w:val="center"/>
                </w:tcPr>
                <w:p w14:paraId="281EBA1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0986</w:t>
                  </w:r>
                </w:p>
              </w:tc>
            </w:tr>
            <w:tr w14:paraId="7F66A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 w:hRule="atLeast"/>
                <w:jc w:val="center"/>
              </w:trPr>
              <w:tc>
                <w:tcPr>
                  <w:tcW w:w="1341" w:type="dxa"/>
                  <w:noWrap w:val="0"/>
                  <w:vAlign w:val="center"/>
                </w:tcPr>
                <w:p w14:paraId="3496C3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破碎粉尘</w:t>
                  </w:r>
                </w:p>
              </w:tc>
              <w:tc>
                <w:tcPr>
                  <w:tcW w:w="1371" w:type="dxa"/>
                  <w:noWrap w:val="0"/>
                  <w:vAlign w:val="center"/>
                </w:tcPr>
                <w:p w14:paraId="1487B3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w:t>
                  </w:r>
                </w:p>
              </w:tc>
              <w:tc>
                <w:tcPr>
                  <w:tcW w:w="1077" w:type="dxa"/>
                  <w:noWrap w:val="0"/>
                  <w:vAlign w:val="center"/>
                </w:tcPr>
                <w:p w14:paraId="50DD5C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1593" w:type="dxa"/>
                  <w:noWrap w:val="0"/>
                  <w:vAlign w:val="center"/>
                </w:tcPr>
                <w:p w14:paraId="175D9A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0.69</w:t>
                  </w:r>
                </w:p>
              </w:tc>
              <w:tc>
                <w:tcPr>
                  <w:tcW w:w="1607" w:type="dxa"/>
                  <w:noWrap w:val="0"/>
                  <w:vAlign w:val="center"/>
                </w:tcPr>
                <w:p w14:paraId="7084E2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0.0051</w:t>
                  </w:r>
                </w:p>
              </w:tc>
              <w:tc>
                <w:tcPr>
                  <w:tcW w:w="1473" w:type="dxa"/>
                  <w:noWrap w:val="0"/>
                  <w:vAlign w:val="center"/>
                </w:tcPr>
                <w:p w14:paraId="6031F7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0.034</w:t>
                  </w:r>
                </w:p>
              </w:tc>
            </w:tr>
            <w:tr w14:paraId="0E3F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1341" w:type="dxa"/>
                  <w:noWrap w:val="0"/>
                  <w:vAlign w:val="center"/>
                </w:tcPr>
                <w:p w14:paraId="4241E7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lang w:val="en-US" w:eastAsia="zh-CN" w:bidi="ar-SA"/>
                    </w:rPr>
                    <w:t>原料</w:t>
                  </w:r>
                  <w:r>
                    <w:rPr>
                      <w:rFonts w:hint="eastAsia" w:ascii="Times New Roman" w:hAnsi="Times New Roman" w:eastAsia="宋体" w:cs="Times New Roman"/>
                      <w:color w:val="auto"/>
                      <w:kern w:val="2"/>
                      <w:sz w:val="21"/>
                      <w:szCs w:val="21"/>
                      <w:lang w:val="en-US" w:eastAsia="zh-CN" w:bidi="ar-SA"/>
                    </w:rPr>
                    <w:t>转载</w:t>
                  </w:r>
                  <w:r>
                    <w:rPr>
                      <w:rFonts w:hint="eastAsia" w:cs="Times New Roman"/>
                      <w:color w:val="auto"/>
                      <w:kern w:val="2"/>
                      <w:sz w:val="21"/>
                      <w:szCs w:val="21"/>
                      <w:lang w:val="en-US" w:eastAsia="zh-CN" w:bidi="ar-SA"/>
                    </w:rPr>
                    <w:t>点</w:t>
                  </w:r>
                  <w:r>
                    <w:rPr>
                      <w:rFonts w:hint="eastAsia" w:ascii="Times New Roman" w:hAnsi="Times New Roman" w:eastAsia="宋体" w:cs="Times New Roman"/>
                      <w:color w:val="auto"/>
                      <w:kern w:val="2"/>
                      <w:sz w:val="21"/>
                      <w:szCs w:val="21"/>
                      <w:lang w:val="en-US" w:eastAsia="zh-CN" w:bidi="ar-SA"/>
                    </w:rPr>
                    <w:t>落料粉尘</w:t>
                  </w:r>
                </w:p>
              </w:tc>
              <w:tc>
                <w:tcPr>
                  <w:tcW w:w="1371" w:type="dxa"/>
                  <w:noWrap w:val="0"/>
                  <w:vAlign w:val="center"/>
                </w:tcPr>
                <w:p w14:paraId="79DBBE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3</w:t>
                  </w:r>
                </w:p>
              </w:tc>
              <w:tc>
                <w:tcPr>
                  <w:tcW w:w="1077" w:type="dxa"/>
                  <w:noWrap w:val="0"/>
                  <w:vAlign w:val="center"/>
                </w:tcPr>
                <w:p w14:paraId="5B4A42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1593" w:type="dxa"/>
                  <w:noWrap w:val="0"/>
                  <w:vAlign w:val="center"/>
                </w:tcPr>
                <w:p w14:paraId="04C63C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1.99</w:t>
                  </w:r>
                </w:p>
              </w:tc>
              <w:tc>
                <w:tcPr>
                  <w:tcW w:w="1607" w:type="dxa"/>
                  <w:noWrap w:val="0"/>
                  <w:vAlign w:val="center"/>
                </w:tcPr>
                <w:p w14:paraId="322658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0.0147</w:t>
                  </w:r>
                </w:p>
              </w:tc>
              <w:tc>
                <w:tcPr>
                  <w:tcW w:w="1473" w:type="dxa"/>
                  <w:noWrap w:val="0"/>
                  <w:vAlign w:val="center"/>
                </w:tcPr>
                <w:p w14:paraId="4ADAE1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0986</w:t>
                  </w:r>
                </w:p>
              </w:tc>
            </w:tr>
            <w:tr w14:paraId="684F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1" w:type="dxa"/>
                  <w:noWrap w:val="0"/>
                  <w:vAlign w:val="center"/>
                </w:tcPr>
                <w:p w14:paraId="452F24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lang w:val="en-US" w:eastAsia="zh-CN" w:bidi="ar-SA"/>
                    </w:rPr>
                    <w:t>喂煤仓</w:t>
                  </w:r>
                  <w:r>
                    <w:rPr>
                      <w:rFonts w:hint="eastAsia" w:ascii="Times New Roman" w:hAnsi="Times New Roman" w:eastAsia="宋体" w:cs="Times New Roman"/>
                      <w:color w:val="auto"/>
                      <w:kern w:val="2"/>
                      <w:sz w:val="21"/>
                      <w:szCs w:val="21"/>
                      <w:lang w:val="en-US" w:eastAsia="zh-CN" w:bidi="ar-SA"/>
                    </w:rPr>
                    <w:t>粉尘</w:t>
                  </w:r>
                </w:p>
              </w:tc>
              <w:tc>
                <w:tcPr>
                  <w:tcW w:w="1371" w:type="dxa"/>
                  <w:noWrap w:val="0"/>
                  <w:vAlign w:val="center"/>
                </w:tcPr>
                <w:p w14:paraId="0A26C2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4</w:t>
                  </w:r>
                </w:p>
              </w:tc>
              <w:tc>
                <w:tcPr>
                  <w:tcW w:w="1077" w:type="dxa"/>
                  <w:noWrap w:val="0"/>
                  <w:vAlign w:val="center"/>
                </w:tcPr>
                <w:p w14:paraId="091B01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1593" w:type="dxa"/>
                  <w:noWrap w:val="0"/>
                  <w:vAlign w:val="center"/>
                </w:tcPr>
                <w:p w14:paraId="792E40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2.62</w:t>
                  </w:r>
                </w:p>
              </w:tc>
              <w:tc>
                <w:tcPr>
                  <w:tcW w:w="1607" w:type="dxa"/>
                  <w:noWrap w:val="0"/>
                  <w:vAlign w:val="center"/>
                </w:tcPr>
                <w:p w14:paraId="7AED5A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0.0253</w:t>
                  </w:r>
                </w:p>
              </w:tc>
              <w:tc>
                <w:tcPr>
                  <w:tcW w:w="1473" w:type="dxa"/>
                  <w:noWrap w:val="0"/>
                  <w:vAlign w:val="center"/>
                </w:tcPr>
                <w:p w14:paraId="77C1F4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0.17</w:t>
                  </w:r>
                </w:p>
              </w:tc>
            </w:tr>
            <w:tr w14:paraId="22F4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 w:hRule="atLeast"/>
                <w:jc w:val="center"/>
              </w:trPr>
              <w:tc>
                <w:tcPr>
                  <w:tcW w:w="1341" w:type="dxa"/>
                  <w:vMerge w:val="restart"/>
                  <w:noWrap w:val="0"/>
                  <w:vAlign w:val="center"/>
                </w:tcPr>
                <w:p w14:paraId="4EAECA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烘干废气</w:t>
                  </w:r>
                </w:p>
              </w:tc>
              <w:tc>
                <w:tcPr>
                  <w:tcW w:w="1371" w:type="dxa"/>
                  <w:vMerge w:val="restart"/>
                  <w:noWrap w:val="0"/>
                  <w:vAlign w:val="center"/>
                </w:tcPr>
                <w:p w14:paraId="2DC8B5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5</w:t>
                  </w:r>
                </w:p>
              </w:tc>
              <w:tc>
                <w:tcPr>
                  <w:tcW w:w="1077" w:type="dxa"/>
                  <w:noWrap w:val="0"/>
                  <w:vAlign w:val="center"/>
                </w:tcPr>
                <w:p w14:paraId="0F7B324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1593" w:type="dxa"/>
                  <w:noWrap w:val="0"/>
                  <w:vAlign w:val="center"/>
                </w:tcPr>
                <w:p w14:paraId="224E51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1.29</w:t>
                  </w:r>
                </w:p>
              </w:tc>
              <w:tc>
                <w:tcPr>
                  <w:tcW w:w="1607" w:type="dxa"/>
                  <w:noWrap w:val="0"/>
                  <w:vAlign w:val="center"/>
                </w:tcPr>
                <w:p w14:paraId="36AF2C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0.0456</w:t>
                  </w:r>
                </w:p>
              </w:tc>
              <w:tc>
                <w:tcPr>
                  <w:tcW w:w="1473" w:type="dxa"/>
                  <w:noWrap w:val="0"/>
                  <w:vAlign w:val="center"/>
                </w:tcPr>
                <w:p w14:paraId="71CC81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0.3067</w:t>
                  </w:r>
                </w:p>
              </w:tc>
            </w:tr>
            <w:tr w14:paraId="0118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 w:hRule="atLeast"/>
                <w:jc w:val="center"/>
              </w:trPr>
              <w:tc>
                <w:tcPr>
                  <w:tcW w:w="1341" w:type="dxa"/>
                  <w:vMerge w:val="continue"/>
                  <w:noWrap w:val="0"/>
                  <w:vAlign w:val="center"/>
                </w:tcPr>
                <w:p w14:paraId="14C99A9E">
                  <w:pPr>
                    <w:keepNext w:val="0"/>
                    <w:keepLines w:val="0"/>
                    <w:widowControl/>
                    <w:suppressLineNumbers w:val="0"/>
                    <w:jc w:val="center"/>
                    <w:textAlignment w:val="center"/>
                    <w:rPr>
                      <w:color w:val="auto"/>
                    </w:rPr>
                  </w:pPr>
                </w:p>
              </w:tc>
              <w:tc>
                <w:tcPr>
                  <w:tcW w:w="1371" w:type="dxa"/>
                  <w:vMerge w:val="continue"/>
                  <w:noWrap w:val="0"/>
                  <w:vAlign w:val="center"/>
                </w:tcPr>
                <w:p w14:paraId="4DF422B6">
                  <w:pPr>
                    <w:keepNext w:val="0"/>
                    <w:keepLines w:val="0"/>
                    <w:widowControl/>
                    <w:suppressLineNumbers w:val="0"/>
                    <w:jc w:val="center"/>
                    <w:textAlignment w:val="center"/>
                    <w:rPr>
                      <w:color w:val="auto"/>
                    </w:rPr>
                  </w:pPr>
                </w:p>
              </w:tc>
              <w:tc>
                <w:tcPr>
                  <w:tcW w:w="1077" w:type="dxa"/>
                  <w:noWrap w:val="0"/>
                  <w:vAlign w:val="center"/>
                </w:tcPr>
                <w:p w14:paraId="34DEAFA8">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二氧化硫</w:t>
                  </w:r>
                </w:p>
              </w:tc>
              <w:tc>
                <w:tcPr>
                  <w:tcW w:w="1593" w:type="dxa"/>
                  <w:noWrap w:val="0"/>
                  <w:vAlign w:val="center"/>
                </w:tcPr>
                <w:p w14:paraId="4C43172D">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35.11</w:t>
                  </w:r>
                </w:p>
              </w:tc>
              <w:tc>
                <w:tcPr>
                  <w:tcW w:w="1607" w:type="dxa"/>
                  <w:noWrap w:val="0"/>
                  <w:vAlign w:val="center"/>
                </w:tcPr>
                <w:p w14:paraId="316CD31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1.2452</w:t>
                  </w:r>
                </w:p>
              </w:tc>
              <w:tc>
                <w:tcPr>
                  <w:tcW w:w="1473" w:type="dxa"/>
                  <w:noWrap w:val="0"/>
                  <w:vAlign w:val="center"/>
                </w:tcPr>
                <w:p w14:paraId="666005E0">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8.3679</w:t>
                  </w:r>
                </w:p>
              </w:tc>
            </w:tr>
            <w:tr w14:paraId="53D6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 w:hRule="atLeast"/>
                <w:jc w:val="center"/>
              </w:trPr>
              <w:tc>
                <w:tcPr>
                  <w:tcW w:w="1341" w:type="dxa"/>
                  <w:vMerge w:val="continue"/>
                  <w:noWrap w:val="0"/>
                  <w:vAlign w:val="center"/>
                </w:tcPr>
                <w:p w14:paraId="2B02F8A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71" w:type="dxa"/>
                  <w:vMerge w:val="continue"/>
                  <w:noWrap w:val="0"/>
                  <w:vAlign w:val="center"/>
                </w:tcPr>
                <w:p w14:paraId="5E30DBD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077" w:type="dxa"/>
                  <w:noWrap w:val="0"/>
                  <w:vAlign w:val="center"/>
                </w:tcPr>
                <w:p w14:paraId="32650500">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氮氧化物</w:t>
                  </w:r>
                </w:p>
              </w:tc>
              <w:tc>
                <w:tcPr>
                  <w:tcW w:w="1593" w:type="dxa"/>
                  <w:noWrap w:val="0"/>
                  <w:vAlign w:val="center"/>
                </w:tcPr>
                <w:p w14:paraId="58D3F0EE">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39.01</w:t>
                  </w:r>
                </w:p>
              </w:tc>
              <w:tc>
                <w:tcPr>
                  <w:tcW w:w="1607" w:type="dxa"/>
                  <w:noWrap w:val="0"/>
                  <w:vAlign w:val="center"/>
                </w:tcPr>
                <w:p w14:paraId="3C0D45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1.3836</w:t>
                  </w:r>
                </w:p>
              </w:tc>
              <w:tc>
                <w:tcPr>
                  <w:tcW w:w="1473" w:type="dxa"/>
                  <w:noWrap w:val="0"/>
                  <w:vAlign w:val="center"/>
                </w:tcPr>
                <w:p w14:paraId="461C172E">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9.2977</w:t>
                  </w:r>
                </w:p>
              </w:tc>
            </w:tr>
            <w:tr w14:paraId="7B15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41" w:type="dxa"/>
                  <w:vMerge w:val="continue"/>
                  <w:noWrap w:val="0"/>
                  <w:vAlign w:val="center"/>
                </w:tcPr>
                <w:p w14:paraId="65BF4AE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71" w:type="dxa"/>
                  <w:vMerge w:val="continue"/>
                  <w:noWrap w:val="0"/>
                  <w:vAlign w:val="center"/>
                </w:tcPr>
                <w:p w14:paraId="5A23D65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077" w:type="dxa"/>
                  <w:noWrap w:val="0"/>
                  <w:vAlign w:val="center"/>
                </w:tcPr>
                <w:p w14:paraId="33EDBB23">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olor w:val="auto"/>
                      <w:szCs w:val="21"/>
                    </w:rPr>
                    <w:t>N</w:t>
                  </w:r>
                  <w:r>
                    <w:rPr>
                      <w:color w:val="auto"/>
                      <w:szCs w:val="21"/>
                    </w:rPr>
                    <w:t>H</w:t>
                  </w:r>
                  <w:r>
                    <w:rPr>
                      <w:color w:val="auto"/>
                      <w:szCs w:val="21"/>
                      <w:vertAlign w:val="subscript"/>
                    </w:rPr>
                    <w:t>3</w:t>
                  </w:r>
                </w:p>
              </w:tc>
              <w:tc>
                <w:tcPr>
                  <w:tcW w:w="1593" w:type="dxa"/>
                  <w:noWrap w:val="0"/>
                  <w:vAlign w:val="center"/>
                </w:tcPr>
                <w:p w14:paraId="5DC3D924">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1.22</w:t>
                  </w:r>
                </w:p>
              </w:tc>
              <w:tc>
                <w:tcPr>
                  <w:tcW w:w="1607" w:type="dxa"/>
                  <w:noWrap w:val="0"/>
                  <w:vAlign w:val="center"/>
                </w:tcPr>
                <w:p w14:paraId="25F6FFF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0.0431</w:t>
                  </w:r>
                </w:p>
              </w:tc>
              <w:tc>
                <w:tcPr>
                  <w:tcW w:w="1473" w:type="dxa"/>
                  <w:noWrap w:val="0"/>
                  <w:vAlign w:val="center"/>
                </w:tcPr>
                <w:p w14:paraId="7AAEABF5">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0.2895</w:t>
                  </w:r>
                </w:p>
              </w:tc>
            </w:tr>
            <w:tr w14:paraId="63EC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1" w:type="dxa"/>
                  <w:noWrap w:val="0"/>
                  <w:vAlign w:val="center"/>
                </w:tcPr>
                <w:p w14:paraId="5B00D89A">
                  <w:pPr>
                    <w:adjustRightInd w:val="0"/>
                    <w:snapToGrid w:val="0"/>
                    <w:jc w:val="center"/>
                    <w:textAlignment w:val="baseline"/>
                    <w:rPr>
                      <w:rFonts w:hint="default"/>
                      <w:color w:val="auto"/>
                      <w:szCs w:val="21"/>
                      <w:lang w:val="en-US" w:eastAsia="zh-CN"/>
                    </w:rPr>
                  </w:pPr>
                  <w:r>
                    <w:rPr>
                      <w:rFonts w:hint="eastAsia"/>
                      <w:color w:val="auto"/>
                      <w:szCs w:val="21"/>
                      <w:lang w:val="en-US" w:eastAsia="zh-CN"/>
                    </w:rPr>
                    <w:t>1#燃料仓粉尘</w:t>
                  </w:r>
                </w:p>
              </w:tc>
              <w:tc>
                <w:tcPr>
                  <w:tcW w:w="1371" w:type="dxa"/>
                  <w:noWrap w:val="0"/>
                  <w:vAlign w:val="center"/>
                </w:tcPr>
                <w:p w14:paraId="4B65A5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6</w:t>
                  </w:r>
                </w:p>
              </w:tc>
              <w:tc>
                <w:tcPr>
                  <w:tcW w:w="1077" w:type="dxa"/>
                  <w:noWrap w:val="0"/>
                  <w:vAlign w:val="center"/>
                </w:tcPr>
                <w:p w14:paraId="098307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1593" w:type="dxa"/>
                  <w:noWrap w:val="0"/>
                  <w:vAlign w:val="center"/>
                </w:tcPr>
                <w:p w14:paraId="040E47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0.10</w:t>
                  </w:r>
                </w:p>
              </w:tc>
              <w:tc>
                <w:tcPr>
                  <w:tcW w:w="1607" w:type="dxa"/>
                  <w:noWrap w:val="0"/>
                  <w:vAlign w:val="center"/>
                </w:tcPr>
                <w:p w14:paraId="37E085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0.0002</w:t>
                  </w:r>
                </w:p>
              </w:tc>
              <w:tc>
                <w:tcPr>
                  <w:tcW w:w="1473" w:type="dxa"/>
                  <w:noWrap w:val="0"/>
                  <w:vAlign w:val="center"/>
                </w:tcPr>
                <w:p w14:paraId="377B80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0.0015</w:t>
                  </w:r>
                </w:p>
              </w:tc>
            </w:tr>
            <w:tr w14:paraId="7922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1341" w:type="dxa"/>
                  <w:noWrap w:val="0"/>
                  <w:vAlign w:val="center"/>
                </w:tcPr>
                <w:p w14:paraId="08F2862C">
                  <w:pPr>
                    <w:adjustRightInd w:val="0"/>
                    <w:snapToGrid w:val="0"/>
                    <w:jc w:val="center"/>
                    <w:textAlignment w:val="baseline"/>
                    <w:rPr>
                      <w:rFonts w:hint="default"/>
                      <w:color w:val="auto"/>
                      <w:szCs w:val="21"/>
                      <w:lang w:val="en-US" w:eastAsia="zh-CN"/>
                    </w:rPr>
                  </w:pPr>
                  <w:r>
                    <w:rPr>
                      <w:rFonts w:hint="eastAsia"/>
                      <w:color w:val="auto"/>
                      <w:szCs w:val="21"/>
                      <w:lang w:val="en-US" w:eastAsia="zh-CN"/>
                    </w:rPr>
                    <w:t>2#燃料仓粉尘</w:t>
                  </w:r>
                </w:p>
              </w:tc>
              <w:tc>
                <w:tcPr>
                  <w:tcW w:w="1371" w:type="dxa"/>
                  <w:noWrap w:val="0"/>
                  <w:vAlign w:val="center"/>
                </w:tcPr>
                <w:p w14:paraId="3FE9D0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7</w:t>
                  </w:r>
                </w:p>
              </w:tc>
              <w:tc>
                <w:tcPr>
                  <w:tcW w:w="1077" w:type="dxa"/>
                  <w:noWrap w:val="0"/>
                  <w:vAlign w:val="center"/>
                </w:tcPr>
                <w:p w14:paraId="1E2AB9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1593" w:type="dxa"/>
                  <w:noWrap w:val="0"/>
                  <w:vAlign w:val="center"/>
                </w:tcPr>
                <w:p w14:paraId="5EA120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0.10</w:t>
                  </w:r>
                </w:p>
              </w:tc>
              <w:tc>
                <w:tcPr>
                  <w:tcW w:w="1607" w:type="dxa"/>
                  <w:noWrap w:val="0"/>
                  <w:vAlign w:val="center"/>
                </w:tcPr>
                <w:p w14:paraId="1CC094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0.0002</w:t>
                  </w:r>
                </w:p>
              </w:tc>
              <w:tc>
                <w:tcPr>
                  <w:tcW w:w="1473" w:type="dxa"/>
                  <w:noWrap w:val="0"/>
                  <w:vAlign w:val="center"/>
                </w:tcPr>
                <w:p w14:paraId="2AB28A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0.0015</w:t>
                  </w:r>
                </w:p>
              </w:tc>
            </w:tr>
            <w:tr w14:paraId="79EE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1341" w:type="dxa"/>
                  <w:noWrap w:val="0"/>
                  <w:vAlign w:val="center"/>
                </w:tcPr>
                <w:p w14:paraId="3BA77E08">
                  <w:pPr>
                    <w:adjustRightInd w:val="0"/>
                    <w:snapToGrid w:val="0"/>
                    <w:jc w:val="center"/>
                    <w:textAlignment w:val="baseline"/>
                    <w:rPr>
                      <w:rFonts w:hint="default"/>
                      <w:color w:val="auto"/>
                      <w:szCs w:val="21"/>
                      <w:lang w:val="en-US" w:eastAsia="zh-CN"/>
                    </w:rPr>
                  </w:pPr>
                  <w:r>
                    <w:rPr>
                      <w:rFonts w:hint="eastAsia"/>
                      <w:color w:val="auto"/>
                      <w:szCs w:val="21"/>
                      <w:lang w:val="en-US" w:eastAsia="zh-CN"/>
                    </w:rPr>
                    <w:t>1#煤粉仓粉尘</w:t>
                  </w:r>
                </w:p>
              </w:tc>
              <w:tc>
                <w:tcPr>
                  <w:tcW w:w="1371" w:type="dxa"/>
                  <w:noWrap w:val="0"/>
                  <w:vAlign w:val="center"/>
                </w:tcPr>
                <w:p w14:paraId="552B5A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8</w:t>
                  </w:r>
                </w:p>
              </w:tc>
              <w:tc>
                <w:tcPr>
                  <w:tcW w:w="1077" w:type="dxa"/>
                  <w:noWrap w:val="0"/>
                  <w:vAlign w:val="center"/>
                </w:tcPr>
                <w:p w14:paraId="738177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1593" w:type="dxa"/>
                  <w:noWrap w:val="0"/>
                  <w:vAlign w:val="center"/>
                </w:tcPr>
                <w:p w14:paraId="3B5B0C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0.04</w:t>
                  </w:r>
                </w:p>
              </w:tc>
              <w:tc>
                <w:tcPr>
                  <w:tcW w:w="1607" w:type="dxa"/>
                  <w:noWrap w:val="0"/>
                  <w:vAlign w:val="center"/>
                </w:tcPr>
                <w:p w14:paraId="3B2675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0.00007</w:t>
                  </w:r>
                </w:p>
              </w:tc>
              <w:tc>
                <w:tcPr>
                  <w:tcW w:w="1473" w:type="dxa"/>
                  <w:noWrap w:val="0"/>
                  <w:vAlign w:val="center"/>
                </w:tcPr>
                <w:p w14:paraId="29E365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0.0005</w:t>
                  </w:r>
                </w:p>
              </w:tc>
            </w:tr>
            <w:tr w14:paraId="3708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1" w:type="dxa"/>
                  <w:noWrap w:val="0"/>
                  <w:vAlign w:val="center"/>
                </w:tcPr>
                <w:p w14:paraId="583EE296">
                  <w:pPr>
                    <w:adjustRightInd w:val="0"/>
                    <w:snapToGrid w:val="0"/>
                    <w:jc w:val="center"/>
                    <w:textAlignment w:val="baseline"/>
                    <w:rPr>
                      <w:rFonts w:hint="default"/>
                      <w:color w:val="auto"/>
                      <w:szCs w:val="21"/>
                      <w:lang w:val="en-US" w:eastAsia="zh-CN"/>
                    </w:rPr>
                  </w:pPr>
                  <w:r>
                    <w:rPr>
                      <w:rFonts w:hint="eastAsia"/>
                      <w:color w:val="auto"/>
                      <w:szCs w:val="21"/>
                      <w:lang w:val="en-US" w:eastAsia="zh-CN"/>
                    </w:rPr>
                    <w:t>2#煤粉仓粉尘</w:t>
                  </w:r>
                </w:p>
              </w:tc>
              <w:tc>
                <w:tcPr>
                  <w:tcW w:w="1371" w:type="dxa"/>
                  <w:noWrap w:val="0"/>
                  <w:vAlign w:val="center"/>
                </w:tcPr>
                <w:p w14:paraId="585A9C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9</w:t>
                  </w:r>
                </w:p>
              </w:tc>
              <w:tc>
                <w:tcPr>
                  <w:tcW w:w="1077" w:type="dxa"/>
                  <w:noWrap w:val="0"/>
                  <w:vAlign w:val="center"/>
                </w:tcPr>
                <w:p w14:paraId="7EE25C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1593" w:type="dxa"/>
                  <w:noWrap w:val="0"/>
                  <w:vAlign w:val="center"/>
                </w:tcPr>
                <w:p w14:paraId="38DAE0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0.01</w:t>
                  </w:r>
                </w:p>
              </w:tc>
              <w:tc>
                <w:tcPr>
                  <w:tcW w:w="1607" w:type="dxa"/>
                  <w:noWrap w:val="0"/>
                  <w:vAlign w:val="center"/>
                </w:tcPr>
                <w:p w14:paraId="505F1B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0.00004</w:t>
                  </w:r>
                </w:p>
              </w:tc>
              <w:tc>
                <w:tcPr>
                  <w:tcW w:w="1473" w:type="dxa"/>
                  <w:noWrap w:val="0"/>
                  <w:vAlign w:val="center"/>
                </w:tcPr>
                <w:p w14:paraId="7E22D6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0.0002</w:t>
                  </w:r>
                </w:p>
              </w:tc>
            </w:tr>
            <w:tr w14:paraId="6ABF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1" w:type="dxa"/>
                  <w:noWrap w:val="0"/>
                  <w:vAlign w:val="center"/>
                </w:tcPr>
                <w:p w14:paraId="12C068B2">
                  <w:pPr>
                    <w:adjustRightInd w:val="0"/>
                    <w:snapToGrid w:val="0"/>
                    <w:jc w:val="center"/>
                    <w:textAlignment w:val="baseline"/>
                    <w:rPr>
                      <w:rFonts w:hint="default"/>
                      <w:color w:val="auto"/>
                      <w:szCs w:val="21"/>
                      <w:lang w:val="en-US" w:eastAsia="zh-CN"/>
                    </w:rPr>
                  </w:pPr>
                  <w:r>
                    <w:rPr>
                      <w:rFonts w:hint="eastAsia"/>
                      <w:color w:val="auto"/>
                      <w:szCs w:val="21"/>
                      <w:lang w:val="en-US" w:eastAsia="zh-CN"/>
                    </w:rPr>
                    <w:t>3#煤粉仓粉尘</w:t>
                  </w:r>
                </w:p>
              </w:tc>
              <w:tc>
                <w:tcPr>
                  <w:tcW w:w="1371" w:type="dxa"/>
                  <w:noWrap w:val="0"/>
                  <w:vAlign w:val="center"/>
                </w:tcPr>
                <w:p w14:paraId="4C004E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10</w:t>
                  </w:r>
                </w:p>
              </w:tc>
              <w:tc>
                <w:tcPr>
                  <w:tcW w:w="1077" w:type="dxa"/>
                  <w:noWrap w:val="0"/>
                  <w:vAlign w:val="center"/>
                </w:tcPr>
                <w:p w14:paraId="33E09D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1593" w:type="dxa"/>
                  <w:noWrap w:val="0"/>
                  <w:vAlign w:val="center"/>
                </w:tcPr>
                <w:p w14:paraId="1D0A6D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0.01</w:t>
                  </w:r>
                </w:p>
              </w:tc>
              <w:tc>
                <w:tcPr>
                  <w:tcW w:w="1607" w:type="dxa"/>
                  <w:noWrap w:val="0"/>
                  <w:vAlign w:val="center"/>
                </w:tcPr>
                <w:p w14:paraId="6F9061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0.00004</w:t>
                  </w:r>
                </w:p>
              </w:tc>
              <w:tc>
                <w:tcPr>
                  <w:tcW w:w="1473" w:type="dxa"/>
                  <w:noWrap w:val="0"/>
                  <w:vAlign w:val="center"/>
                </w:tcPr>
                <w:p w14:paraId="6DD90F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0.0002</w:t>
                  </w:r>
                </w:p>
              </w:tc>
            </w:tr>
            <w:tr w14:paraId="597E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1" w:type="dxa"/>
                  <w:noWrap w:val="0"/>
                  <w:vAlign w:val="center"/>
                </w:tcPr>
                <w:p w14:paraId="178C69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出烘干机皮带转运站落料粉尘</w:t>
                  </w:r>
                </w:p>
              </w:tc>
              <w:tc>
                <w:tcPr>
                  <w:tcW w:w="1371" w:type="dxa"/>
                  <w:noWrap w:val="0"/>
                  <w:vAlign w:val="center"/>
                </w:tcPr>
                <w:p w14:paraId="2A52CA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11</w:t>
                  </w:r>
                </w:p>
              </w:tc>
              <w:tc>
                <w:tcPr>
                  <w:tcW w:w="1077" w:type="dxa"/>
                  <w:noWrap w:val="0"/>
                  <w:vAlign w:val="center"/>
                </w:tcPr>
                <w:p w14:paraId="0F37F5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1593" w:type="dxa"/>
                  <w:noWrap w:val="0"/>
                  <w:vAlign w:val="center"/>
                </w:tcPr>
                <w:p w14:paraId="12344B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0.92</w:t>
                  </w:r>
                </w:p>
              </w:tc>
              <w:tc>
                <w:tcPr>
                  <w:tcW w:w="1607" w:type="dxa"/>
                  <w:noWrap w:val="0"/>
                  <w:vAlign w:val="center"/>
                </w:tcPr>
                <w:p w14:paraId="3EE317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cs="Times New Roman"/>
                      <w:i w:val="0"/>
                      <w:iCs w:val="0"/>
                      <w:color w:val="auto"/>
                      <w:kern w:val="0"/>
                      <w:sz w:val="21"/>
                      <w:szCs w:val="21"/>
                      <w:highlight w:val="none"/>
                      <w:u w:val="none"/>
                      <w:lang w:val="en-US" w:eastAsia="zh-CN" w:bidi="ar"/>
                    </w:rPr>
                    <w:t>0.0068</w:t>
                  </w:r>
                </w:p>
              </w:tc>
              <w:tc>
                <w:tcPr>
                  <w:tcW w:w="1473" w:type="dxa"/>
                  <w:noWrap w:val="0"/>
                  <w:vAlign w:val="center"/>
                </w:tcPr>
                <w:p w14:paraId="65E8A7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0.0459</w:t>
                  </w:r>
                </w:p>
              </w:tc>
            </w:tr>
            <w:tr w14:paraId="5FAE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1" w:type="dxa"/>
                  <w:noWrap w:val="0"/>
                  <w:vAlign w:val="center"/>
                </w:tcPr>
                <w:p w14:paraId="65F9E3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进成品堆棚转运站落料粉尘</w:t>
                  </w:r>
                </w:p>
              </w:tc>
              <w:tc>
                <w:tcPr>
                  <w:tcW w:w="1371" w:type="dxa"/>
                  <w:noWrap w:val="0"/>
                  <w:vAlign w:val="center"/>
                </w:tcPr>
                <w:p w14:paraId="6A6B91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12</w:t>
                  </w:r>
                </w:p>
              </w:tc>
              <w:tc>
                <w:tcPr>
                  <w:tcW w:w="1077" w:type="dxa"/>
                  <w:noWrap w:val="0"/>
                  <w:vAlign w:val="center"/>
                </w:tcPr>
                <w:p w14:paraId="1F5A6B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1593" w:type="dxa"/>
                  <w:noWrap w:val="0"/>
                  <w:vAlign w:val="center"/>
                </w:tcPr>
                <w:p w14:paraId="19A8AE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0.81</w:t>
                  </w:r>
                </w:p>
              </w:tc>
              <w:tc>
                <w:tcPr>
                  <w:tcW w:w="1607" w:type="dxa"/>
                  <w:noWrap w:val="0"/>
                  <w:vAlign w:val="center"/>
                </w:tcPr>
                <w:p w14:paraId="2C0677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cs="Times New Roman"/>
                      <w:i w:val="0"/>
                      <w:iCs w:val="0"/>
                      <w:color w:val="auto"/>
                      <w:kern w:val="0"/>
                      <w:sz w:val="21"/>
                      <w:szCs w:val="21"/>
                      <w:highlight w:val="none"/>
                      <w:u w:val="none"/>
                      <w:lang w:val="en-US" w:eastAsia="zh-CN" w:bidi="ar"/>
                    </w:rPr>
                    <w:t>0.0060</w:t>
                  </w:r>
                </w:p>
              </w:tc>
              <w:tc>
                <w:tcPr>
                  <w:tcW w:w="1473" w:type="dxa"/>
                  <w:noWrap w:val="0"/>
                  <w:vAlign w:val="center"/>
                </w:tcPr>
                <w:p w14:paraId="3A6CBE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0.0403</w:t>
                  </w:r>
                </w:p>
              </w:tc>
            </w:tr>
            <w:tr w14:paraId="70A0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 w:hRule="atLeast"/>
                <w:jc w:val="center"/>
              </w:trPr>
              <w:tc>
                <w:tcPr>
                  <w:tcW w:w="1341" w:type="dxa"/>
                  <w:noWrap w:val="0"/>
                  <w:vAlign w:val="center"/>
                </w:tcPr>
                <w:p w14:paraId="497C11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出成品堆棚皮带转运站落料粉尘</w:t>
                  </w:r>
                </w:p>
              </w:tc>
              <w:tc>
                <w:tcPr>
                  <w:tcW w:w="1371" w:type="dxa"/>
                  <w:noWrap w:val="0"/>
                  <w:vAlign w:val="center"/>
                </w:tcPr>
                <w:p w14:paraId="00FF32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13</w:t>
                  </w:r>
                </w:p>
              </w:tc>
              <w:tc>
                <w:tcPr>
                  <w:tcW w:w="1077" w:type="dxa"/>
                  <w:noWrap w:val="0"/>
                  <w:vAlign w:val="center"/>
                </w:tcPr>
                <w:p w14:paraId="0FE2E1C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1593" w:type="dxa"/>
                  <w:noWrap w:val="0"/>
                  <w:vAlign w:val="center"/>
                </w:tcPr>
                <w:p w14:paraId="480991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1.22</w:t>
                  </w:r>
                </w:p>
              </w:tc>
              <w:tc>
                <w:tcPr>
                  <w:tcW w:w="1607" w:type="dxa"/>
                  <w:noWrap w:val="0"/>
                  <w:vAlign w:val="center"/>
                </w:tcPr>
                <w:p w14:paraId="4203D2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cs="Times New Roman"/>
                      <w:i w:val="0"/>
                      <w:iCs w:val="0"/>
                      <w:color w:val="auto"/>
                      <w:kern w:val="0"/>
                      <w:sz w:val="21"/>
                      <w:szCs w:val="21"/>
                      <w:highlight w:val="none"/>
                      <w:u w:val="none"/>
                      <w:lang w:val="en-US" w:eastAsia="zh-CN" w:bidi="ar"/>
                    </w:rPr>
                    <w:t>0.0090</w:t>
                  </w:r>
                </w:p>
              </w:tc>
              <w:tc>
                <w:tcPr>
                  <w:tcW w:w="1473" w:type="dxa"/>
                  <w:noWrap w:val="0"/>
                  <w:vAlign w:val="center"/>
                </w:tcPr>
                <w:p w14:paraId="483EB9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i w:val="0"/>
                      <w:iCs w:val="0"/>
                      <w:color w:val="auto"/>
                      <w:kern w:val="0"/>
                      <w:sz w:val="21"/>
                      <w:szCs w:val="21"/>
                      <w:highlight w:val="none"/>
                      <w:u w:val="none"/>
                      <w:lang w:val="en-US" w:eastAsia="zh-CN" w:bidi="ar"/>
                    </w:rPr>
                    <w:t>0.0602</w:t>
                  </w:r>
                </w:p>
              </w:tc>
            </w:tr>
            <w:tr w14:paraId="698B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 w:hRule="atLeast"/>
                <w:jc w:val="center"/>
              </w:trPr>
              <w:tc>
                <w:tcPr>
                  <w:tcW w:w="1341" w:type="dxa"/>
                  <w:noWrap w:val="0"/>
                  <w:vAlign w:val="center"/>
                </w:tcPr>
                <w:p w14:paraId="5AACDF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成品装车车间皮带转运站落料粉尘</w:t>
                  </w:r>
                </w:p>
              </w:tc>
              <w:tc>
                <w:tcPr>
                  <w:tcW w:w="1371" w:type="dxa"/>
                  <w:noWrap w:val="0"/>
                  <w:vAlign w:val="center"/>
                </w:tcPr>
                <w:p w14:paraId="2A7CE14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DA014</w:t>
                  </w:r>
                </w:p>
              </w:tc>
              <w:tc>
                <w:tcPr>
                  <w:tcW w:w="1077" w:type="dxa"/>
                  <w:noWrap w:val="0"/>
                  <w:vAlign w:val="center"/>
                </w:tcPr>
                <w:p w14:paraId="1D72A9D0">
                  <w:pPr>
                    <w:adjustRightInd w:val="0"/>
                    <w:snapToGrid w:val="0"/>
                    <w:jc w:val="center"/>
                    <w:textAlignment w:val="baseline"/>
                    <w:rPr>
                      <w:rFonts w:hint="default" w:eastAsia="宋体"/>
                      <w:color w:val="auto"/>
                      <w:szCs w:val="21"/>
                      <w:lang w:val="en-US" w:eastAsia="zh-CN"/>
                    </w:rPr>
                  </w:pPr>
                  <w:r>
                    <w:rPr>
                      <w:rFonts w:hint="eastAsia"/>
                      <w:color w:val="auto"/>
                      <w:szCs w:val="21"/>
                      <w:lang w:val="en-US" w:eastAsia="zh-CN"/>
                    </w:rPr>
                    <w:t>颗粒物</w:t>
                  </w:r>
                </w:p>
              </w:tc>
              <w:tc>
                <w:tcPr>
                  <w:tcW w:w="1593" w:type="dxa"/>
                  <w:noWrap w:val="0"/>
                  <w:vAlign w:val="center"/>
                </w:tcPr>
                <w:p w14:paraId="16F90951">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93</w:t>
                  </w:r>
                </w:p>
              </w:tc>
              <w:tc>
                <w:tcPr>
                  <w:tcW w:w="1607" w:type="dxa"/>
                  <w:noWrap w:val="0"/>
                  <w:vAlign w:val="center"/>
                </w:tcPr>
                <w:p w14:paraId="500CC116">
                  <w:pPr>
                    <w:keepNext w:val="0"/>
                    <w:keepLines w:val="0"/>
                    <w:widowControl/>
                    <w:suppressLineNumbers w:val="0"/>
                    <w:jc w:val="center"/>
                    <w:textAlignment w:val="center"/>
                    <w:rPr>
                      <w:rFonts w:hint="default" w:cs="Times New Roman"/>
                      <w:color w:val="auto"/>
                      <w:sz w:val="21"/>
                      <w:szCs w:val="21"/>
                      <w:highlight w:val="yellow"/>
                      <w:lang w:val="en-US" w:eastAsia="zh-CN"/>
                    </w:rPr>
                  </w:pPr>
                  <w:r>
                    <w:rPr>
                      <w:rFonts w:hint="eastAsia" w:ascii="Times New Roman" w:hAnsi="Times New Roman" w:eastAsia="宋体" w:cs="Times New Roman"/>
                      <w:b w:val="0"/>
                      <w:bCs w:val="0"/>
                      <w:i w:val="0"/>
                      <w:color w:val="auto"/>
                      <w:kern w:val="0"/>
                      <w:sz w:val="21"/>
                      <w:szCs w:val="21"/>
                      <w:highlight w:val="none"/>
                      <w:u w:val="none"/>
                      <w:lang w:val="en-US" w:eastAsia="zh-CN" w:bidi="ar"/>
                    </w:rPr>
                    <w:t>0.0</w:t>
                  </w:r>
                  <w:r>
                    <w:rPr>
                      <w:rFonts w:hint="eastAsia" w:cs="Times New Roman"/>
                      <w:b w:val="0"/>
                      <w:bCs w:val="0"/>
                      <w:i w:val="0"/>
                      <w:color w:val="auto"/>
                      <w:kern w:val="0"/>
                      <w:sz w:val="21"/>
                      <w:szCs w:val="21"/>
                      <w:highlight w:val="none"/>
                      <w:u w:val="none"/>
                      <w:lang w:val="en-US" w:eastAsia="zh-CN" w:bidi="ar"/>
                    </w:rPr>
                    <w:t>137</w:t>
                  </w:r>
                </w:p>
              </w:tc>
              <w:tc>
                <w:tcPr>
                  <w:tcW w:w="1473" w:type="dxa"/>
                  <w:noWrap w:val="0"/>
                  <w:vAlign w:val="center"/>
                </w:tcPr>
                <w:p w14:paraId="43BC645D">
                  <w:pPr>
                    <w:adjustRightInd w:val="0"/>
                    <w:snapToGrid w:val="0"/>
                    <w:jc w:val="center"/>
                    <w:textAlignment w:val="baseline"/>
                    <w:rPr>
                      <w:rFonts w:hint="eastAsia"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0.0918</w:t>
                  </w:r>
                </w:p>
              </w:tc>
            </w:tr>
            <w:tr w14:paraId="3A6F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 w:hRule="atLeast"/>
                <w:jc w:val="center"/>
              </w:trPr>
              <w:tc>
                <w:tcPr>
                  <w:tcW w:w="1341" w:type="dxa"/>
                  <w:noWrap w:val="0"/>
                  <w:vAlign w:val="center"/>
                </w:tcPr>
                <w:p w14:paraId="719812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color w:val="auto"/>
                      <w:sz w:val="21"/>
                      <w:szCs w:val="21"/>
                      <w:highlight w:val="none"/>
                      <w:lang w:val="en-US" w:eastAsia="zh-CN"/>
                    </w:rPr>
                  </w:pPr>
                  <w:r>
                    <w:rPr>
                      <w:rFonts w:hint="eastAsia"/>
                      <w:b w:val="0"/>
                      <w:bCs w:val="0"/>
                      <w:color w:val="auto"/>
                      <w:sz w:val="21"/>
                      <w:szCs w:val="21"/>
                      <w:lang w:val="en-US" w:eastAsia="zh-CN"/>
                    </w:rPr>
                    <w:t>1#块煤散装粉尘</w:t>
                  </w:r>
                </w:p>
              </w:tc>
              <w:tc>
                <w:tcPr>
                  <w:tcW w:w="1371" w:type="dxa"/>
                  <w:noWrap w:val="0"/>
                  <w:vAlign w:val="center"/>
                </w:tcPr>
                <w:p w14:paraId="2ECFF1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5</w:t>
                  </w:r>
                </w:p>
              </w:tc>
              <w:tc>
                <w:tcPr>
                  <w:tcW w:w="1077" w:type="dxa"/>
                  <w:noWrap w:val="0"/>
                  <w:vAlign w:val="center"/>
                </w:tcPr>
                <w:p w14:paraId="0CF69030">
                  <w:pPr>
                    <w:adjustRightInd w:val="0"/>
                    <w:snapToGrid w:val="0"/>
                    <w:jc w:val="center"/>
                    <w:textAlignment w:val="baseline"/>
                    <w:rPr>
                      <w:rFonts w:hint="eastAsia"/>
                      <w:color w:val="auto"/>
                      <w:szCs w:val="21"/>
                      <w:lang w:val="en-US" w:eastAsia="zh-CN"/>
                    </w:rPr>
                  </w:pPr>
                  <w:r>
                    <w:rPr>
                      <w:rFonts w:hint="eastAsia"/>
                      <w:color w:val="auto"/>
                      <w:szCs w:val="21"/>
                      <w:lang w:val="en-US" w:eastAsia="zh-CN"/>
                    </w:rPr>
                    <w:t>颗粒物</w:t>
                  </w:r>
                </w:p>
              </w:tc>
              <w:tc>
                <w:tcPr>
                  <w:tcW w:w="1593" w:type="dxa"/>
                  <w:noWrap w:val="0"/>
                  <w:vAlign w:val="center"/>
                </w:tcPr>
                <w:p w14:paraId="184C013C">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23</w:t>
                  </w:r>
                </w:p>
              </w:tc>
              <w:tc>
                <w:tcPr>
                  <w:tcW w:w="1607" w:type="dxa"/>
                  <w:noWrap w:val="0"/>
                  <w:vAlign w:val="center"/>
                </w:tcPr>
                <w:p w14:paraId="1EBC4B11">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yellow"/>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0.0</w:t>
                  </w:r>
                  <w:r>
                    <w:rPr>
                      <w:rFonts w:hint="eastAsia" w:cs="Times New Roman"/>
                      <w:b w:val="0"/>
                      <w:bCs w:val="0"/>
                      <w:i w:val="0"/>
                      <w:color w:val="auto"/>
                      <w:kern w:val="0"/>
                      <w:sz w:val="21"/>
                      <w:szCs w:val="21"/>
                      <w:highlight w:val="none"/>
                      <w:u w:val="none"/>
                      <w:lang w:val="en-US" w:eastAsia="zh-CN" w:bidi="ar"/>
                    </w:rPr>
                    <w:t>014</w:t>
                  </w:r>
                </w:p>
              </w:tc>
              <w:tc>
                <w:tcPr>
                  <w:tcW w:w="1473" w:type="dxa"/>
                  <w:noWrap w:val="0"/>
                  <w:vAlign w:val="center"/>
                </w:tcPr>
                <w:p w14:paraId="467C1577">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0.0094</w:t>
                  </w:r>
                </w:p>
              </w:tc>
            </w:tr>
            <w:tr w14:paraId="5709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 w:hRule="atLeast"/>
                <w:jc w:val="center"/>
              </w:trPr>
              <w:tc>
                <w:tcPr>
                  <w:tcW w:w="1341" w:type="dxa"/>
                  <w:noWrap w:val="0"/>
                  <w:vAlign w:val="center"/>
                </w:tcPr>
                <w:p w14:paraId="7B27E2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color w:val="auto"/>
                      <w:sz w:val="21"/>
                      <w:szCs w:val="21"/>
                      <w:highlight w:val="none"/>
                      <w:lang w:val="en-US" w:eastAsia="zh-CN"/>
                    </w:rPr>
                  </w:pPr>
                  <w:r>
                    <w:rPr>
                      <w:rFonts w:hint="eastAsia"/>
                      <w:b w:val="0"/>
                      <w:bCs w:val="0"/>
                      <w:color w:val="auto"/>
                      <w:sz w:val="21"/>
                      <w:szCs w:val="21"/>
                      <w:lang w:val="en-US" w:eastAsia="zh-CN"/>
                    </w:rPr>
                    <w:t>2#块煤散装粉尘</w:t>
                  </w:r>
                </w:p>
              </w:tc>
              <w:tc>
                <w:tcPr>
                  <w:tcW w:w="1371" w:type="dxa"/>
                  <w:noWrap w:val="0"/>
                  <w:vAlign w:val="center"/>
                </w:tcPr>
                <w:p w14:paraId="474E05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6</w:t>
                  </w:r>
                </w:p>
              </w:tc>
              <w:tc>
                <w:tcPr>
                  <w:tcW w:w="1077" w:type="dxa"/>
                  <w:noWrap w:val="0"/>
                  <w:vAlign w:val="center"/>
                </w:tcPr>
                <w:p w14:paraId="70912CAE">
                  <w:pPr>
                    <w:adjustRightInd w:val="0"/>
                    <w:snapToGrid w:val="0"/>
                    <w:jc w:val="center"/>
                    <w:textAlignment w:val="baseline"/>
                    <w:rPr>
                      <w:rFonts w:hint="eastAsia"/>
                      <w:color w:val="auto"/>
                      <w:szCs w:val="21"/>
                      <w:lang w:val="en-US" w:eastAsia="zh-CN"/>
                    </w:rPr>
                  </w:pPr>
                  <w:r>
                    <w:rPr>
                      <w:rFonts w:hint="eastAsia"/>
                      <w:color w:val="auto"/>
                      <w:szCs w:val="21"/>
                      <w:lang w:val="en-US" w:eastAsia="zh-CN"/>
                    </w:rPr>
                    <w:t>颗粒物</w:t>
                  </w:r>
                </w:p>
              </w:tc>
              <w:tc>
                <w:tcPr>
                  <w:tcW w:w="1593" w:type="dxa"/>
                  <w:noWrap w:val="0"/>
                  <w:vAlign w:val="center"/>
                </w:tcPr>
                <w:p w14:paraId="74899D84">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23</w:t>
                  </w:r>
                </w:p>
              </w:tc>
              <w:tc>
                <w:tcPr>
                  <w:tcW w:w="1607" w:type="dxa"/>
                  <w:noWrap w:val="0"/>
                  <w:vAlign w:val="center"/>
                </w:tcPr>
                <w:p w14:paraId="63B9C155">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0.0</w:t>
                  </w:r>
                  <w:r>
                    <w:rPr>
                      <w:rFonts w:hint="eastAsia" w:cs="Times New Roman"/>
                      <w:b w:val="0"/>
                      <w:bCs w:val="0"/>
                      <w:i w:val="0"/>
                      <w:color w:val="auto"/>
                      <w:kern w:val="0"/>
                      <w:sz w:val="21"/>
                      <w:szCs w:val="21"/>
                      <w:highlight w:val="none"/>
                      <w:u w:val="none"/>
                      <w:lang w:val="en-US" w:eastAsia="zh-CN" w:bidi="ar"/>
                    </w:rPr>
                    <w:t>014</w:t>
                  </w:r>
                </w:p>
              </w:tc>
              <w:tc>
                <w:tcPr>
                  <w:tcW w:w="1473" w:type="dxa"/>
                  <w:noWrap w:val="0"/>
                  <w:vAlign w:val="center"/>
                </w:tcPr>
                <w:p w14:paraId="6355C5A9">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0.0094</w:t>
                  </w:r>
                </w:p>
              </w:tc>
            </w:tr>
            <w:tr w14:paraId="30A7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 w:hRule="atLeast"/>
                <w:jc w:val="center"/>
              </w:trPr>
              <w:tc>
                <w:tcPr>
                  <w:tcW w:w="1341" w:type="dxa"/>
                  <w:noWrap w:val="0"/>
                  <w:vAlign w:val="center"/>
                </w:tcPr>
                <w:p w14:paraId="17A1BE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color w:val="auto"/>
                      <w:sz w:val="21"/>
                      <w:szCs w:val="21"/>
                      <w:highlight w:val="none"/>
                      <w:lang w:val="en-US" w:eastAsia="zh-CN"/>
                    </w:rPr>
                  </w:pPr>
                  <w:r>
                    <w:rPr>
                      <w:rFonts w:hint="eastAsia"/>
                      <w:b w:val="0"/>
                      <w:bCs w:val="0"/>
                      <w:color w:val="auto"/>
                      <w:sz w:val="21"/>
                      <w:szCs w:val="21"/>
                      <w:lang w:val="en-US" w:eastAsia="zh-CN"/>
                    </w:rPr>
                    <w:t>1#煤粉散装粉尘</w:t>
                  </w:r>
                </w:p>
              </w:tc>
              <w:tc>
                <w:tcPr>
                  <w:tcW w:w="1371" w:type="dxa"/>
                  <w:noWrap w:val="0"/>
                  <w:vAlign w:val="center"/>
                </w:tcPr>
                <w:p w14:paraId="651C7C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7</w:t>
                  </w:r>
                </w:p>
              </w:tc>
              <w:tc>
                <w:tcPr>
                  <w:tcW w:w="1077" w:type="dxa"/>
                  <w:noWrap w:val="0"/>
                  <w:vAlign w:val="center"/>
                </w:tcPr>
                <w:p w14:paraId="0DEC376C">
                  <w:pPr>
                    <w:adjustRightInd w:val="0"/>
                    <w:snapToGrid w:val="0"/>
                    <w:jc w:val="center"/>
                    <w:textAlignment w:val="baseline"/>
                    <w:rPr>
                      <w:rFonts w:hint="eastAsia"/>
                      <w:color w:val="auto"/>
                      <w:szCs w:val="21"/>
                      <w:lang w:val="en-US" w:eastAsia="zh-CN"/>
                    </w:rPr>
                  </w:pPr>
                  <w:r>
                    <w:rPr>
                      <w:rFonts w:hint="eastAsia"/>
                      <w:color w:val="auto"/>
                      <w:szCs w:val="21"/>
                      <w:lang w:val="en-US" w:eastAsia="zh-CN"/>
                    </w:rPr>
                    <w:t>颗粒物</w:t>
                  </w:r>
                </w:p>
              </w:tc>
              <w:tc>
                <w:tcPr>
                  <w:tcW w:w="1593" w:type="dxa"/>
                  <w:noWrap w:val="0"/>
                  <w:vAlign w:val="center"/>
                </w:tcPr>
                <w:p w14:paraId="69A9CF86">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9</w:t>
                  </w:r>
                </w:p>
              </w:tc>
              <w:tc>
                <w:tcPr>
                  <w:tcW w:w="1607" w:type="dxa"/>
                  <w:noWrap w:val="0"/>
                  <w:vAlign w:val="center"/>
                </w:tcPr>
                <w:p w14:paraId="1622C4F6">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0.0</w:t>
                  </w:r>
                  <w:r>
                    <w:rPr>
                      <w:rFonts w:hint="eastAsia" w:cs="Times New Roman"/>
                      <w:b w:val="0"/>
                      <w:bCs w:val="0"/>
                      <w:i w:val="0"/>
                      <w:color w:val="auto"/>
                      <w:kern w:val="0"/>
                      <w:sz w:val="21"/>
                      <w:szCs w:val="21"/>
                      <w:highlight w:val="none"/>
                      <w:u w:val="none"/>
                      <w:lang w:val="en-US" w:eastAsia="zh-CN" w:bidi="ar"/>
                    </w:rPr>
                    <w:t>003</w:t>
                  </w:r>
                </w:p>
              </w:tc>
              <w:tc>
                <w:tcPr>
                  <w:tcW w:w="1473" w:type="dxa"/>
                  <w:noWrap w:val="0"/>
                  <w:vAlign w:val="center"/>
                </w:tcPr>
                <w:p w14:paraId="4C729352">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0.0017</w:t>
                  </w:r>
                </w:p>
              </w:tc>
            </w:tr>
            <w:tr w14:paraId="50D3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jc w:val="center"/>
              </w:trPr>
              <w:tc>
                <w:tcPr>
                  <w:tcW w:w="1341" w:type="dxa"/>
                  <w:noWrap w:val="0"/>
                  <w:vAlign w:val="center"/>
                </w:tcPr>
                <w:p w14:paraId="6CA741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color w:val="auto"/>
                      <w:sz w:val="21"/>
                      <w:szCs w:val="21"/>
                      <w:highlight w:val="none"/>
                      <w:lang w:val="en-US" w:eastAsia="zh-CN"/>
                    </w:rPr>
                  </w:pPr>
                  <w:r>
                    <w:rPr>
                      <w:rFonts w:hint="eastAsia"/>
                      <w:b w:val="0"/>
                      <w:bCs w:val="0"/>
                      <w:color w:val="auto"/>
                      <w:sz w:val="21"/>
                      <w:szCs w:val="21"/>
                      <w:lang w:val="en-US" w:eastAsia="zh-CN"/>
                    </w:rPr>
                    <w:t>2#煤粉散装粉尘</w:t>
                  </w:r>
                </w:p>
              </w:tc>
              <w:tc>
                <w:tcPr>
                  <w:tcW w:w="1371" w:type="dxa"/>
                  <w:noWrap w:val="0"/>
                  <w:vAlign w:val="center"/>
                </w:tcPr>
                <w:p w14:paraId="270106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8</w:t>
                  </w:r>
                </w:p>
              </w:tc>
              <w:tc>
                <w:tcPr>
                  <w:tcW w:w="1077" w:type="dxa"/>
                  <w:noWrap w:val="0"/>
                  <w:vAlign w:val="center"/>
                </w:tcPr>
                <w:p w14:paraId="026BC256">
                  <w:pPr>
                    <w:adjustRightInd w:val="0"/>
                    <w:snapToGrid w:val="0"/>
                    <w:jc w:val="center"/>
                    <w:textAlignment w:val="baseline"/>
                    <w:rPr>
                      <w:rFonts w:hint="eastAsia"/>
                      <w:color w:val="auto"/>
                      <w:szCs w:val="21"/>
                      <w:lang w:val="en-US" w:eastAsia="zh-CN"/>
                    </w:rPr>
                  </w:pPr>
                  <w:r>
                    <w:rPr>
                      <w:rFonts w:hint="eastAsia"/>
                      <w:color w:val="auto"/>
                      <w:szCs w:val="21"/>
                      <w:lang w:val="en-US" w:eastAsia="zh-CN"/>
                    </w:rPr>
                    <w:t>颗粒物</w:t>
                  </w:r>
                </w:p>
              </w:tc>
              <w:tc>
                <w:tcPr>
                  <w:tcW w:w="1593" w:type="dxa"/>
                  <w:noWrap w:val="0"/>
                  <w:vAlign w:val="center"/>
                </w:tcPr>
                <w:p w14:paraId="1D93DB40">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9</w:t>
                  </w:r>
                </w:p>
              </w:tc>
              <w:tc>
                <w:tcPr>
                  <w:tcW w:w="1607" w:type="dxa"/>
                  <w:noWrap w:val="0"/>
                  <w:vAlign w:val="center"/>
                </w:tcPr>
                <w:p w14:paraId="7F96C65D">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0.0</w:t>
                  </w:r>
                  <w:r>
                    <w:rPr>
                      <w:rFonts w:hint="eastAsia" w:cs="Times New Roman"/>
                      <w:b w:val="0"/>
                      <w:bCs w:val="0"/>
                      <w:i w:val="0"/>
                      <w:color w:val="auto"/>
                      <w:kern w:val="0"/>
                      <w:sz w:val="21"/>
                      <w:szCs w:val="21"/>
                      <w:highlight w:val="none"/>
                      <w:u w:val="none"/>
                      <w:lang w:val="en-US" w:eastAsia="zh-CN" w:bidi="ar"/>
                    </w:rPr>
                    <w:t>003</w:t>
                  </w:r>
                </w:p>
              </w:tc>
              <w:tc>
                <w:tcPr>
                  <w:tcW w:w="1473" w:type="dxa"/>
                  <w:noWrap w:val="0"/>
                  <w:vAlign w:val="center"/>
                </w:tcPr>
                <w:p w14:paraId="2504267D">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0.0017</w:t>
                  </w:r>
                </w:p>
              </w:tc>
            </w:tr>
            <w:tr w14:paraId="5FB2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 w:hRule="atLeast"/>
                <w:jc w:val="center"/>
              </w:trPr>
              <w:tc>
                <w:tcPr>
                  <w:tcW w:w="1341" w:type="dxa"/>
                  <w:noWrap w:val="0"/>
                  <w:vAlign w:val="center"/>
                </w:tcPr>
                <w:p w14:paraId="140D8B0A">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石灰石粉筒仓粉尘</w:t>
                  </w:r>
                </w:p>
              </w:tc>
              <w:tc>
                <w:tcPr>
                  <w:tcW w:w="1371" w:type="dxa"/>
                  <w:noWrap w:val="0"/>
                  <w:vAlign w:val="center"/>
                </w:tcPr>
                <w:p w14:paraId="6DE0F863">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DA019</w:t>
                  </w:r>
                </w:p>
              </w:tc>
              <w:tc>
                <w:tcPr>
                  <w:tcW w:w="1077" w:type="dxa"/>
                  <w:noWrap w:val="0"/>
                  <w:vAlign w:val="center"/>
                </w:tcPr>
                <w:p w14:paraId="3DC4E584">
                  <w:pPr>
                    <w:adjustRightInd w:val="0"/>
                    <w:snapToGrid w:val="0"/>
                    <w:jc w:val="center"/>
                    <w:textAlignment w:val="baseline"/>
                    <w:rPr>
                      <w:rFonts w:hint="eastAsia"/>
                      <w:color w:val="auto"/>
                      <w:szCs w:val="21"/>
                      <w:lang w:val="en-US" w:eastAsia="zh-CN"/>
                    </w:rPr>
                  </w:pPr>
                  <w:r>
                    <w:rPr>
                      <w:rFonts w:hint="eastAsia"/>
                      <w:color w:val="auto"/>
                      <w:szCs w:val="21"/>
                      <w:lang w:val="en-US" w:eastAsia="zh-CN"/>
                    </w:rPr>
                    <w:t>颗粒物</w:t>
                  </w:r>
                </w:p>
              </w:tc>
              <w:tc>
                <w:tcPr>
                  <w:tcW w:w="1593" w:type="dxa"/>
                  <w:noWrap w:val="0"/>
                  <w:vAlign w:val="center"/>
                </w:tcPr>
                <w:p w14:paraId="733578EC">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30.65</w:t>
                  </w:r>
                </w:p>
              </w:tc>
              <w:tc>
                <w:tcPr>
                  <w:tcW w:w="1607" w:type="dxa"/>
                  <w:noWrap w:val="0"/>
                  <w:vAlign w:val="center"/>
                </w:tcPr>
                <w:p w14:paraId="12867F01">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0.0613</w:t>
                  </w:r>
                </w:p>
              </w:tc>
              <w:tc>
                <w:tcPr>
                  <w:tcW w:w="1473" w:type="dxa"/>
                  <w:noWrap w:val="0"/>
                  <w:vAlign w:val="center"/>
                </w:tcPr>
                <w:p w14:paraId="40107A9F">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0.0012</w:t>
                  </w:r>
                </w:p>
              </w:tc>
            </w:tr>
          </w:tbl>
          <w:p w14:paraId="630E7FBF">
            <w:pPr>
              <w:pStyle w:val="91"/>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w:t>
            </w:r>
            <w:r>
              <w:rPr>
                <w:rFonts w:hint="default" w:ascii="Times New Roman" w:hAnsi="Times New Roman" w:eastAsia="宋体" w:cs="Times New Roman"/>
                <w:b w:val="0"/>
                <w:bCs/>
                <w:color w:val="auto"/>
                <w:sz w:val="24"/>
                <w:szCs w:val="24"/>
                <w:highlight w:val="none"/>
                <w:lang w:eastAsia="zh-CN"/>
              </w:rPr>
              <w:t>大气污染物无</w:t>
            </w:r>
            <w:r>
              <w:rPr>
                <w:rFonts w:hint="default" w:ascii="Times New Roman" w:hAnsi="Times New Roman" w:eastAsia="宋体" w:cs="Times New Roman"/>
                <w:b w:val="0"/>
                <w:bCs/>
                <w:color w:val="auto"/>
                <w:sz w:val="24"/>
                <w:szCs w:val="24"/>
                <w:highlight w:val="none"/>
              </w:rPr>
              <w:t>组织排放</w:t>
            </w:r>
            <w:r>
              <w:rPr>
                <w:rFonts w:hint="default" w:ascii="Times New Roman" w:hAnsi="Times New Roman" w:eastAsia="宋体" w:cs="Times New Roman"/>
                <w:b w:val="0"/>
                <w:bCs/>
                <w:color w:val="auto"/>
                <w:sz w:val="24"/>
                <w:szCs w:val="24"/>
                <w:highlight w:val="none"/>
                <w:lang w:eastAsia="zh-CN"/>
              </w:rPr>
              <w:t>量</w:t>
            </w:r>
            <w:r>
              <w:rPr>
                <w:rFonts w:hint="default" w:ascii="Times New Roman" w:hAnsi="Times New Roman" w:eastAsia="宋体" w:cs="Times New Roman"/>
                <w:b w:val="0"/>
                <w:bCs/>
                <w:color w:val="auto"/>
                <w:sz w:val="24"/>
                <w:szCs w:val="24"/>
                <w:highlight w:val="none"/>
              </w:rPr>
              <w:t>情况见下表</w:t>
            </w:r>
            <w:r>
              <w:rPr>
                <w:rFonts w:hint="default" w:ascii="Times New Roman" w:hAnsi="Times New Roman" w:eastAsia="宋体" w:cs="Times New Roman"/>
                <w:b w:val="0"/>
                <w:bCs/>
                <w:color w:val="auto"/>
                <w:sz w:val="24"/>
                <w:szCs w:val="24"/>
                <w:highlight w:val="none"/>
                <w:lang w:val="en-US" w:eastAsia="zh-CN"/>
              </w:rPr>
              <w:t>4-</w:t>
            </w:r>
            <w:r>
              <w:rPr>
                <w:rFonts w:hint="eastAsia" w:ascii="Times New Roman" w:hAnsi="Times New Roman" w:cs="Times New Roman"/>
                <w:b w:val="0"/>
                <w:bCs/>
                <w:color w:val="auto"/>
                <w:sz w:val="24"/>
                <w:szCs w:val="24"/>
                <w:highlight w:val="none"/>
                <w:lang w:val="en-US" w:eastAsia="zh-CN"/>
              </w:rPr>
              <w:t>25</w:t>
            </w:r>
            <w:r>
              <w:rPr>
                <w:rFonts w:hint="default" w:ascii="Times New Roman" w:hAnsi="Times New Roman" w:eastAsia="宋体" w:cs="Times New Roman"/>
                <w:b w:val="0"/>
                <w:bCs/>
                <w:color w:val="auto"/>
                <w:sz w:val="24"/>
                <w:szCs w:val="24"/>
                <w:highlight w:val="none"/>
                <w:lang w:eastAsia="zh-CN"/>
              </w:rPr>
              <w:t>。</w:t>
            </w:r>
          </w:p>
          <w:p w14:paraId="7D4B3CBD">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lang w:val="en-US"/>
              </w:rPr>
              <w:t xml:space="preserve">  </w:t>
            </w:r>
            <w:r>
              <w:rPr>
                <w:rFonts w:hint="eastAsia" w:ascii="Times New Roman" w:hAnsi="Times New Roman"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lang w:val="en-US"/>
              </w:rPr>
              <w:t>大气污染物无组织排放量核算表</w:t>
            </w:r>
          </w:p>
          <w:tbl>
            <w:tblPr>
              <w:tblStyle w:val="28"/>
              <w:tblW w:w="8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914"/>
              <w:gridCol w:w="3142"/>
              <w:gridCol w:w="1783"/>
              <w:gridCol w:w="1384"/>
            </w:tblGrid>
            <w:tr w14:paraId="3C27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39" w:type="dxa"/>
                  <w:vMerge w:val="restart"/>
                  <w:noWrap w:val="0"/>
                  <w:vAlign w:val="center"/>
                </w:tcPr>
                <w:p w14:paraId="761F42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914" w:type="dxa"/>
                  <w:vMerge w:val="restart"/>
                  <w:noWrap w:val="0"/>
                  <w:vAlign w:val="center"/>
                </w:tcPr>
                <w:p w14:paraId="53CB05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4925" w:type="dxa"/>
                  <w:gridSpan w:val="2"/>
                  <w:noWrap w:val="0"/>
                  <w:vAlign w:val="center"/>
                </w:tcPr>
                <w:p w14:paraId="06057C12">
                  <w:pPr>
                    <w:pStyle w:val="16"/>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国家或地方污染物排放标准</w:t>
                  </w:r>
                </w:p>
              </w:tc>
              <w:tc>
                <w:tcPr>
                  <w:tcW w:w="1384" w:type="dxa"/>
                  <w:vMerge w:val="restart"/>
                  <w:noWrap w:val="0"/>
                  <w:vAlign w:val="center"/>
                </w:tcPr>
                <w:p w14:paraId="4F9088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14:paraId="0130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39" w:type="dxa"/>
                  <w:vMerge w:val="continue"/>
                  <w:noWrap w:val="0"/>
                  <w:vAlign w:val="center"/>
                </w:tcPr>
                <w:p w14:paraId="0022DE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914" w:type="dxa"/>
                  <w:vMerge w:val="continue"/>
                  <w:noWrap w:val="0"/>
                  <w:vAlign w:val="center"/>
                </w:tcPr>
                <w:p w14:paraId="4873EC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3142" w:type="dxa"/>
                  <w:noWrap w:val="0"/>
                  <w:vAlign w:val="center"/>
                </w:tcPr>
                <w:p w14:paraId="1FC49937">
                  <w:pPr>
                    <w:pStyle w:val="16"/>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标准名称</w:t>
                  </w:r>
                </w:p>
              </w:tc>
              <w:tc>
                <w:tcPr>
                  <w:tcW w:w="1783" w:type="dxa"/>
                  <w:noWrap w:val="0"/>
                  <w:vAlign w:val="center"/>
                </w:tcPr>
                <w:p w14:paraId="7036E210">
                  <w:pPr>
                    <w:pStyle w:val="16"/>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浓度限值</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val="en-US" w:eastAsia="zh-CN"/>
                    </w:rPr>
                    <w:t>）</w:t>
                  </w:r>
                </w:p>
              </w:tc>
              <w:tc>
                <w:tcPr>
                  <w:tcW w:w="1384" w:type="dxa"/>
                  <w:vMerge w:val="continue"/>
                  <w:noWrap w:val="0"/>
                  <w:vAlign w:val="center"/>
                </w:tcPr>
                <w:p w14:paraId="338449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r>
            <w:tr w14:paraId="356A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9" w:type="dxa"/>
                  <w:noWrap w:val="0"/>
                  <w:vAlign w:val="center"/>
                </w:tcPr>
                <w:p w14:paraId="1B65684A">
                  <w:pPr>
                    <w:jc w:val="center"/>
                    <w:rPr>
                      <w:rFonts w:hint="default" w:ascii="Times New Roman" w:hAnsi="Times New Roman" w:eastAsia="宋体" w:cs="Times New Roman"/>
                      <w:color w:val="auto"/>
                      <w:sz w:val="21"/>
                      <w:szCs w:val="21"/>
                      <w:highlight w:val="none"/>
                      <w:lang w:val="en-US" w:eastAsia="zh-CN"/>
                    </w:rPr>
                  </w:pPr>
                  <w:r>
                    <w:rPr>
                      <w:rFonts w:hint="eastAsia" w:cs="Times New Roman"/>
                      <w:bCs/>
                      <w:snapToGrid w:val="0"/>
                      <w:color w:val="auto"/>
                      <w:kern w:val="0"/>
                      <w:szCs w:val="21"/>
                      <w:highlight w:val="none"/>
                      <w:lang w:val="en-US" w:eastAsia="zh-CN"/>
                    </w:rPr>
                    <w:t>卸料</w:t>
                  </w:r>
                  <w:r>
                    <w:rPr>
                      <w:rFonts w:hint="default" w:ascii="Times New Roman" w:hAnsi="Times New Roman" w:eastAsia="宋体" w:cs="Times New Roman"/>
                      <w:bCs/>
                      <w:snapToGrid w:val="0"/>
                      <w:color w:val="auto"/>
                      <w:kern w:val="0"/>
                      <w:szCs w:val="21"/>
                      <w:highlight w:val="none"/>
                      <w:lang w:val="en-US" w:eastAsia="zh-CN"/>
                    </w:rPr>
                    <w:t>、</w:t>
                  </w:r>
                  <w:r>
                    <w:rPr>
                      <w:rFonts w:hint="eastAsia" w:cs="Times New Roman"/>
                      <w:bCs/>
                      <w:snapToGrid w:val="0"/>
                      <w:color w:val="auto"/>
                      <w:kern w:val="0"/>
                      <w:szCs w:val="21"/>
                      <w:highlight w:val="none"/>
                      <w:lang w:val="en-US" w:eastAsia="zh-CN"/>
                    </w:rPr>
                    <w:t>堆场</w:t>
                  </w:r>
                  <w:r>
                    <w:rPr>
                      <w:rFonts w:hint="default" w:ascii="Times New Roman" w:hAnsi="Times New Roman" w:eastAsia="宋体" w:cs="Times New Roman"/>
                      <w:bCs/>
                      <w:snapToGrid w:val="0"/>
                      <w:color w:val="auto"/>
                      <w:kern w:val="0"/>
                      <w:szCs w:val="21"/>
                      <w:highlight w:val="none"/>
                      <w:lang w:val="en-US" w:eastAsia="zh-CN"/>
                    </w:rPr>
                    <w:t>、</w:t>
                  </w:r>
                  <w:r>
                    <w:rPr>
                      <w:rFonts w:hint="eastAsia" w:cs="Times New Roman"/>
                      <w:bCs/>
                      <w:snapToGrid w:val="0"/>
                      <w:color w:val="auto"/>
                      <w:kern w:val="0"/>
                      <w:szCs w:val="21"/>
                      <w:highlight w:val="none"/>
                      <w:lang w:val="en-US" w:eastAsia="zh-CN"/>
                    </w:rPr>
                    <w:t>转载点、破碎、喂煤仓、成品堆场、散装机</w:t>
                  </w:r>
                </w:p>
              </w:tc>
              <w:tc>
                <w:tcPr>
                  <w:tcW w:w="914" w:type="dxa"/>
                  <w:noWrap w:val="0"/>
                  <w:vAlign w:val="center"/>
                </w:tcPr>
                <w:p w14:paraId="3492E8D2">
                  <w:pPr>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color w:val="auto"/>
                      <w:sz w:val="21"/>
                      <w:szCs w:val="21"/>
                      <w:highlight w:val="none"/>
                      <w:lang w:eastAsia="zh-CN"/>
                    </w:rPr>
                    <w:t>颗粒物</w:t>
                  </w:r>
                </w:p>
              </w:tc>
              <w:tc>
                <w:tcPr>
                  <w:tcW w:w="3142" w:type="dxa"/>
                  <w:noWrap w:val="0"/>
                  <w:vAlign w:val="center"/>
                </w:tcPr>
                <w:p w14:paraId="7DD32B2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《煤炭工业污染物排放标准》（GB20426-2006）中表5标准限值</w:t>
                  </w:r>
                </w:p>
              </w:tc>
              <w:tc>
                <w:tcPr>
                  <w:tcW w:w="1783" w:type="dxa"/>
                  <w:noWrap w:val="0"/>
                  <w:vAlign w:val="center"/>
                </w:tcPr>
                <w:p w14:paraId="31CE7B8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384" w:type="dxa"/>
                  <w:noWrap w:val="0"/>
                  <w:vAlign w:val="center"/>
                </w:tcPr>
                <w:p w14:paraId="39571F8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4.3161</w:t>
                  </w:r>
                </w:p>
              </w:tc>
            </w:tr>
            <w:tr w14:paraId="5EB7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9" w:type="dxa"/>
                  <w:noWrap w:val="0"/>
                  <w:vAlign w:val="center"/>
                </w:tcPr>
                <w:p w14:paraId="38A5813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氨水罐</w:t>
                  </w:r>
                </w:p>
              </w:tc>
              <w:tc>
                <w:tcPr>
                  <w:tcW w:w="914" w:type="dxa"/>
                  <w:noWrap w:val="0"/>
                  <w:vAlign w:val="center"/>
                </w:tcPr>
                <w:p w14:paraId="0838732E">
                  <w:pPr>
                    <w:adjustRightInd w:val="0"/>
                    <w:snapToGrid w:val="0"/>
                    <w:jc w:val="center"/>
                    <w:textAlignment w:val="baseline"/>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olor w:val="auto"/>
                      <w:szCs w:val="21"/>
                    </w:rPr>
                    <w:t>N</w:t>
                  </w:r>
                  <w:r>
                    <w:rPr>
                      <w:color w:val="auto"/>
                      <w:szCs w:val="21"/>
                    </w:rPr>
                    <w:t>H</w:t>
                  </w:r>
                  <w:r>
                    <w:rPr>
                      <w:color w:val="auto"/>
                      <w:szCs w:val="21"/>
                      <w:vertAlign w:val="subscript"/>
                    </w:rPr>
                    <w:t>3</w:t>
                  </w:r>
                </w:p>
              </w:tc>
              <w:tc>
                <w:tcPr>
                  <w:tcW w:w="3142" w:type="dxa"/>
                  <w:noWrap w:val="0"/>
                  <w:vAlign w:val="center"/>
                </w:tcPr>
                <w:p w14:paraId="352EC1B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企业厂界排放标准要求</w:t>
                  </w:r>
                </w:p>
              </w:tc>
              <w:tc>
                <w:tcPr>
                  <w:tcW w:w="1783" w:type="dxa"/>
                  <w:noWrap w:val="0"/>
                  <w:vAlign w:val="center"/>
                </w:tcPr>
                <w:p w14:paraId="6A73573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384" w:type="dxa"/>
                  <w:noWrap w:val="0"/>
                  <w:vAlign w:val="center"/>
                </w:tcPr>
                <w:p w14:paraId="171B0A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0.000001234</w:t>
                  </w:r>
                </w:p>
              </w:tc>
            </w:tr>
          </w:tbl>
          <w:p w14:paraId="4EC05A08">
            <w:pPr>
              <w:pStyle w:val="91"/>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项目运营过程中大气污染物年排放量核算表详见表</w:t>
            </w:r>
            <w:r>
              <w:rPr>
                <w:rFonts w:hint="default" w:ascii="Times New Roman" w:hAnsi="Times New Roman" w:eastAsia="宋体" w:cs="Times New Roman"/>
                <w:b w:val="0"/>
                <w:bCs/>
                <w:color w:val="auto"/>
                <w:sz w:val="24"/>
                <w:szCs w:val="24"/>
                <w:highlight w:val="none"/>
                <w:lang w:val="en-US" w:eastAsia="zh-CN"/>
              </w:rPr>
              <w:t>4-</w:t>
            </w:r>
            <w:r>
              <w:rPr>
                <w:rFonts w:hint="eastAsia" w:ascii="Times New Roman" w:hAnsi="Times New Roman" w:cs="Times New Roman"/>
                <w:b w:val="0"/>
                <w:bCs/>
                <w:color w:val="auto"/>
                <w:sz w:val="24"/>
                <w:szCs w:val="24"/>
                <w:highlight w:val="none"/>
                <w:lang w:val="en-US" w:eastAsia="zh-CN"/>
              </w:rPr>
              <w:t>26</w:t>
            </w:r>
            <w:r>
              <w:rPr>
                <w:rFonts w:hint="default" w:ascii="Times New Roman" w:hAnsi="Times New Roman" w:eastAsia="宋体" w:cs="Times New Roman"/>
                <w:b w:val="0"/>
                <w:bCs/>
                <w:color w:val="auto"/>
                <w:sz w:val="24"/>
                <w:szCs w:val="24"/>
                <w:highlight w:val="none"/>
              </w:rPr>
              <w:t>。</w:t>
            </w:r>
          </w:p>
          <w:p w14:paraId="7862E10B">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rPr>
              <w:t xml:space="preserve"> 大气污染物年排放量核算表</w:t>
            </w:r>
          </w:p>
          <w:tbl>
            <w:tblPr>
              <w:tblStyle w:val="27"/>
              <w:tblW w:w="846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2"/>
              <w:gridCol w:w="2712"/>
              <w:gridCol w:w="3328"/>
            </w:tblGrid>
            <w:tr w14:paraId="5A4F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22" w:type="dxa"/>
                  <w:noWrap w:val="0"/>
                  <w:vAlign w:val="center"/>
                </w:tcPr>
                <w:p w14:paraId="0B22AA6B">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生产阶段</w:t>
                  </w:r>
                </w:p>
              </w:tc>
              <w:tc>
                <w:tcPr>
                  <w:tcW w:w="2712" w:type="dxa"/>
                  <w:noWrap w:val="0"/>
                  <w:vAlign w:val="center"/>
                </w:tcPr>
                <w:p w14:paraId="77FB25F2">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3328" w:type="dxa"/>
                  <w:noWrap w:val="0"/>
                  <w:vAlign w:val="center"/>
                </w:tcPr>
                <w:p w14:paraId="00CCE963">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年排放量（t/a）</w:t>
                  </w:r>
                </w:p>
              </w:tc>
            </w:tr>
            <w:tr w14:paraId="17DF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22" w:type="dxa"/>
                  <w:vMerge w:val="restart"/>
                  <w:noWrap w:val="0"/>
                  <w:vAlign w:val="center"/>
                </w:tcPr>
                <w:p w14:paraId="60E51988">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整个生产</w:t>
                  </w:r>
                  <w:r>
                    <w:rPr>
                      <w:rFonts w:hint="eastAsia" w:cs="Times New Roman"/>
                      <w:color w:val="auto"/>
                      <w:sz w:val="21"/>
                      <w:szCs w:val="21"/>
                      <w:highlight w:val="none"/>
                      <w:lang w:val="en-US" w:eastAsia="zh-CN"/>
                    </w:rPr>
                    <w:t>区</w:t>
                  </w:r>
                </w:p>
              </w:tc>
              <w:tc>
                <w:tcPr>
                  <w:tcW w:w="2712" w:type="dxa"/>
                  <w:noWrap w:val="0"/>
                  <w:vAlign w:val="center"/>
                </w:tcPr>
                <w:p w14:paraId="3B021079">
                  <w:pPr>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color w:val="auto"/>
                      <w:sz w:val="21"/>
                      <w:szCs w:val="21"/>
                      <w:highlight w:val="none"/>
                      <w:lang w:eastAsia="zh-CN"/>
                    </w:rPr>
                    <w:t>颗粒物</w:t>
                  </w:r>
                </w:p>
              </w:tc>
              <w:tc>
                <w:tcPr>
                  <w:tcW w:w="3328" w:type="dxa"/>
                  <w:noWrap w:val="0"/>
                  <w:vAlign w:val="center"/>
                </w:tcPr>
                <w:p w14:paraId="695BC14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5.2895</w:t>
                  </w:r>
                </w:p>
              </w:tc>
            </w:tr>
            <w:tr w14:paraId="54B4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2422" w:type="dxa"/>
                  <w:vMerge w:val="continue"/>
                  <w:noWrap w:val="0"/>
                  <w:vAlign w:val="center"/>
                </w:tcPr>
                <w:p w14:paraId="3AD14143">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12" w:type="dxa"/>
                  <w:noWrap w:val="0"/>
                  <w:vAlign w:val="center"/>
                </w:tcPr>
                <w:p w14:paraId="2E83F71C">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二氧化硫</w:t>
                  </w:r>
                </w:p>
              </w:tc>
              <w:tc>
                <w:tcPr>
                  <w:tcW w:w="3328" w:type="dxa"/>
                  <w:noWrap w:val="0"/>
                  <w:vAlign w:val="center"/>
                </w:tcPr>
                <w:p w14:paraId="60FA3C9D">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8.3679</w:t>
                  </w:r>
                </w:p>
              </w:tc>
            </w:tr>
            <w:tr w14:paraId="0838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2422" w:type="dxa"/>
                  <w:vMerge w:val="continue"/>
                  <w:noWrap w:val="0"/>
                  <w:vAlign w:val="center"/>
                </w:tcPr>
                <w:p w14:paraId="7C507E9F">
                  <w:pPr>
                    <w:keepNext w:val="0"/>
                    <w:keepLines w:val="0"/>
                    <w:widowControl/>
                    <w:suppressLineNumbers w:val="0"/>
                    <w:jc w:val="center"/>
                    <w:textAlignment w:val="center"/>
                    <w:rPr>
                      <w:color w:val="auto"/>
                    </w:rPr>
                  </w:pPr>
                </w:p>
              </w:tc>
              <w:tc>
                <w:tcPr>
                  <w:tcW w:w="2712" w:type="dxa"/>
                  <w:noWrap w:val="0"/>
                  <w:vAlign w:val="center"/>
                </w:tcPr>
                <w:p w14:paraId="156F9733">
                  <w:pPr>
                    <w:adjustRightInd w:val="0"/>
                    <w:snapToGrid w:val="0"/>
                    <w:jc w:val="center"/>
                    <w:textAlignment w:val="baseline"/>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color w:val="auto"/>
                      <w:sz w:val="21"/>
                      <w:szCs w:val="21"/>
                      <w:highlight w:val="none"/>
                      <w:lang w:eastAsia="zh-CN"/>
                    </w:rPr>
                    <w:t>氮氧化物</w:t>
                  </w:r>
                </w:p>
              </w:tc>
              <w:tc>
                <w:tcPr>
                  <w:tcW w:w="3328" w:type="dxa"/>
                  <w:noWrap w:val="0"/>
                  <w:vAlign w:val="center"/>
                </w:tcPr>
                <w:p w14:paraId="18BB1C88">
                  <w:pPr>
                    <w:adjustRightInd w:val="0"/>
                    <w:snapToGrid w:val="0"/>
                    <w:jc w:val="center"/>
                    <w:textAlignment w:val="baseline"/>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color w:val="auto"/>
                      <w:sz w:val="21"/>
                      <w:szCs w:val="21"/>
                      <w:highlight w:val="none"/>
                      <w:lang w:val="en-US" w:eastAsia="zh-CN"/>
                    </w:rPr>
                    <w:t>9.2977</w:t>
                  </w:r>
                </w:p>
              </w:tc>
            </w:tr>
            <w:tr w14:paraId="23AA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2422" w:type="dxa"/>
                  <w:vMerge w:val="continue"/>
                  <w:noWrap w:val="0"/>
                  <w:vAlign w:val="center"/>
                </w:tcPr>
                <w:p w14:paraId="437ABFA7">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p>
              </w:tc>
              <w:tc>
                <w:tcPr>
                  <w:tcW w:w="2712" w:type="dxa"/>
                  <w:noWrap w:val="0"/>
                  <w:vAlign w:val="center"/>
                </w:tcPr>
                <w:p w14:paraId="79E38238">
                  <w:pPr>
                    <w:adjustRightInd w:val="0"/>
                    <w:snapToGrid w:val="0"/>
                    <w:jc w:val="center"/>
                    <w:textAlignment w:val="baseline"/>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olor w:val="auto"/>
                      <w:szCs w:val="21"/>
                    </w:rPr>
                    <w:t>N</w:t>
                  </w:r>
                  <w:r>
                    <w:rPr>
                      <w:color w:val="auto"/>
                      <w:szCs w:val="21"/>
                    </w:rPr>
                    <w:t>H</w:t>
                  </w:r>
                  <w:r>
                    <w:rPr>
                      <w:color w:val="auto"/>
                      <w:szCs w:val="21"/>
                      <w:vertAlign w:val="subscript"/>
                    </w:rPr>
                    <w:t>3</w:t>
                  </w:r>
                </w:p>
              </w:tc>
              <w:tc>
                <w:tcPr>
                  <w:tcW w:w="3328" w:type="dxa"/>
                  <w:noWrap w:val="0"/>
                  <w:vAlign w:val="center"/>
                </w:tcPr>
                <w:p w14:paraId="07EF0F65">
                  <w:pPr>
                    <w:adjustRightInd w:val="0"/>
                    <w:snapToGrid w:val="0"/>
                    <w:jc w:val="center"/>
                    <w:textAlignment w:val="baseline"/>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color w:val="auto"/>
                      <w:sz w:val="21"/>
                      <w:szCs w:val="21"/>
                      <w:highlight w:val="none"/>
                      <w:lang w:val="en-US" w:eastAsia="zh-CN"/>
                    </w:rPr>
                    <w:t>0.289501234</w:t>
                  </w:r>
                </w:p>
              </w:tc>
            </w:tr>
          </w:tbl>
          <w:p w14:paraId="465DF7AA">
            <w:pPr>
              <w:keepNext w:val="0"/>
              <w:keepLines w:val="0"/>
              <w:pageBreakBefore w:val="0"/>
              <w:widowControl w:val="0"/>
              <w:kinsoku/>
              <w:wordWrap/>
              <w:overflowPunct/>
              <w:topLinePunct w:val="0"/>
              <w:autoSpaceDE/>
              <w:autoSpaceDN/>
              <w:bidi w:val="0"/>
              <w:adjustRightInd/>
              <w:snapToGrid/>
              <w:spacing w:line="348" w:lineRule="auto"/>
              <w:ind w:left="0" w:lef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rPr>
              <w:t>）</w:t>
            </w:r>
            <w:r>
              <w:rPr>
                <w:rFonts w:hint="eastAsia" w:ascii="Times New Roman" w:hAnsi="Times New Roman" w:eastAsia="宋体" w:cs="Times New Roman"/>
                <w:b/>
                <w:bCs/>
                <w:color w:val="auto"/>
                <w:sz w:val="24"/>
                <w:szCs w:val="24"/>
                <w:highlight w:val="none"/>
                <w:lang w:val="en-US" w:eastAsia="zh-CN"/>
              </w:rPr>
              <w:t>氨水储罐呼吸废气</w:t>
            </w:r>
            <w:r>
              <w:rPr>
                <w:rFonts w:hint="eastAsia" w:cs="Times New Roman"/>
                <w:b/>
                <w:bCs/>
                <w:color w:val="auto"/>
                <w:sz w:val="24"/>
                <w:szCs w:val="24"/>
                <w:highlight w:val="none"/>
                <w:lang w:val="en-US" w:eastAsia="zh-CN"/>
              </w:rPr>
              <w:t>环境影响分析</w:t>
            </w:r>
          </w:p>
          <w:p w14:paraId="3FA37546">
            <w:pPr>
              <w:keepNext w:val="0"/>
              <w:keepLines w:val="0"/>
              <w:pageBreakBefore w:val="0"/>
              <w:widowControl w:val="0"/>
              <w:kinsoku/>
              <w:wordWrap/>
              <w:overflowPunct/>
              <w:topLinePunct w:val="0"/>
              <w:autoSpaceDE/>
              <w:autoSpaceDN/>
              <w:bidi w:val="0"/>
              <w:adjustRightInd w:val="0"/>
              <w:snapToGrid w:val="0"/>
              <w:spacing w:line="360" w:lineRule="auto"/>
              <w:ind w:left="0" w:right="0" w:firstLine="420"/>
              <w:textAlignment w:val="auto"/>
              <w:rPr>
                <w:rFonts w:hint="eastAsia" w:ascii="Times New Roman" w:hAnsi="Times New Roman" w:eastAsia="宋体" w:cs="Times New Roman"/>
                <w:color w:val="auto"/>
                <w:sz w:val="24"/>
                <w:szCs w:val="24"/>
                <w:highlight w:val="none"/>
                <w:lang w:val="en-US" w:eastAsia="zh-CN"/>
              </w:rPr>
            </w:pPr>
            <w:r>
              <w:rPr>
                <w:rFonts w:hint="eastAsia"/>
                <w:color w:val="auto"/>
                <w:sz w:val="24"/>
              </w:rPr>
              <w:t>本项目</w:t>
            </w:r>
            <w:r>
              <w:rPr>
                <w:rFonts w:hint="eastAsia"/>
                <w:color w:val="auto"/>
                <w:sz w:val="24"/>
                <w:lang w:eastAsia="zh-CN"/>
              </w:rPr>
              <w:t>使用氨水对烘干废气进行脱硝处理，因此</w:t>
            </w:r>
            <w:r>
              <w:rPr>
                <w:rFonts w:hint="eastAsia"/>
                <w:color w:val="auto"/>
                <w:sz w:val="24"/>
              </w:rPr>
              <w:t>设有</w:t>
            </w:r>
            <w:r>
              <w:rPr>
                <w:rFonts w:hint="eastAsia"/>
                <w:color w:val="auto"/>
                <w:sz w:val="24"/>
                <w:lang w:val="en-US" w:eastAsia="zh-CN"/>
              </w:rPr>
              <w:t>1</w:t>
            </w:r>
            <w:r>
              <w:rPr>
                <w:rFonts w:hint="eastAsia"/>
                <w:color w:val="auto"/>
                <w:sz w:val="24"/>
              </w:rPr>
              <w:t>个</w:t>
            </w:r>
            <w:r>
              <w:rPr>
                <w:rFonts w:hint="eastAsia"/>
                <w:color w:val="auto"/>
                <w:sz w:val="24"/>
                <w:lang w:val="en-US" w:eastAsia="zh-CN"/>
              </w:rPr>
              <w:t>30</w:t>
            </w:r>
            <w:r>
              <w:rPr>
                <w:rFonts w:hint="eastAsia"/>
                <w:color w:val="auto"/>
                <w:sz w:val="24"/>
              </w:rPr>
              <w:t>m</w:t>
            </w:r>
            <w:r>
              <w:rPr>
                <w:rFonts w:hint="eastAsia"/>
                <w:color w:val="auto"/>
                <w:sz w:val="24"/>
                <w:vertAlign w:val="superscript"/>
              </w:rPr>
              <w:t>3</w:t>
            </w:r>
            <w:r>
              <w:rPr>
                <w:rFonts w:hint="eastAsia"/>
                <w:color w:val="auto"/>
                <w:sz w:val="24"/>
              </w:rPr>
              <w:t>的氨水储罐</w:t>
            </w:r>
            <w:r>
              <w:rPr>
                <w:rFonts w:hint="eastAsia"/>
                <w:color w:val="auto"/>
                <w:sz w:val="24"/>
                <w:lang w:eastAsia="zh-CN"/>
              </w:rPr>
              <w:t>（</w:t>
            </w:r>
            <w:r>
              <w:rPr>
                <w:rFonts w:hint="eastAsia"/>
                <w:color w:val="auto"/>
                <w:sz w:val="24"/>
              </w:rPr>
              <w:t>＞</w:t>
            </w:r>
            <w:r>
              <w:rPr>
                <w:rFonts w:hint="eastAsia"/>
                <w:color w:val="auto"/>
                <w:sz w:val="24"/>
                <w:lang w:val="en-US" w:eastAsia="zh-CN"/>
              </w:rPr>
              <w:t>2</w:t>
            </w:r>
            <w:r>
              <w:rPr>
                <w:rFonts w:hint="eastAsia"/>
                <w:color w:val="auto"/>
                <w:sz w:val="24"/>
              </w:rPr>
              <w:t>0%</w:t>
            </w:r>
            <w:r>
              <w:rPr>
                <w:rFonts w:hint="eastAsia"/>
                <w:color w:val="auto"/>
                <w:sz w:val="24"/>
                <w:lang w:eastAsia="zh-CN"/>
              </w:rPr>
              <w:t>）。</w:t>
            </w:r>
            <w:r>
              <w:rPr>
                <w:rFonts w:hint="eastAsia"/>
                <w:color w:val="auto"/>
                <w:sz w:val="24"/>
              </w:rPr>
              <w:t>其大小呼吸产生的氨气</w:t>
            </w:r>
            <w:r>
              <w:rPr>
                <w:rFonts w:hint="eastAsia"/>
                <w:color w:val="auto"/>
                <w:sz w:val="24"/>
                <w:lang w:val="en-US" w:eastAsia="zh-CN"/>
              </w:rPr>
              <w:t>一定的氨气，</w:t>
            </w:r>
            <w:r>
              <w:rPr>
                <w:rFonts w:ascii="宋体" w:hAnsi="宋体" w:eastAsia="宋体" w:cs="宋体"/>
                <w:color w:val="auto"/>
                <w:spacing w:val="10"/>
                <w:sz w:val="24"/>
                <w:szCs w:val="24"/>
              </w:rPr>
              <w:t>氨</w:t>
            </w:r>
            <w:r>
              <w:rPr>
                <w:rFonts w:ascii="宋体" w:hAnsi="宋体" w:eastAsia="宋体" w:cs="宋体"/>
                <w:color w:val="auto"/>
                <w:spacing w:val="7"/>
                <w:sz w:val="24"/>
                <w:szCs w:val="24"/>
              </w:rPr>
              <w:t>水储罐的呼吸口接管与</w:t>
            </w:r>
            <w:r>
              <w:rPr>
                <w:rFonts w:hint="eastAsia" w:ascii="宋体" w:hAnsi="宋体" w:eastAsia="宋体" w:cs="宋体"/>
                <w:color w:val="auto"/>
                <w:spacing w:val="7"/>
                <w:sz w:val="24"/>
                <w:szCs w:val="24"/>
                <w:lang w:eastAsia="zh-CN"/>
              </w:rPr>
              <w:t>清水储罐</w:t>
            </w:r>
            <w:r>
              <w:rPr>
                <w:rFonts w:ascii="宋体" w:hAnsi="宋体" w:eastAsia="宋体" w:cs="宋体"/>
                <w:color w:val="auto"/>
                <w:spacing w:val="7"/>
                <w:sz w:val="24"/>
                <w:szCs w:val="24"/>
              </w:rPr>
              <w:t>连接，经处理后</w:t>
            </w:r>
            <w:r>
              <w:rPr>
                <w:rFonts w:ascii="宋体" w:hAnsi="宋体" w:eastAsia="宋体" w:cs="宋体"/>
                <w:color w:val="auto"/>
                <w:spacing w:val="14"/>
                <w:sz w:val="24"/>
                <w:szCs w:val="24"/>
              </w:rPr>
              <w:t>无</w:t>
            </w:r>
            <w:r>
              <w:rPr>
                <w:rFonts w:ascii="宋体" w:hAnsi="宋体" w:eastAsia="宋体" w:cs="宋体"/>
                <w:color w:val="auto"/>
                <w:spacing w:val="8"/>
                <w:sz w:val="24"/>
                <w:szCs w:val="24"/>
              </w:rPr>
              <w:t>组</w:t>
            </w:r>
            <w:r>
              <w:rPr>
                <w:rFonts w:ascii="宋体" w:hAnsi="宋体" w:eastAsia="宋体" w:cs="宋体"/>
                <w:color w:val="auto"/>
                <w:spacing w:val="7"/>
                <w:sz w:val="24"/>
                <w:szCs w:val="24"/>
              </w:rPr>
              <w:t>织排放，其主要原理为利用氨气溶水性强的特点，利用循环水吸收装置，达到</w:t>
            </w:r>
            <w:r>
              <w:rPr>
                <w:rFonts w:ascii="宋体" w:hAnsi="宋体" w:eastAsia="宋体" w:cs="宋体"/>
                <w:color w:val="auto"/>
                <w:spacing w:val="5"/>
                <w:sz w:val="24"/>
                <w:szCs w:val="24"/>
              </w:rPr>
              <w:t>回收效果。氨水储罐大小</w:t>
            </w:r>
            <w:r>
              <w:rPr>
                <w:rFonts w:ascii="宋体" w:hAnsi="宋体" w:eastAsia="宋体" w:cs="宋体"/>
                <w:color w:val="auto"/>
                <w:spacing w:val="4"/>
                <w:sz w:val="24"/>
                <w:szCs w:val="24"/>
              </w:rPr>
              <w:t>呼</w:t>
            </w:r>
            <w:r>
              <w:rPr>
                <w:rFonts w:ascii="宋体" w:hAnsi="宋体" w:eastAsia="宋体" w:cs="宋体"/>
                <w:color w:val="auto"/>
                <w:sz w:val="24"/>
                <w:szCs w:val="24"/>
              </w:rPr>
              <w:t>吸</w:t>
            </w:r>
            <w:r>
              <w:rPr>
                <w:rFonts w:ascii="宋体" w:hAnsi="宋体" w:eastAsia="宋体" w:cs="宋体"/>
                <w:color w:val="auto"/>
                <w:spacing w:val="1"/>
                <w:sz w:val="24"/>
                <w:szCs w:val="24"/>
              </w:rPr>
              <w:t>整体回收效率约</w:t>
            </w:r>
            <w:r>
              <w:rPr>
                <w:rFonts w:ascii="Times New Roman" w:hAnsi="Times New Roman" w:eastAsia="Times New Roman" w:cs="Times New Roman"/>
                <w:color w:val="auto"/>
                <w:sz w:val="24"/>
                <w:szCs w:val="24"/>
              </w:rPr>
              <w:t>95%</w:t>
            </w:r>
            <w:r>
              <w:rPr>
                <w:rFonts w:ascii="宋体" w:hAnsi="宋体" w:eastAsia="宋体" w:cs="宋体"/>
                <w:color w:val="auto"/>
                <w:sz w:val="24"/>
                <w:szCs w:val="24"/>
              </w:rPr>
              <w:t>，</w:t>
            </w:r>
            <w:r>
              <w:rPr>
                <w:rFonts w:hint="eastAsia" w:ascii="宋体" w:hAnsi="宋体" w:eastAsia="宋体" w:cs="宋体"/>
                <w:color w:val="auto"/>
                <w:sz w:val="24"/>
                <w:szCs w:val="24"/>
                <w:lang w:eastAsia="zh-CN"/>
              </w:rPr>
              <w:t>故项目</w:t>
            </w:r>
            <w:r>
              <w:rPr>
                <w:rFonts w:hint="eastAsia" w:ascii="宋体" w:hAnsi="宋体" w:eastAsia="宋体" w:cs="宋体"/>
                <w:color w:val="auto"/>
                <w:sz w:val="24"/>
                <w:szCs w:val="24"/>
                <w:lang w:val="en-US" w:eastAsia="zh-CN"/>
              </w:rPr>
              <w:t>氨水储罐呼吸废气</w:t>
            </w:r>
            <w:r>
              <w:rPr>
                <w:rFonts w:ascii="宋体" w:hAnsi="宋体" w:eastAsia="宋体" w:cs="宋体"/>
                <w:color w:val="auto"/>
                <w:sz w:val="24"/>
                <w:szCs w:val="24"/>
              </w:rPr>
              <w:t>年排放量为</w:t>
            </w:r>
            <w:r>
              <w:rPr>
                <w:rFonts w:ascii="Times New Roman" w:hAnsi="Times New Roman" w:eastAsia="Times New Roman" w:cs="Times New Roman"/>
                <w:color w:val="auto"/>
                <w:sz w:val="24"/>
                <w:szCs w:val="24"/>
              </w:rPr>
              <w:t>0.0</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1234</w:t>
            </w:r>
            <w:r>
              <w:rPr>
                <w:rFonts w:hint="eastAsia" w:ascii="Times New Roman" w:hAnsi="Times New Roman" w:eastAsia="宋体" w:cs="Times New Roman"/>
                <w:color w:val="auto"/>
                <w:sz w:val="24"/>
                <w:szCs w:val="24"/>
                <w:lang w:val="en-US" w:eastAsia="zh-CN"/>
              </w:rPr>
              <w:t>kg</w:t>
            </w:r>
            <w:r>
              <w:rPr>
                <w:rFonts w:ascii="Times New Roman" w:hAnsi="Times New Roman" w:eastAsia="Times New Roman" w:cs="Times New Roman"/>
                <w:color w:val="auto"/>
                <w:sz w:val="24"/>
                <w:szCs w:val="24"/>
              </w:rPr>
              <w:t>/a</w:t>
            </w:r>
            <w:r>
              <w:rPr>
                <w:rFonts w:hint="eastAsia" w:eastAsia="宋体" w:cs="Times New Roman"/>
                <w:color w:val="auto"/>
                <w:sz w:val="24"/>
                <w:szCs w:val="24"/>
                <w:lang w:eastAsia="zh-CN"/>
              </w:rPr>
              <w:t>。</w:t>
            </w:r>
          </w:p>
          <w:p w14:paraId="5C41FB80">
            <w:pPr>
              <w:keepNext w:val="0"/>
              <w:keepLines w:val="0"/>
              <w:pageBreakBefore w:val="0"/>
              <w:widowControl w:val="0"/>
              <w:kinsoku/>
              <w:wordWrap/>
              <w:overflowPunct/>
              <w:topLinePunct w:val="0"/>
              <w:autoSpaceDE/>
              <w:autoSpaceDN/>
              <w:bidi w:val="0"/>
              <w:spacing w:line="360" w:lineRule="auto"/>
              <w:ind w:left="0" w:right="0" w:firstLine="482" w:firstLineChars="200"/>
              <w:outlineLvl w:val="9"/>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异味环境影响分析</w:t>
            </w:r>
          </w:p>
          <w:p w14:paraId="6A6152D6">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eastAsia="zh-CN"/>
              </w:rPr>
              <w:t>运营期异味主要来源于</w:t>
            </w:r>
            <w:r>
              <w:rPr>
                <w:rFonts w:hint="default" w:ascii="Times New Roman" w:hAnsi="Times New Roman" w:eastAsia="宋体" w:cs="Times New Roman"/>
                <w:bCs/>
                <w:color w:val="auto"/>
                <w:sz w:val="24"/>
                <w:highlight w:val="none"/>
                <w:lang w:val="en-US" w:eastAsia="zh-CN"/>
              </w:rPr>
              <w:t>生产车间、</w:t>
            </w:r>
            <w:r>
              <w:rPr>
                <w:rFonts w:hint="default" w:ascii="Times New Roman" w:hAnsi="Times New Roman" w:eastAsia="宋体" w:cs="Times New Roman"/>
                <w:color w:val="auto"/>
                <w:sz w:val="24"/>
                <w:highlight w:val="none"/>
                <w:lang w:eastAsia="zh-CN"/>
              </w:rPr>
              <w:t>卫生间、化粪池、</w:t>
            </w:r>
            <w:r>
              <w:rPr>
                <w:rFonts w:hint="default" w:ascii="Times New Roman" w:hAnsi="Times New Roman" w:eastAsia="宋体" w:cs="Times New Roman"/>
                <w:color w:val="auto"/>
                <w:sz w:val="24"/>
                <w:highlight w:val="none"/>
                <w:lang w:val="en-US" w:eastAsia="zh-CN"/>
              </w:rPr>
              <w:t>一体化污水处理站</w:t>
            </w:r>
            <w:r>
              <w:rPr>
                <w:rFonts w:hint="default" w:ascii="Times New Roman" w:hAnsi="Times New Roman" w:eastAsia="宋体" w:cs="Times New Roman"/>
                <w:color w:val="auto"/>
                <w:sz w:val="24"/>
                <w:highlight w:val="none"/>
                <w:lang w:eastAsia="zh-CN"/>
              </w:rPr>
              <w:t>。</w:t>
            </w:r>
          </w:p>
          <w:p w14:paraId="51003CB0">
            <w:pPr>
              <w:keepNext w:val="0"/>
              <w:keepLines w:val="0"/>
              <w:pageBreakBefore w:val="0"/>
              <w:kinsoku/>
              <w:wordWrap/>
              <w:overflowPunct/>
              <w:topLinePunct w:val="0"/>
              <w:autoSpaceDE/>
              <w:autoSpaceDN/>
              <w:bidi w:val="0"/>
              <w:adjustRightInd/>
              <w:spacing w:line="360" w:lineRule="auto"/>
              <w:ind w:right="0" w:firstLine="488"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项目</w:t>
            </w:r>
            <w:r>
              <w:rPr>
                <w:rFonts w:hint="default" w:ascii="Times New Roman" w:hAnsi="Times New Roman" w:eastAsia="宋体" w:cs="Times New Roman"/>
                <w:color w:val="auto"/>
                <w:spacing w:val="2"/>
                <w:sz w:val="24"/>
                <w:szCs w:val="24"/>
                <w:highlight w:val="none"/>
              </w:rPr>
              <w:t>化粪池</w:t>
            </w:r>
            <w:r>
              <w:rPr>
                <w:rFonts w:hint="default" w:ascii="Times New Roman" w:hAnsi="Times New Roman" w:eastAsia="宋体" w:cs="Times New Roman"/>
                <w:color w:val="auto"/>
                <w:spacing w:val="2"/>
                <w:sz w:val="24"/>
                <w:szCs w:val="24"/>
                <w:highlight w:val="none"/>
                <w:lang w:val="en-US" w:eastAsia="zh-CN"/>
              </w:rPr>
              <w:t>及</w:t>
            </w:r>
            <w:r>
              <w:rPr>
                <w:rFonts w:hint="default" w:ascii="Times New Roman" w:hAnsi="Times New Roman" w:eastAsia="宋体" w:cs="Times New Roman"/>
                <w:color w:val="auto"/>
                <w:sz w:val="24"/>
                <w:highlight w:val="none"/>
                <w:lang w:val="en-US" w:eastAsia="zh-CN"/>
              </w:rPr>
              <w:t>一体化污水处理站</w:t>
            </w:r>
            <w:r>
              <w:rPr>
                <w:rFonts w:hint="default" w:ascii="Times New Roman" w:hAnsi="Times New Roman" w:eastAsia="宋体" w:cs="Times New Roman"/>
                <w:color w:val="auto"/>
                <w:spacing w:val="2"/>
                <w:sz w:val="24"/>
                <w:szCs w:val="24"/>
                <w:highlight w:val="none"/>
                <w:lang w:eastAsia="zh-CN"/>
              </w:rPr>
              <w:t>为</w:t>
            </w:r>
            <w:r>
              <w:rPr>
                <w:rFonts w:hint="default" w:ascii="Times New Roman" w:hAnsi="Times New Roman" w:eastAsia="宋体" w:cs="Times New Roman"/>
                <w:color w:val="auto"/>
                <w:spacing w:val="2"/>
                <w:sz w:val="24"/>
                <w:szCs w:val="24"/>
                <w:highlight w:val="none"/>
              </w:rPr>
              <w:t>全封闭</w:t>
            </w:r>
            <w:r>
              <w:rPr>
                <w:rFonts w:hint="default" w:ascii="Times New Roman" w:hAnsi="Times New Roman" w:eastAsia="宋体" w:cs="Times New Roman"/>
                <w:color w:val="auto"/>
                <w:spacing w:val="2"/>
                <w:sz w:val="24"/>
                <w:szCs w:val="24"/>
                <w:highlight w:val="none"/>
                <w:lang w:eastAsia="zh-CN"/>
              </w:rPr>
              <w:t>式</w:t>
            </w:r>
            <w:r>
              <w:rPr>
                <w:rFonts w:hint="default" w:ascii="Times New Roman" w:hAnsi="Times New Roman" w:eastAsia="宋体" w:cs="Times New Roman"/>
                <w:color w:val="auto"/>
                <w:spacing w:val="2"/>
                <w:sz w:val="24"/>
                <w:szCs w:val="24"/>
                <w:highlight w:val="none"/>
              </w:rPr>
              <w:t>加盖设计</w:t>
            </w:r>
            <w:r>
              <w:rPr>
                <w:rFonts w:hint="default" w:ascii="Times New Roman" w:hAnsi="Times New Roman" w:eastAsia="宋体" w:cs="Times New Roman"/>
                <w:color w:val="auto"/>
                <w:spacing w:val="2"/>
                <w:sz w:val="24"/>
                <w:szCs w:val="24"/>
                <w:highlight w:val="none"/>
                <w:lang w:eastAsia="zh-CN"/>
              </w:rPr>
              <w:t>，异味产生量较少，呈无组织排放。</w:t>
            </w:r>
            <w:r>
              <w:rPr>
                <w:rFonts w:hint="default" w:ascii="Times New Roman" w:hAnsi="Times New Roman" w:eastAsia="宋体" w:cs="Times New Roman"/>
                <w:color w:val="auto"/>
                <w:sz w:val="24"/>
                <w:szCs w:val="24"/>
                <w:highlight w:val="none"/>
                <w:lang w:eastAsia="zh-CN"/>
              </w:rPr>
              <w:t>同时在周边设置绿化带及墙体进行阻隔，</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eastAsia="zh-CN"/>
              </w:rPr>
              <w:t>卫生间加强管理，做到日产日清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生产过程生产车间加强通风，</w:t>
            </w:r>
            <w:r>
              <w:rPr>
                <w:rFonts w:hint="default" w:ascii="Times New Roman" w:hAnsi="Times New Roman" w:eastAsia="宋体" w:cs="Times New Roman"/>
                <w:color w:val="auto"/>
                <w:sz w:val="24"/>
                <w:szCs w:val="24"/>
                <w:highlight w:val="none"/>
                <w:lang w:eastAsia="zh-CN"/>
              </w:rPr>
              <w:t>确保</w:t>
            </w:r>
            <w:r>
              <w:rPr>
                <w:rFonts w:hint="default" w:ascii="Times New Roman" w:hAnsi="Times New Roman" w:eastAsia="宋体" w:cs="Times New Roman"/>
                <w:color w:val="auto"/>
                <w:sz w:val="24"/>
                <w:szCs w:val="24"/>
                <w:highlight w:val="none"/>
                <w:lang w:val="en-US" w:eastAsia="zh-CN"/>
              </w:rPr>
              <w:t>厂界臭气</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w:t>
            </w:r>
            <w:r>
              <w:rPr>
                <w:rFonts w:hint="default" w:ascii="Times New Roman" w:hAnsi="Times New Roman" w:eastAsia="宋体" w:cs="Times New Roman"/>
                <w:color w:val="auto"/>
                <w:sz w:val="24"/>
                <w:highlight w:val="none"/>
              </w:rPr>
              <w:t>达到《恶臭污染物排放标准》（GB14554-93）</w:t>
            </w:r>
            <w:r>
              <w:rPr>
                <w:rFonts w:hint="default" w:ascii="Times New Roman" w:hAnsi="Times New Roman" w:eastAsia="宋体" w:cs="Times New Roman"/>
                <w:color w:val="auto"/>
                <w:sz w:val="24"/>
                <w:highlight w:val="none"/>
                <w:lang w:eastAsia="zh-CN"/>
              </w:rPr>
              <w:t>中相关标准</w:t>
            </w:r>
            <w:r>
              <w:rPr>
                <w:rFonts w:hint="default" w:ascii="Times New Roman" w:hAnsi="Times New Roman" w:eastAsia="宋体" w:cs="Times New Roman"/>
                <w:color w:val="auto"/>
                <w:sz w:val="24"/>
                <w:highlight w:val="none"/>
              </w:rPr>
              <w:t>。</w:t>
            </w:r>
          </w:p>
          <w:p w14:paraId="2A026E8D">
            <w:pPr>
              <w:pStyle w:val="11"/>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highlight w:val="none"/>
              </w:rPr>
              <w:t>异味产生量很小，对环境的影响较小</w:t>
            </w:r>
            <w:r>
              <w:rPr>
                <w:rFonts w:hint="default" w:ascii="Times New Roman" w:hAnsi="Times New Roman" w:eastAsia="宋体" w:cs="Times New Roman"/>
                <w:color w:val="auto"/>
                <w:sz w:val="24"/>
                <w:szCs w:val="24"/>
                <w:highlight w:val="none"/>
                <w:lang w:eastAsia="zh-CN"/>
              </w:rPr>
              <w:t>。</w:t>
            </w:r>
          </w:p>
          <w:p w14:paraId="08E25F94">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3、废气处理措施可行性分析</w:t>
            </w:r>
          </w:p>
          <w:p w14:paraId="2D3FF25B">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（1）可行技术分析</w:t>
            </w:r>
          </w:p>
          <w:p w14:paraId="14FF577E">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ascii="Times New Roman" w:hAnsi="Times New Roman" w:eastAsia="宋体" w:cs="Times New Roman"/>
                <w:color w:val="auto"/>
                <w:sz w:val="24"/>
                <w:szCs w:val="24"/>
                <w:highlight w:val="none"/>
                <w:lang w:eastAsia="zh-CN"/>
              </w:rPr>
            </w:pPr>
            <w:r>
              <w:rPr>
                <w:color w:val="auto"/>
                <w:sz w:val="24"/>
              </w:rPr>
              <w:t>经查阅资料，</w:t>
            </w:r>
            <w:r>
              <w:rPr>
                <w:rFonts w:hint="eastAsia" w:cs="Times New Roman"/>
                <w:color w:val="auto"/>
                <w:sz w:val="24"/>
                <w:highlight w:val="none"/>
                <w:lang w:eastAsia="zh-CN"/>
              </w:rPr>
              <w:t>本项目使用的</w:t>
            </w:r>
            <w:r>
              <w:rPr>
                <w:rFonts w:hint="eastAsia" w:cs="Times New Roman"/>
                <w:color w:val="auto"/>
                <w:sz w:val="24"/>
                <w:highlight w:val="none"/>
                <w:lang w:val="en-US" w:eastAsia="zh-CN"/>
              </w:rPr>
              <w:t>粉尘处理设施—</w:t>
            </w:r>
            <w:r>
              <w:rPr>
                <w:rFonts w:hint="default" w:ascii="Times New Roman" w:hAnsi="Times New Roman" w:eastAsia="宋体" w:cs="Times New Roman"/>
                <w:color w:val="auto"/>
                <w:sz w:val="24"/>
                <w:highlight w:val="none"/>
                <w:lang w:val="en-US" w:eastAsia="zh-CN"/>
              </w:rPr>
              <w:t>袋式除尘，</w:t>
            </w:r>
            <w:r>
              <w:rPr>
                <w:rFonts w:hint="eastAsia" w:cs="Times New Roman"/>
                <w:color w:val="auto"/>
                <w:sz w:val="24"/>
                <w:highlight w:val="none"/>
                <w:lang w:val="en-US" w:eastAsia="zh-CN"/>
              </w:rPr>
              <w:t>脱硫设施—石灰石干法脱硫，脱销设施—SCNR喷氨脱硝；均属于</w:t>
            </w:r>
            <w:r>
              <w:rPr>
                <w:rFonts w:hint="default" w:ascii="Times New Roman" w:hAnsi="Times New Roman" w:eastAsia="宋体" w:cs="Times New Roman"/>
                <w:color w:val="auto"/>
                <w:sz w:val="24"/>
                <w:highlight w:val="none"/>
              </w:rPr>
              <w:t>《排污许可证申请与核发技术规范</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总则》（HJ 942-2018）</w:t>
            </w:r>
            <w:r>
              <w:rPr>
                <w:rFonts w:hint="default" w:ascii="Times New Roman" w:hAnsi="Times New Roman" w:eastAsia="宋体" w:cs="Times New Roman"/>
                <w:color w:val="auto"/>
                <w:sz w:val="24"/>
                <w:highlight w:val="none"/>
                <w:lang w:val="en-US" w:eastAsia="zh-CN"/>
              </w:rPr>
              <w:t>及</w:t>
            </w:r>
            <w:r>
              <w:rPr>
                <w:rFonts w:hint="default" w:ascii="Times New Roman" w:hAnsi="Times New Roman" w:eastAsia="宋体" w:cs="Times New Roman"/>
                <w:color w:val="auto"/>
                <w:sz w:val="24"/>
                <w:highlight w:val="none"/>
                <w:lang w:eastAsia="zh-CN"/>
              </w:rPr>
              <w:t xml:space="preserve">《排污许可证申请与核发技术规范 </w:t>
            </w:r>
            <w:r>
              <w:rPr>
                <w:rFonts w:hint="eastAsia" w:cs="Times New Roman"/>
                <w:color w:val="auto"/>
                <w:sz w:val="24"/>
                <w:highlight w:val="none"/>
                <w:lang w:eastAsia="zh-CN"/>
              </w:rPr>
              <w:t>工业炉窑</w:t>
            </w:r>
            <w:r>
              <w:rPr>
                <w:rFonts w:hint="default" w:ascii="Times New Roman" w:hAnsi="Times New Roman" w:eastAsia="宋体" w:cs="Times New Roman"/>
                <w:color w:val="auto"/>
                <w:sz w:val="24"/>
                <w:highlight w:val="none"/>
                <w:lang w:eastAsia="zh-CN"/>
              </w:rPr>
              <w:t>》（HJ11</w:t>
            </w:r>
            <w:r>
              <w:rPr>
                <w:rFonts w:hint="eastAsia" w:cs="Times New Roman"/>
                <w:color w:val="auto"/>
                <w:sz w:val="24"/>
                <w:highlight w:val="none"/>
                <w:lang w:val="en-US" w:eastAsia="zh-CN"/>
              </w:rPr>
              <w:t>21</w:t>
            </w:r>
            <w:r>
              <w:rPr>
                <w:rFonts w:hint="default" w:ascii="Times New Roman" w:hAnsi="Times New Roman" w:eastAsia="宋体" w:cs="Times New Roman"/>
                <w:color w:val="auto"/>
                <w:sz w:val="24"/>
                <w:highlight w:val="none"/>
                <w:lang w:eastAsia="zh-CN"/>
              </w:rPr>
              <w:t>-2020）</w:t>
            </w:r>
            <w:r>
              <w:rPr>
                <w:rFonts w:hint="eastAsia" w:cs="Times New Roman"/>
                <w:color w:val="auto"/>
                <w:sz w:val="24"/>
                <w:highlight w:val="none"/>
                <w:lang w:eastAsia="zh-CN"/>
              </w:rPr>
              <w:t>中表</w:t>
            </w:r>
            <w:r>
              <w:rPr>
                <w:rFonts w:hint="eastAsia" w:cs="Times New Roman"/>
                <w:color w:val="auto"/>
                <w:sz w:val="24"/>
                <w:highlight w:val="none"/>
                <w:lang w:val="en-US" w:eastAsia="zh-CN"/>
              </w:rPr>
              <w:t>3、表14、</w:t>
            </w:r>
            <w:r>
              <w:rPr>
                <w:rFonts w:hint="eastAsia" w:cs="Times New Roman"/>
                <w:color w:val="auto"/>
                <w:sz w:val="24"/>
                <w:highlight w:val="none"/>
                <w:lang w:eastAsia="zh-CN"/>
              </w:rPr>
              <w:t>附录</w:t>
            </w:r>
            <w:r>
              <w:rPr>
                <w:rFonts w:hint="eastAsia" w:cs="Times New Roman"/>
                <w:color w:val="auto"/>
                <w:sz w:val="24"/>
                <w:highlight w:val="none"/>
                <w:lang w:val="en-US" w:eastAsia="zh-CN"/>
              </w:rPr>
              <w:t>A中提出的废气</w:t>
            </w:r>
            <w:r>
              <w:rPr>
                <w:rFonts w:hint="default" w:ascii="Times New Roman" w:hAnsi="Times New Roman" w:eastAsia="宋体" w:cs="Times New Roman"/>
                <w:color w:val="auto"/>
                <w:sz w:val="24"/>
                <w:szCs w:val="24"/>
                <w:highlight w:val="none"/>
              </w:rPr>
              <w:t>可行性技术</w:t>
            </w:r>
            <w:r>
              <w:rPr>
                <w:rFonts w:hint="eastAsia" w:cs="Times New Roman"/>
                <w:color w:val="auto"/>
                <w:sz w:val="24"/>
                <w:szCs w:val="24"/>
                <w:highlight w:val="none"/>
                <w:lang w:eastAsia="zh-CN"/>
              </w:rPr>
              <w:t>。</w:t>
            </w:r>
          </w:p>
          <w:p w14:paraId="432C855A">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处理装置原理</w:t>
            </w:r>
          </w:p>
          <w:p w14:paraId="19E00334">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①布袋除尘器</w:t>
            </w:r>
          </w:p>
          <w:p w14:paraId="782246B1">
            <w:pPr>
              <w:pStyle w:val="24"/>
              <w:spacing w:before="0" w:beforeAutospacing="0" w:after="0" w:afterAutospacing="0"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2"/>
              </w:rPr>
              <w:t>布袋除尘器有净化效率高、处理气体能力大、性能稳定、操作方便、滤袋寿命长、维修工作量小等优点。</w:t>
            </w:r>
            <w:r>
              <w:rPr>
                <w:rFonts w:hint="default" w:ascii="Times New Roman" w:hAnsi="Times New Roman" w:eastAsia="宋体" w:cs="Times New Roman"/>
                <w:color w:val="auto"/>
              </w:rPr>
              <w:t>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排风道，经排风机排至大气。清灰时先切断该室的净气出口风道，使该室的布袋处于无气流通过的状态(分室停风清灰)。然后开启脉冲阀用压缩空气进行脉冲喷吹清灰，切断阀关闭时间足以保证在喷吹后从滤袋上剥离的粉尘沉降至灰斗，避免了粉尘在脱离滤袋表面后又随气流附集到相邻滤袋表面的现象，使滤袋清灰彻底，并由可编程序控制仪对排气阀、脉冲阀及卸灰阀等进行全自动控制。同时，布袋除尘器工艺属于国家推荐的常用除尘设备，除尘效率有保证，可达9</w:t>
            </w:r>
            <w:r>
              <w:rPr>
                <w:rFonts w:hint="eastAsia" w:ascii="Times New Roman" w:hAnsi="Times New Roman" w:cs="Times New Roman"/>
                <w:color w:val="auto"/>
                <w:lang w:val="en-US" w:eastAsia="zh-CN"/>
              </w:rPr>
              <w:t>9.7</w:t>
            </w:r>
            <w:r>
              <w:rPr>
                <w:rFonts w:hint="default" w:ascii="Times New Roman" w:hAnsi="Times New Roman" w:eastAsia="宋体" w:cs="Times New Roman"/>
                <w:color w:val="auto"/>
              </w:rPr>
              <w:t>%以上。</w:t>
            </w:r>
            <w:r>
              <w:rPr>
                <w:rFonts w:hint="default" w:ascii="Times New Roman" w:hAnsi="Times New Roman" w:eastAsia="宋体" w:cs="Times New Roman"/>
                <w:color w:val="auto"/>
                <w:sz w:val="24"/>
                <w:highlight w:val="none"/>
                <w:lang w:val="en-US" w:eastAsia="zh-CN"/>
              </w:rPr>
              <w:t>本项目选取</w:t>
            </w:r>
            <w:r>
              <w:rPr>
                <w:rFonts w:hint="eastAsia" w:ascii="Times New Roman" w:hAnsi="Times New Roman" w:cs="Times New Roman"/>
                <w:color w:val="auto"/>
                <w:sz w:val="24"/>
                <w:highlight w:val="none"/>
                <w:lang w:val="en-US" w:eastAsia="zh-CN"/>
              </w:rPr>
              <w:t>99.6</w:t>
            </w:r>
            <w:r>
              <w:rPr>
                <w:rFonts w:hint="default" w:ascii="Times New Roman" w:hAnsi="Times New Roman" w:eastAsia="宋体" w:cs="Times New Roman"/>
                <w:color w:val="auto"/>
                <w:sz w:val="24"/>
                <w:highlight w:val="none"/>
                <w:lang w:val="en-US" w:eastAsia="zh-CN"/>
              </w:rPr>
              <w:t>%进行计算。</w:t>
            </w:r>
          </w:p>
          <w:p w14:paraId="2926E733">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w:t>
            </w:r>
            <w:r>
              <w:rPr>
                <w:rFonts w:hint="eastAsia" w:cs="Times New Roman"/>
                <w:color w:val="auto"/>
                <w:sz w:val="24"/>
                <w:highlight w:val="none"/>
                <w:lang w:val="en-US" w:eastAsia="zh-CN"/>
              </w:rPr>
              <w:t>石灰石粉炉内脱硫</w:t>
            </w:r>
          </w:p>
          <w:p w14:paraId="683710BE">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原理：</w:t>
            </w:r>
            <w:r>
              <w:rPr>
                <w:rFonts w:hint="default" w:ascii="Times New Roman" w:hAnsi="Times New Roman" w:cs="Times New Roman"/>
                <w:color w:val="auto"/>
                <w:sz w:val="24"/>
                <w:highlight w:val="none"/>
                <w:lang w:eastAsia="zh-CN"/>
              </w:rPr>
              <w:t>该系统</w:t>
            </w:r>
            <w:r>
              <w:rPr>
                <w:rFonts w:hint="default" w:ascii="Times New Roman" w:hAnsi="Times New Roman" w:eastAsia="Arial" w:cs="Times New Roman"/>
                <w:i w:val="0"/>
                <w:iCs w:val="0"/>
                <w:caps w:val="0"/>
                <w:color w:val="auto"/>
                <w:spacing w:val="0"/>
                <w:sz w:val="24"/>
                <w:szCs w:val="24"/>
                <w:shd w:val="clear" w:fill="FFFFFF"/>
              </w:rPr>
              <w:t>完成物料输送、计量、送粉量调节、炉内喷射，从而使石灰石粉</w:t>
            </w:r>
            <w:r>
              <w:rPr>
                <w:rFonts w:hint="default" w:ascii="Times New Roman" w:hAnsi="Times New Roman" w:eastAsia="宋体" w:cs="Times New Roman"/>
                <w:color w:val="auto"/>
                <w:sz w:val="24"/>
                <w:highlight w:val="none"/>
              </w:rPr>
              <w:t>在炉内</w:t>
            </w:r>
            <w:r>
              <w:rPr>
                <w:rFonts w:hint="eastAsia" w:cs="Times New Roman"/>
                <w:color w:val="auto"/>
                <w:sz w:val="24"/>
                <w:highlight w:val="none"/>
                <w:lang w:eastAsia="zh-CN"/>
              </w:rPr>
              <w:t>煅烧</w:t>
            </w:r>
            <w:r>
              <w:rPr>
                <w:rFonts w:hint="default" w:ascii="Times New Roman" w:hAnsi="Times New Roman" w:eastAsia="宋体" w:cs="Times New Roman"/>
                <w:color w:val="auto"/>
                <w:sz w:val="24"/>
                <w:highlight w:val="none"/>
              </w:rPr>
              <w:t>分解，利用生成的CaO与炉内烟气中的SO2进行反应实现炉内脱硫。</w:t>
            </w:r>
          </w:p>
          <w:p w14:paraId="360D3131">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炉内喷钙脱硫方法技术成熟，运行可靠，无废水排放，投资省（仅占电站投资的4%~6%）、运行费用低（仅为发电成本的5%左右），设备紧凑，占地少，是一种经济适用的脱硫工艺。既适用于新型大型电站，也适用于中小锅炉的烟气脱硫，还适用于现有电站及锅炉的脱硫改造，并可同时治理NOx，具有广阔的应用前景。但此工艺方法要求钙硫比较高，石灰石耗量较大，同时燃烧产生灰渣增加。</w:t>
            </w:r>
          </w:p>
          <w:p w14:paraId="7389FC48">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w:t>
            </w:r>
            <w:r>
              <w:rPr>
                <w:rFonts w:hint="eastAsia" w:cs="Times New Roman"/>
                <w:color w:val="auto"/>
                <w:sz w:val="24"/>
                <w:highlight w:val="none"/>
                <w:lang w:val="en-US" w:eastAsia="zh-CN"/>
              </w:rPr>
              <w:t>分级燃烧+SCNR喷氨脱硝</w:t>
            </w:r>
          </w:p>
          <w:p w14:paraId="3C86C850">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分级燃烧分为两级燃烧，第一级为给风多、给煤少形成不充分燃烧产生CO，第二级燃烧为给风少、给煤多形成充分燃烧CO还原NO</w:t>
            </w:r>
            <w:r>
              <w:rPr>
                <w:rFonts w:hint="eastAsia" w:cs="Times New Roman"/>
                <w:color w:val="auto"/>
                <w:kern w:val="2"/>
                <w:sz w:val="24"/>
                <w:szCs w:val="24"/>
                <w:highlight w:val="none"/>
                <w:vertAlign w:val="subscript"/>
                <w:lang w:val="en-US" w:eastAsia="zh-CN" w:bidi="ar-SA"/>
              </w:rPr>
              <w:t>X</w:t>
            </w:r>
            <w:r>
              <w:rPr>
                <w:rFonts w:hint="eastAsia" w:cs="Times New Roman"/>
                <w:color w:val="auto"/>
                <w:kern w:val="2"/>
                <w:sz w:val="24"/>
                <w:szCs w:val="24"/>
                <w:highlight w:val="none"/>
                <w:vertAlign w:val="baseli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SNCR即选择性非催化还原技术，原理是不使用催化剂，在</w:t>
            </w:r>
            <w:r>
              <w:rPr>
                <w:rFonts w:hint="eastAsia" w:ascii="Times New Roman" w:hAnsi="Times New Roman" w:eastAsia="宋体" w:cs="Times New Roman"/>
                <w:color w:val="auto"/>
                <w:kern w:val="2"/>
                <w:sz w:val="24"/>
                <w:szCs w:val="24"/>
                <w:highlight w:val="none"/>
                <w:lang w:val="en-US" w:eastAsia="zh-CN" w:bidi="ar-SA"/>
              </w:rPr>
              <w:t>窑炉</w:t>
            </w:r>
            <w:r>
              <w:rPr>
                <w:rFonts w:hint="default" w:ascii="Times New Roman" w:hAnsi="Times New Roman" w:eastAsia="宋体" w:cs="Times New Roman"/>
                <w:color w:val="auto"/>
                <w:kern w:val="2"/>
                <w:sz w:val="24"/>
                <w:szCs w:val="24"/>
                <w:highlight w:val="none"/>
                <w:lang w:val="en-US" w:eastAsia="zh-CN" w:bidi="ar-SA"/>
              </w:rPr>
              <w:t>炉膛或旋风分离筒入口适当位置喷入氨基还原剂，将NOx还原为N</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的一种脱硝技术。在烟道内停留时间长，反应充分。SNCR技术主要使用氨水作为还原剂。</w:t>
            </w:r>
          </w:p>
          <w:p w14:paraId="5C7AF189">
            <w:pPr>
              <w:widowControl/>
              <w:spacing w:line="360" w:lineRule="auto"/>
              <w:ind w:firstLine="482" w:firstLineChars="200"/>
              <w:jc w:val="left"/>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4、无组织排放废气防治措施</w:t>
            </w:r>
          </w:p>
          <w:p w14:paraId="0730753A">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本项目无组织废气为未收集的颗粒物。为了进一步减少废气对生产车间环境空气的影响和保障工人健康，建议建设单位采取下列措施：</w:t>
            </w:r>
          </w:p>
          <w:p w14:paraId="6035A5B2">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eastAsia" w:cs="Times New Roman"/>
                <w:color w:val="auto"/>
                <w:sz w:val="24"/>
                <w:highlight w:val="none"/>
                <w:lang w:val="en-US" w:eastAsia="zh-CN"/>
              </w:rPr>
              <w:t>可在厂区内适当洒水降尘，减少起尘量</w:t>
            </w:r>
            <w:r>
              <w:rPr>
                <w:rFonts w:hint="default" w:ascii="Times New Roman" w:hAnsi="Times New Roman" w:eastAsia="宋体" w:cs="Times New Roman"/>
                <w:color w:val="auto"/>
                <w:sz w:val="24"/>
                <w:highlight w:val="none"/>
                <w:lang w:val="en-US" w:eastAsia="zh-CN"/>
              </w:rPr>
              <w:t>；</w:t>
            </w:r>
          </w:p>
          <w:p w14:paraId="586F60BF">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②提高集气罩废气收集效率，加强工段的风量控制，确保生产过程产生的废气能够有效收集；</w:t>
            </w:r>
          </w:p>
          <w:p w14:paraId="668DD4D4">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③加强设备维护，防止不良工况下的废气产生；</w:t>
            </w:r>
          </w:p>
          <w:p w14:paraId="71251890">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⑤建议生产车间操作人员操作时佩戴口罩；</w:t>
            </w:r>
          </w:p>
          <w:p w14:paraId="13219886">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⑥加强操作工的培训和管理，所有操作严格按照既定的规程进行，以减少人为造成的对环境的污染。</w:t>
            </w:r>
          </w:p>
          <w:p w14:paraId="6EDE08CD">
            <w:pPr>
              <w:widowControl/>
              <w:spacing w:line="360" w:lineRule="auto"/>
              <w:ind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、监测要求</w:t>
            </w:r>
          </w:p>
          <w:p w14:paraId="553FB324">
            <w:pPr>
              <w:adjustRightInd w:val="0"/>
              <w:snapToGrid w:val="0"/>
              <w:spacing w:line="360" w:lineRule="auto"/>
              <w:ind w:firstLine="480" w:firstLineChars="200"/>
              <w:rPr>
                <w:rFonts w:hint="default" w:ascii="Times New Roman" w:hAnsi="Times New Roman" w:eastAsia="宋体" w:cs="Times New Roman"/>
                <w:b/>
                <w:color w:val="auto"/>
                <w:szCs w:val="21"/>
                <w:highlight w:val="none"/>
              </w:rPr>
            </w:pPr>
            <w:r>
              <w:rPr>
                <w:rFonts w:hint="default" w:ascii="Times New Roman" w:hAnsi="Times New Roman" w:eastAsia="宋体" w:cs="Times New Roman"/>
                <w:bCs/>
                <w:color w:val="auto"/>
                <w:sz w:val="24"/>
                <w:highlight w:val="none"/>
              </w:rPr>
              <w:t>根据</w:t>
            </w:r>
            <w:r>
              <w:rPr>
                <w:rFonts w:hint="default" w:ascii="Times New Roman" w:hAnsi="Times New Roman" w:eastAsia="宋体" w:cs="Times New Roman"/>
                <w:color w:val="auto"/>
                <w:sz w:val="24"/>
                <w:highlight w:val="none"/>
              </w:rPr>
              <w:t xml:space="preserve">《排污单位自行监测技术指南 </w:t>
            </w:r>
            <w:r>
              <w:rPr>
                <w:rFonts w:hint="eastAsia" w:cs="Times New Roman"/>
                <w:color w:val="auto"/>
                <w:sz w:val="24"/>
                <w:highlight w:val="none"/>
                <w:lang w:eastAsia="zh-CN"/>
              </w:rPr>
              <w:t>总则</w:t>
            </w:r>
            <w:r>
              <w:rPr>
                <w:rFonts w:hint="default" w:ascii="Times New Roman" w:hAnsi="Times New Roman" w:eastAsia="宋体" w:cs="Times New Roman"/>
                <w:color w:val="auto"/>
                <w:sz w:val="24"/>
                <w:highlight w:val="none"/>
              </w:rPr>
              <w:t>》（HJ</w:t>
            </w:r>
            <w:r>
              <w:rPr>
                <w:rFonts w:hint="eastAsia" w:cs="Times New Roman"/>
                <w:color w:val="auto"/>
                <w:sz w:val="24"/>
                <w:highlight w:val="none"/>
                <w:lang w:val="en-US" w:eastAsia="zh-CN"/>
              </w:rPr>
              <w:t>819</w:t>
            </w:r>
            <w:r>
              <w:rPr>
                <w:rFonts w:hint="default" w:ascii="Times New Roman" w:hAnsi="Times New Roman" w:eastAsia="宋体" w:cs="Times New Roman"/>
                <w:color w:val="auto"/>
                <w:sz w:val="24"/>
                <w:highlight w:val="none"/>
              </w:rPr>
              <w:t>-20</w:t>
            </w:r>
            <w:r>
              <w:rPr>
                <w:rFonts w:hint="eastAsia" w:cs="Times New Roman"/>
                <w:color w:val="auto"/>
                <w:sz w:val="24"/>
                <w:highlight w:val="none"/>
                <w:lang w:val="en-US" w:eastAsia="zh-CN"/>
              </w:rPr>
              <w:t>17</w:t>
            </w: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及</w:t>
            </w:r>
            <w:r>
              <w:rPr>
                <w:rFonts w:hint="default" w:ascii="Times New Roman" w:hAnsi="Times New Roman" w:eastAsia="宋体" w:cs="Times New Roman"/>
                <w:color w:val="auto"/>
                <w:sz w:val="24"/>
                <w:highlight w:val="none"/>
                <w:lang w:eastAsia="zh-CN"/>
              </w:rPr>
              <w:t xml:space="preserve">《排污许可证申请与核发技术规范 </w:t>
            </w:r>
            <w:r>
              <w:rPr>
                <w:rFonts w:hint="eastAsia" w:cs="Times New Roman"/>
                <w:color w:val="auto"/>
                <w:sz w:val="24"/>
                <w:highlight w:val="none"/>
                <w:lang w:eastAsia="zh-CN"/>
              </w:rPr>
              <w:t>工业炉窑</w:t>
            </w:r>
            <w:r>
              <w:rPr>
                <w:rFonts w:hint="default" w:ascii="Times New Roman" w:hAnsi="Times New Roman" w:eastAsia="宋体" w:cs="Times New Roman"/>
                <w:color w:val="auto"/>
                <w:sz w:val="24"/>
                <w:highlight w:val="none"/>
                <w:lang w:eastAsia="zh-CN"/>
              </w:rPr>
              <w:t>》（HJ11</w:t>
            </w:r>
            <w:r>
              <w:rPr>
                <w:rFonts w:hint="eastAsia" w:cs="Times New Roman"/>
                <w:color w:val="auto"/>
                <w:sz w:val="24"/>
                <w:highlight w:val="none"/>
                <w:lang w:val="en-US" w:eastAsia="zh-CN"/>
              </w:rPr>
              <w:t>21</w:t>
            </w:r>
            <w:r>
              <w:rPr>
                <w:rFonts w:hint="default" w:ascii="Times New Roman" w:hAnsi="Times New Roman" w:eastAsia="宋体" w:cs="Times New Roman"/>
                <w:color w:val="auto"/>
                <w:sz w:val="24"/>
                <w:highlight w:val="none"/>
                <w:lang w:eastAsia="zh-CN"/>
              </w:rPr>
              <w:t>-2020）</w:t>
            </w:r>
            <w:r>
              <w:rPr>
                <w:rFonts w:hint="default" w:ascii="Times New Roman" w:hAnsi="Times New Roman" w:eastAsia="宋体" w:cs="Times New Roman"/>
                <w:bCs/>
                <w:color w:val="auto"/>
                <w:sz w:val="24"/>
                <w:highlight w:val="none"/>
              </w:rPr>
              <w:t>，项目的监测计划如表4-</w:t>
            </w:r>
            <w:r>
              <w:rPr>
                <w:rFonts w:hint="eastAsia" w:cs="Times New Roman"/>
                <w:bCs/>
                <w:color w:val="auto"/>
                <w:sz w:val="24"/>
                <w:highlight w:val="none"/>
                <w:lang w:val="en-US" w:eastAsia="zh-CN"/>
              </w:rPr>
              <w:t>27</w:t>
            </w:r>
            <w:r>
              <w:rPr>
                <w:rFonts w:hint="default" w:ascii="Times New Roman" w:hAnsi="Times New Roman" w:eastAsia="宋体" w:cs="Times New Roman"/>
                <w:bCs/>
                <w:color w:val="auto"/>
                <w:sz w:val="24"/>
                <w:highlight w:val="none"/>
              </w:rPr>
              <w:t>。</w:t>
            </w:r>
          </w:p>
          <w:p w14:paraId="40C77CE9">
            <w:pPr>
              <w:tabs>
                <w:tab w:val="left" w:pos="630"/>
              </w:tabs>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表4-</w:t>
            </w:r>
            <w:r>
              <w:rPr>
                <w:rFonts w:hint="eastAsia" w:cs="Times New Roman"/>
                <w:b/>
                <w:color w:val="auto"/>
                <w:szCs w:val="21"/>
                <w:highlight w:val="none"/>
                <w:lang w:val="en-US" w:eastAsia="zh-CN"/>
              </w:rPr>
              <w:t>27</w:t>
            </w:r>
            <w:r>
              <w:rPr>
                <w:rFonts w:hint="default" w:ascii="Times New Roman" w:hAnsi="Times New Roman" w:eastAsia="宋体" w:cs="Times New Roman"/>
                <w:b/>
                <w:color w:val="auto"/>
                <w:szCs w:val="21"/>
                <w:highlight w:val="none"/>
              </w:rPr>
              <w:t xml:space="preserve">  自行监测计划</w:t>
            </w:r>
          </w:p>
          <w:tbl>
            <w:tblPr>
              <w:tblStyle w:val="28"/>
              <w:tblW w:w="8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728"/>
              <w:gridCol w:w="1196"/>
              <w:gridCol w:w="1890"/>
              <w:gridCol w:w="2156"/>
              <w:gridCol w:w="1065"/>
            </w:tblGrid>
            <w:tr w14:paraId="7C3D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14:paraId="503B5976">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1728" w:type="dxa"/>
                  <w:vAlign w:val="center"/>
                </w:tcPr>
                <w:p w14:paraId="0ECDB9CD">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排放源</w:t>
                  </w:r>
                </w:p>
              </w:tc>
              <w:tc>
                <w:tcPr>
                  <w:tcW w:w="1196" w:type="dxa"/>
                  <w:vAlign w:val="center"/>
                </w:tcPr>
                <w:p w14:paraId="22E8A6C7">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排放方式</w:t>
                  </w:r>
                </w:p>
              </w:tc>
              <w:tc>
                <w:tcPr>
                  <w:tcW w:w="1890" w:type="dxa"/>
                  <w:vAlign w:val="center"/>
                </w:tcPr>
                <w:p w14:paraId="7DAF3B35">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监测点位</w:t>
                  </w:r>
                </w:p>
              </w:tc>
              <w:tc>
                <w:tcPr>
                  <w:tcW w:w="2156" w:type="dxa"/>
                  <w:vAlign w:val="center"/>
                </w:tcPr>
                <w:p w14:paraId="140AE0ED">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监测项目</w:t>
                  </w:r>
                </w:p>
              </w:tc>
              <w:tc>
                <w:tcPr>
                  <w:tcW w:w="1065" w:type="dxa"/>
                  <w:vAlign w:val="center"/>
                </w:tcPr>
                <w:p w14:paraId="4E97B3DA">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监测频次</w:t>
                  </w:r>
                </w:p>
              </w:tc>
            </w:tr>
            <w:tr w14:paraId="1B8A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restart"/>
                  <w:vAlign w:val="center"/>
                </w:tcPr>
                <w:p w14:paraId="743207BC">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废气</w:t>
                  </w:r>
                </w:p>
              </w:tc>
              <w:tc>
                <w:tcPr>
                  <w:tcW w:w="1728" w:type="dxa"/>
                  <w:vAlign w:val="center"/>
                </w:tcPr>
                <w:p w14:paraId="21672396">
                  <w:pPr>
                    <w:jc w:val="center"/>
                    <w:rPr>
                      <w:rFonts w:hint="default" w:ascii="Times New Roman" w:hAnsi="Times New Roman" w:eastAsia="宋体" w:cs="Times New Roman"/>
                      <w:bCs/>
                      <w:snapToGrid w:val="0"/>
                      <w:color w:val="auto"/>
                      <w:kern w:val="0"/>
                      <w:szCs w:val="21"/>
                      <w:highlight w:val="none"/>
                      <w:lang w:val="en-US" w:eastAsia="zh-CN"/>
                    </w:rPr>
                  </w:pPr>
                  <w:r>
                    <w:rPr>
                      <w:rFonts w:hint="eastAsia" w:cs="Times New Roman"/>
                      <w:color w:val="auto"/>
                      <w:szCs w:val="21"/>
                      <w:lang w:eastAsia="zh-CN"/>
                    </w:rPr>
                    <w:t>卸料扬</w:t>
                  </w:r>
                  <w:r>
                    <w:rPr>
                      <w:rFonts w:hint="default" w:ascii="Times New Roman" w:hAnsi="Times New Roman" w:eastAsia="宋体" w:cs="Times New Roman"/>
                      <w:color w:val="auto"/>
                      <w:szCs w:val="21"/>
                    </w:rPr>
                    <w:t>尘</w:t>
                  </w:r>
                </w:p>
              </w:tc>
              <w:tc>
                <w:tcPr>
                  <w:tcW w:w="1196" w:type="dxa"/>
                  <w:vAlign w:val="center"/>
                </w:tcPr>
                <w:p w14:paraId="7EDDB8EB">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有组织</w:t>
                  </w:r>
                </w:p>
              </w:tc>
              <w:tc>
                <w:tcPr>
                  <w:tcW w:w="1890" w:type="dxa"/>
                  <w:vAlign w:val="center"/>
                </w:tcPr>
                <w:p w14:paraId="4CC566C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Cs/>
                      <w:snapToGrid w:val="0"/>
                      <w:color w:val="auto"/>
                      <w:kern w:val="0"/>
                      <w:szCs w:val="21"/>
                      <w:highlight w:val="none"/>
                    </w:rPr>
                  </w:pPr>
                  <w:r>
                    <w:rPr>
                      <w:rFonts w:hint="eastAsia" w:cs="Times New Roman"/>
                      <w:color w:val="auto"/>
                      <w:sz w:val="21"/>
                      <w:szCs w:val="21"/>
                      <w:highlight w:val="none"/>
                      <w:lang w:val="en-US" w:eastAsia="zh-CN"/>
                    </w:rPr>
                    <w:t>DA001</w:t>
                  </w:r>
                </w:p>
              </w:tc>
              <w:tc>
                <w:tcPr>
                  <w:tcW w:w="2156" w:type="dxa"/>
                  <w:vAlign w:val="center"/>
                </w:tcPr>
                <w:p w14:paraId="0B4B6BAF">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16E45FDB">
                  <w:pPr>
                    <w:jc w:val="center"/>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r>
            <w:tr w14:paraId="7D65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77E9E432">
                  <w:pPr>
                    <w:jc w:val="center"/>
                    <w:rPr>
                      <w:rFonts w:hint="default" w:ascii="Times New Roman" w:hAnsi="Times New Roman" w:eastAsia="宋体" w:cs="Times New Roman"/>
                      <w:bCs/>
                      <w:color w:val="auto"/>
                      <w:szCs w:val="21"/>
                      <w:highlight w:val="none"/>
                    </w:rPr>
                  </w:pPr>
                </w:p>
              </w:tc>
              <w:tc>
                <w:tcPr>
                  <w:tcW w:w="1728" w:type="dxa"/>
                  <w:vAlign w:val="center"/>
                </w:tcPr>
                <w:p w14:paraId="30A0518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Cs/>
                      <w:snapToGrid w:val="0"/>
                      <w:color w:val="auto"/>
                      <w:kern w:val="0"/>
                      <w:szCs w:val="21"/>
                      <w:highlight w:val="none"/>
                      <w:lang w:val="en-US" w:eastAsia="zh-CN"/>
                    </w:rPr>
                  </w:pPr>
                  <w:r>
                    <w:rPr>
                      <w:rFonts w:hint="eastAsia" w:cs="Times New Roman"/>
                      <w:color w:val="auto"/>
                      <w:sz w:val="21"/>
                      <w:szCs w:val="21"/>
                      <w:highlight w:val="none"/>
                      <w:lang w:eastAsia="zh-CN"/>
                    </w:rPr>
                    <w:t>破碎粉尘</w:t>
                  </w:r>
                </w:p>
              </w:tc>
              <w:tc>
                <w:tcPr>
                  <w:tcW w:w="1196" w:type="dxa"/>
                  <w:vAlign w:val="center"/>
                </w:tcPr>
                <w:p w14:paraId="130D76F5">
                  <w:pPr>
                    <w:jc w:val="center"/>
                    <w:rPr>
                      <w:rFonts w:hint="default" w:ascii="Times New Roman" w:hAnsi="Times New Roman" w:eastAsia="宋体" w:cs="Times New Roman"/>
                      <w:bCs/>
                      <w:snapToGrid w:val="0"/>
                      <w:color w:val="auto"/>
                      <w:kern w:val="0"/>
                      <w:szCs w:val="21"/>
                      <w:highlight w:val="none"/>
                      <w:lang w:val="en-US" w:eastAsia="zh-CN"/>
                    </w:rPr>
                  </w:pPr>
                  <w:r>
                    <w:rPr>
                      <w:rFonts w:hint="eastAsia" w:cs="Times New Roman"/>
                      <w:color w:val="auto"/>
                      <w:sz w:val="21"/>
                      <w:szCs w:val="21"/>
                      <w:highlight w:val="none"/>
                      <w:lang w:eastAsia="zh-CN"/>
                    </w:rPr>
                    <w:t>有组织</w:t>
                  </w:r>
                </w:p>
              </w:tc>
              <w:tc>
                <w:tcPr>
                  <w:tcW w:w="1890" w:type="dxa"/>
                  <w:vAlign w:val="center"/>
                </w:tcPr>
                <w:p w14:paraId="719E872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Cs/>
                      <w:snapToGrid w:val="0"/>
                      <w:color w:val="auto"/>
                      <w:kern w:val="0"/>
                      <w:szCs w:val="21"/>
                      <w:highlight w:val="none"/>
                    </w:rPr>
                  </w:pPr>
                  <w:r>
                    <w:rPr>
                      <w:rFonts w:hint="eastAsia" w:cs="Times New Roman"/>
                      <w:color w:val="auto"/>
                      <w:sz w:val="21"/>
                      <w:szCs w:val="21"/>
                      <w:highlight w:val="none"/>
                      <w:lang w:val="en-US" w:eastAsia="zh-CN"/>
                    </w:rPr>
                    <w:t>DA002</w:t>
                  </w:r>
                </w:p>
              </w:tc>
              <w:tc>
                <w:tcPr>
                  <w:tcW w:w="2156" w:type="dxa"/>
                  <w:vAlign w:val="center"/>
                </w:tcPr>
                <w:p w14:paraId="2D91DD5F">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08D3C82B">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r>
            <w:tr w14:paraId="49E3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7FA06B36">
                  <w:pPr>
                    <w:jc w:val="center"/>
                    <w:rPr>
                      <w:rFonts w:hint="default" w:ascii="Times New Roman" w:hAnsi="Times New Roman" w:eastAsia="宋体" w:cs="Times New Roman"/>
                      <w:bCs/>
                      <w:color w:val="auto"/>
                      <w:szCs w:val="21"/>
                      <w:highlight w:val="none"/>
                    </w:rPr>
                  </w:pPr>
                </w:p>
              </w:tc>
              <w:tc>
                <w:tcPr>
                  <w:tcW w:w="1728" w:type="dxa"/>
                  <w:vAlign w:val="center"/>
                </w:tcPr>
                <w:p w14:paraId="7DE7637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Cs/>
                      <w:snapToGrid w:val="0"/>
                      <w:color w:val="auto"/>
                      <w:kern w:val="0"/>
                      <w:szCs w:val="21"/>
                      <w:highlight w:val="none"/>
                      <w:lang w:val="en-US" w:eastAsia="zh-CN"/>
                    </w:rPr>
                  </w:pPr>
                  <w:r>
                    <w:rPr>
                      <w:rFonts w:hint="eastAsia" w:cs="Times New Roman"/>
                      <w:color w:val="auto"/>
                      <w:kern w:val="2"/>
                      <w:sz w:val="21"/>
                      <w:szCs w:val="21"/>
                      <w:lang w:val="en-US" w:eastAsia="zh-CN" w:bidi="ar-SA"/>
                    </w:rPr>
                    <w:t>原料</w:t>
                  </w:r>
                  <w:r>
                    <w:rPr>
                      <w:rFonts w:hint="eastAsia" w:ascii="Times New Roman" w:hAnsi="Times New Roman" w:eastAsia="宋体" w:cs="Times New Roman"/>
                      <w:color w:val="auto"/>
                      <w:kern w:val="2"/>
                      <w:sz w:val="21"/>
                      <w:szCs w:val="21"/>
                      <w:lang w:val="en-US" w:eastAsia="zh-CN" w:bidi="ar-SA"/>
                    </w:rPr>
                    <w:t>转载</w:t>
                  </w:r>
                  <w:r>
                    <w:rPr>
                      <w:rFonts w:hint="eastAsia" w:cs="Times New Roman"/>
                      <w:color w:val="auto"/>
                      <w:kern w:val="2"/>
                      <w:sz w:val="21"/>
                      <w:szCs w:val="21"/>
                      <w:lang w:val="en-US" w:eastAsia="zh-CN" w:bidi="ar-SA"/>
                    </w:rPr>
                    <w:t>点</w:t>
                  </w:r>
                  <w:r>
                    <w:rPr>
                      <w:rFonts w:hint="eastAsia" w:ascii="Times New Roman" w:hAnsi="Times New Roman" w:eastAsia="宋体" w:cs="Times New Roman"/>
                      <w:color w:val="auto"/>
                      <w:kern w:val="2"/>
                      <w:sz w:val="21"/>
                      <w:szCs w:val="21"/>
                      <w:lang w:val="en-US" w:eastAsia="zh-CN" w:bidi="ar-SA"/>
                    </w:rPr>
                    <w:t>落料粉尘</w:t>
                  </w:r>
                </w:p>
              </w:tc>
              <w:tc>
                <w:tcPr>
                  <w:tcW w:w="1196" w:type="dxa"/>
                  <w:vAlign w:val="center"/>
                </w:tcPr>
                <w:p w14:paraId="3AACC3CB">
                  <w:pPr>
                    <w:jc w:val="center"/>
                    <w:rPr>
                      <w:rFonts w:hint="default" w:ascii="Times New Roman" w:hAnsi="Times New Roman" w:eastAsia="宋体" w:cs="Times New Roman"/>
                      <w:bCs/>
                      <w:snapToGrid w:val="0"/>
                      <w:color w:val="auto"/>
                      <w:kern w:val="0"/>
                      <w:szCs w:val="21"/>
                      <w:highlight w:val="none"/>
                      <w:lang w:val="en-US" w:eastAsia="zh-CN"/>
                    </w:rPr>
                  </w:pPr>
                  <w:r>
                    <w:rPr>
                      <w:rFonts w:hint="eastAsia" w:cs="Times New Roman"/>
                      <w:color w:val="auto"/>
                      <w:sz w:val="21"/>
                      <w:szCs w:val="21"/>
                      <w:highlight w:val="none"/>
                      <w:lang w:eastAsia="zh-CN"/>
                    </w:rPr>
                    <w:t>有组织</w:t>
                  </w:r>
                </w:p>
              </w:tc>
              <w:tc>
                <w:tcPr>
                  <w:tcW w:w="1890" w:type="dxa"/>
                  <w:vAlign w:val="center"/>
                </w:tcPr>
                <w:p w14:paraId="77B0C5E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Cs/>
                      <w:snapToGrid w:val="0"/>
                      <w:color w:val="auto"/>
                      <w:kern w:val="0"/>
                      <w:szCs w:val="21"/>
                      <w:highlight w:val="none"/>
                      <w:lang w:val="en-US"/>
                    </w:rPr>
                  </w:pPr>
                  <w:r>
                    <w:rPr>
                      <w:rFonts w:hint="eastAsia" w:cs="Times New Roman"/>
                      <w:color w:val="auto"/>
                      <w:sz w:val="21"/>
                      <w:szCs w:val="21"/>
                      <w:highlight w:val="none"/>
                      <w:lang w:val="en-US" w:eastAsia="zh-CN"/>
                    </w:rPr>
                    <w:t>DA003</w:t>
                  </w:r>
                </w:p>
              </w:tc>
              <w:tc>
                <w:tcPr>
                  <w:tcW w:w="2156" w:type="dxa"/>
                  <w:vAlign w:val="center"/>
                </w:tcPr>
                <w:p w14:paraId="1142EAD9">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5F20E10F">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r>
            <w:tr w14:paraId="40E0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101A1BC3">
                  <w:pPr>
                    <w:jc w:val="center"/>
                    <w:rPr>
                      <w:rFonts w:hint="default" w:ascii="Times New Roman" w:hAnsi="Times New Roman" w:eastAsia="宋体" w:cs="Times New Roman"/>
                      <w:bCs/>
                      <w:color w:val="auto"/>
                      <w:szCs w:val="21"/>
                      <w:highlight w:val="none"/>
                    </w:rPr>
                  </w:pPr>
                </w:p>
              </w:tc>
              <w:tc>
                <w:tcPr>
                  <w:tcW w:w="1728" w:type="dxa"/>
                  <w:vAlign w:val="center"/>
                </w:tcPr>
                <w:p w14:paraId="4A23413B">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喂煤仓</w:t>
                  </w:r>
                  <w:r>
                    <w:rPr>
                      <w:rFonts w:hint="eastAsia" w:ascii="Times New Roman" w:hAnsi="Times New Roman" w:eastAsia="宋体" w:cs="Times New Roman"/>
                      <w:color w:val="auto"/>
                      <w:kern w:val="2"/>
                      <w:sz w:val="21"/>
                      <w:szCs w:val="21"/>
                      <w:lang w:val="en-US" w:eastAsia="zh-CN" w:bidi="ar-SA"/>
                    </w:rPr>
                    <w:t>粉尘</w:t>
                  </w:r>
                </w:p>
              </w:tc>
              <w:tc>
                <w:tcPr>
                  <w:tcW w:w="1196" w:type="dxa"/>
                  <w:vAlign w:val="center"/>
                </w:tcPr>
                <w:p w14:paraId="4000F003">
                  <w:pPr>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p>
              </w:tc>
              <w:tc>
                <w:tcPr>
                  <w:tcW w:w="1890" w:type="dxa"/>
                  <w:vAlign w:val="center"/>
                </w:tcPr>
                <w:p w14:paraId="0DE840F0">
                  <w:pPr>
                    <w:keepNext w:val="0"/>
                    <w:keepLines w:val="0"/>
                    <w:widowControl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DA004</w:t>
                  </w:r>
                </w:p>
              </w:tc>
              <w:tc>
                <w:tcPr>
                  <w:tcW w:w="2156" w:type="dxa"/>
                  <w:vAlign w:val="center"/>
                </w:tcPr>
                <w:p w14:paraId="220AFA0C">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3D4A33C4">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r>
            <w:tr w14:paraId="1BDA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0DE2F867">
                  <w:pPr>
                    <w:jc w:val="center"/>
                    <w:rPr>
                      <w:rFonts w:hint="default" w:ascii="Times New Roman" w:hAnsi="Times New Roman" w:eastAsia="宋体" w:cs="Times New Roman"/>
                      <w:bCs/>
                      <w:color w:val="auto"/>
                      <w:szCs w:val="21"/>
                      <w:highlight w:val="none"/>
                    </w:rPr>
                  </w:pPr>
                </w:p>
              </w:tc>
              <w:tc>
                <w:tcPr>
                  <w:tcW w:w="1728" w:type="dxa"/>
                  <w:vAlign w:val="center"/>
                </w:tcPr>
                <w:p w14:paraId="71E3AEB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Cs/>
                      <w:snapToGrid w:val="0"/>
                      <w:color w:val="auto"/>
                      <w:kern w:val="0"/>
                      <w:szCs w:val="21"/>
                      <w:highlight w:val="none"/>
                      <w:lang w:val="en-US" w:eastAsia="zh-CN"/>
                    </w:rPr>
                  </w:pPr>
                  <w:r>
                    <w:rPr>
                      <w:rFonts w:hint="eastAsia" w:cs="Times New Roman"/>
                      <w:color w:val="auto"/>
                      <w:sz w:val="21"/>
                      <w:szCs w:val="21"/>
                      <w:highlight w:val="none"/>
                      <w:lang w:eastAsia="zh-CN"/>
                    </w:rPr>
                    <w:t>烘干废气</w:t>
                  </w:r>
                </w:p>
              </w:tc>
              <w:tc>
                <w:tcPr>
                  <w:tcW w:w="1196" w:type="dxa"/>
                  <w:vAlign w:val="center"/>
                </w:tcPr>
                <w:p w14:paraId="62712E1A">
                  <w:pPr>
                    <w:jc w:val="center"/>
                    <w:rPr>
                      <w:rFonts w:hint="default" w:ascii="Times New Roman" w:hAnsi="Times New Roman" w:eastAsia="宋体" w:cs="Times New Roman"/>
                      <w:bCs/>
                      <w:snapToGrid w:val="0"/>
                      <w:color w:val="auto"/>
                      <w:kern w:val="0"/>
                      <w:szCs w:val="21"/>
                      <w:highlight w:val="none"/>
                      <w:lang w:val="en-US" w:eastAsia="zh-CN"/>
                    </w:rPr>
                  </w:pPr>
                  <w:r>
                    <w:rPr>
                      <w:rFonts w:hint="eastAsia" w:cs="Times New Roman"/>
                      <w:color w:val="auto"/>
                      <w:sz w:val="21"/>
                      <w:szCs w:val="21"/>
                      <w:highlight w:val="none"/>
                      <w:lang w:eastAsia="zh-CN"/>
                    </w:rPr>
                    <w:t>有组织</w:t>
                  </w:r>
                </w:p>
              </w:tc>
              <w:tc>
                <w:tcPr>
                  <w:tcW w:w="1890" w:type="dxa"/>
                  <w:vAlign w:val="center"/>
                </w:tcPr>
                <w:p w14:paraId="15E7C51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Cs/>
                      <w:snapToGrid w:val="0"/>
                      <w:color w:val="auto"/>
                      <w:kern w:val="0"/>
                      <w:szCs w:val="21"/>
                      <w:highlight w:val="none"/>
                    </w:rPr>
                  </w:pPr>
                  <w:r>
                    <w:rPr>
                      <w:rFonts w:hint="eastAsia" w:cs="Times New Roman"/>
                      <w:color w:val="auto"/>
                      <w:sz w:val="21"/>
                      <w:szCs w:val="21"/>
                      <w:highlight w:val="none"/>
                      <w:lang w:val="en-US" w:eastAsia="zh-CN"/>
                    </w:rPr>
                    <w:t>DA005</w:t>
                  </w:r>
                </w:p>
              </w:tc>
              <w:tc>
                <w:tcPr>
                  <w:tcW w:w="2156" w:type="dxa"/>
                  <w:vAlign w:val="center"/>
                </w:tcPr>
                <w:p w14:paraId="62961EE8">
                  <w:pPr>
                    <w:jc w:val="center"/>
                    <w:rPr>
                      <w:rFonts w:hint="eastAsia"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r>
                    <w:rPr>
                      <w:rFonts w:hint="eastAsia" w:cs="Times New Roman"/>
                      <w:bCs/>
                      <w:color w:val="auto"/>
                      <w:szCs w:val="21"/>
                      <w:highlight w:val="none"/>
                      <w:lang w:val="en-US" w:eastAsia="zh-CN"/>
                    </w:rPr>
                    <w:t>二氧化硫、氮氧化物</w:t>
                  </w:r>
                  <w:r>
                    <w:rPr>
                      <w:rFonts w:hint="default" w:ascii="Times New Roman" w:hAnsi="Times New Roman" w:eastAsia="宋体" w:cs="Times New Roman"/>
                      <w:bCs/>
                      <w:color w:val="auto"/>
                      <w:szCs w:val="21"/>
                      <w:highlight w:val="none"/>
                      <w:lang w:val="en-US" w:eastAsia="zh-CN"/>
                    </w:rPr>
                    <w:t>、</w:t>
                  </w:r>
                  <w:r>
                    <w:rPr>
                      <w:rFonts w:hint="eastAsia"/>
                      <w:color w:val="auto"/>
                      <w:szCs w:val="21"/>
                    </w:rPr>
                    <w:t>N</w:t>
                  </w:r>
                  <w:r>
                    <w:rPr>
                      <w:color w:val="auto"/>
                      <w:szCs w:val="21"/>
                    </w:rPr>
                    <w:t>H</w:t>
                  </w:r>
                  <w:r>
                    <w:rPr>
                      <w:color w:val="auto"/>
                      <w:szCs w:val="21"/>
                      <w:vertAlign w:val="subscript"/>
                    </w:rPr>
                    <w:t>3</w:t>
                  </w:r>
                  <w:r>
                    <w:rPr>
                      <w:rFonts w:hint="eastAsia"/>
                      <w:color w:val="auto"/>
                      <w:szCs w:val="21"/>
                      <w:lang w:eastAsia="zh-CN"/>
                    </w:rPr>
                    <w:t>；挥发酚（作为验收监测要求）</w:t>
                  </w:r>
                </w:p>
              </w:tc>
              <w:tc>
                <w:tcPr>
                  <w:tcW w:w="1065" w:type="dxa"/>
                  <w:vAlign w:val="center"/>
                </w:tcPr>
                <w:p w14:paraId="3C463DF3">
                  <w:pPr>
                    <w:jc w:val="center"/>
                    <w:rPr>
                      <w:rFonts w:hint="eastAsia" w:ascii="Times New Roman" w:hAnsi="Times New Roman" w:eastAsia="宋体" w:cs="Times New Roman"/>
                      <w:color w:val="auto"/>
                      <w:szCs w:val="21"/>
                      <w:highlight w:val="none"/>
                      <w:lang w:eastAsia="zh-CN" w:bidi="ar"/>
                    </w:rPr>
                  </w:pPr>
                  <w:r>
                    <w:rPr>
                      <w:rFonts w:hint="eastAsia" w:cs="Times New Roman"/>
                      <w:color w:val="auto"/>
                      <w:szCs w:val="21"/>
                      <w:highlight w:val="none"/>
                      <w:lang w:eastAsia="zh-CN" w:bidi="ar"/>
                    </w:rPr>
                    <w:t>在线监测</w:t>
                  </w:r>
                </w:p>
              </w:tc>
            </w:tr>
            <w:tr w14:paraId="1B0C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65AB4BDE">
                  <w:pPr>
                    <w:jc w:val="center"/>
                    <w:rPr>
                      <w:rFonts w:hint="default" w:ascii="Times New Roman" w:hAnsi="Times New Roman" w:eastAsia="宋体" w:cs="Times New Roman"/>
                      <w:bCs/>
                      <w:color w:val="auto"/>
                      <w:szCs w:val="21"/>
                      <w:highlight w:val="none"/>
                    </w:rPr>
                  </w:pPr>
                </w:p>
              </w:tc>
              <w:tc>
                <w:tcPr>
                  <w:tcW w:w="1728" w:type="dxa"/>
                  <w:vAlign w:val="center"/>
                </w:tcPr>
                <w:p w14:paraId="57E7CBAD">
                  <w:pPr>
                    <w:adjustRightInd w:val="0"/>
                    <w:snapToGrid w:val="0"/>
                    <w:jc w:val="center"/>
                    <w:textAlignment w:val="baseline"/>
                    <w:rPr>
                      <w:rFonts w:hint="default" w:ascii="Times New Roman" w:hAnsi="Times New Roman" w:eastAsia="宋体" w:cs="Times New Roman"/>
                      <w:bCs/>
                      <w:snapToGrid w:val="0"/>
                      <w:color w:val="auto"/>
                      <w:kern w:val="0"/>
                      <w:szCs w:val="21"/>
                      <w:highlight w:val="none"/>
                      <w:lang w:val="en-US" w:eastAsia="zh-CN"/>
                    </w:rPr>
                  </w:pPr>
                  <w:r>
                    <w:rPr>
                      <w:rFonts w:hint="eastAsia"/>
                      <w:color w:val="auto"/>
                      <w:szCs w:val="21"/>
                      <w:lang w:val="en-US" w:eastAsia="zh-CN"/>
                    </w:rPr>
                    <w:t>1#燃料仓粉尘</w:t>
                  </w:r>
                </w:p>
              </w:tc>
              <w:tc>
                <w:tcPr>
                  <w:tcW w:w="1196" w:type="dxa"/>
                  <w:vAlign w:val="center"/>
                </w:tcPr>
                <w:p w14:paraId="09F4F29B">
                  <w:pPr>
                    <w:jc w:val="center"/>
                    <w:rPr>
                      <w:rFonts w:hint="default" w:ascii="Times New Roman" w:hAnsi="Times New Roman" w:eastAsia="宋体" w:cs="Times New Roman"/>
                      <w:bCs/>
                      <w:snapToGrid w:val="0"/>
                      <w:color w:val="auto"/>
                      <w:kern w:val="0"/>
                      <w:szCs w:val="21"/>
                      <w:highlight w:val="none"/>
                      <w:lang w:val="en-US" w:eastAsia="zh-CN"/>
                    </w:rPr>
                  </w:pPr>
                  <w:r>
                    <w:rPr>
                      <w:rFonts w:hint="eastAsia" w:cs="Times New Roman"/>
                      <w:color w:val="auto"/>
                      <w:sz w:val="21"/>
                      <w:szCs w:val="21"/>
                      <w:highlight w:val="none"/>
                      <w:lang w:eastAsia="zh-CN"/>
                    </w:rPr>
                    <w:t>有组织</w:t>
                  </w:r>
                </w:p>
              </w:tc>
              <w:tc>
                <w:tcPr>
                  <w:tcW w:w="1890" w:type="dxa"/>
                  <w:vAlign w:val="center"/>
                </w:tcPr>
                <w:p w14:paraId="46CC0A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6</w:t>
                  </w:r>
                </w:p>
              </w:tc>
              <w:tc>
                <w:tcPr>
                  <w:tcW w:w="2156" w:type="dxa"/>
                  <w:vAlign w:val="center"/>
                </w:tcPr>
                <w:p w14:paraId="6F35E765">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158B6CA5">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r>
            <w:tr w14:paraId="5C15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549F30E8">
                  <w:pPr>
                    <w:jc w:val="center"/>
                    <w:rPr>
                      <w:rFonts w:hint="default" w:ascii="Times New Roman" w:hAnsi="Times New Roman" w:eastAsia="宋体" w:cs="Times New Roman"/>
                      <w:bCs/>
                      <w:color w:val="auto"/>
                      <w:szCs w:val="21"/>
                      <w:highlight w:val="none"/>
                    </w:rPr>
                  </w:pPr>
                </w:p>
              </w:tc>
              <w:tc>
                <w:tcPr>
                  <w:tcW w:w="1728" w:type="dxa"/>
                  <w:vAlign w:val="center"/>
                </w:tcPr>
                <w:p w14:paraId="03867808">
                  <w:pPr>
                    <w:adjustRightInd w:val="0"/>
                    <w:snapToGrid w:val="0"/>
                    <w:jc w:val="center"/>
                    <w:textAlignment w:val="baseline"/>
                    <w:rPr>
                      <w:rFonts w:hint="default" w:ascii="Times New Roman" w:hAnsi="Times New Roman" w:eastAsia="宋体" w:cs="Times New Roman"/>
                      <w:bCs/>
                      <w:snapToGrid w:val="0"/>
                      <w:color w:val="auto"/>
                      <w:kern w:val="0"/>
                      <w:szCs w:val="21"/>
                      <w:highlight w:val="none"/>
                      <w:lang w:val="en-US" w:eastAsia="zh-CN"/>
                    </w:rPr>
                  </w:pPr>
                  <w:r>
                    <w:rPr>
                      <w:rFonts w:hint="eastAsia"/>
                      <w:color w:val="auto"/>
                      <w:szCs w:val="21"/>
                      <w:lang w:val="en-US" w:eastAsia="zh-CN"/>
                    </w:rPr>
                    <w:t>2#燃料仓粉尘</w:t>
                  </w:r>
                </w:p>
              </w:tc>
              <w:tc>
                <w:tcPr>
                  <w:tcW w:w="1196" w:type="dxa"/>
                  <w:vAlign w:val="center"/>
                </w:tcPr>
                <w:p w14:paraId="68447B1F">
                  <w:pPr>
                    <w:jc w:val="center"/>
                    <w:rPr>
                      <w:rFonts w:hint="default" w:ascii="Times New Roman" w:hAnsi="Times New Roman" w:eastAsia="宋体" w:cs="Times New Roman"/>
                      <w:bCs/>
                      <w:snapToGrid w:val="0"/>
                      <w:color w:val="auto"/>
                      <w:kern w:val="0"/>
                      <w:szCs w:val="21"/>
                      <w:highlight w:val="none"/>
                      <w:lang w:val="en-US" w:eastAsia="zh-CN"/>
                    </w:rPr>
                  </w:pPr>
                  <w:r>
                    <w:rPr>
                      <w:rFonts w:hint="eastAsia" w:cs="Times New Roman"/>
                      <w:color w:val="auto"/>
                      <w:sz w:val="21"/>
                      <w:szCs w:val="21"/>
                      <w:highlight w:val="none"/>
                      <w:lang w:eastAsia="zh-CN"/>
                    </w:rPr>
                    <w:t>有组织</w:t>
                  </w:r>
                </w:p>
              </w:tc>
              <w:tc>
                <w:tcPr>
                  <w:tcW w:w="1890" w:type="dxa"/>
                  <w:vAlign w:val="center"/>
                </w:tcPr>
                <w:p w14:paraId="5F23DC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7</w:t>
                  </w:r>
                </w:p>
              </w:tc>
              <w:tc>
                <w:tcPr>
                  <w:tcW w:w="2156" w:type="dxa"/>
                  <w:vAlign w:val="center"/>
                </w:tcPr>
                <w:p w14:paraId="710CD363">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497A8C33">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r>
            <w:tr w14:paraId="0035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07CF2E7A">
                  <w:pPr>
                    <w:jc w:val="center"/>
                    <w:rPr>
                      <w:rFonts w:hint="default" w:ascii="Times New Roman" w:hAnsi="Times New Roman" w:eastAsia="宋体" w:cs="Times New Roman"/>
                      <w:bCs/>
                      <w:color w:val="auto"/>
                      <w:szCs w:val="21"/>
                      <w:highlight w:val="none"/>
                    </w:rPr>
                  </w:pPr>
                </w:p>
              </w:tc>
              <w:tc>
                <w:tcPr>
                  <w:tcW w:w="1728" w:type="dxa"/>
                  <w:vAlign w:val="center"/>
                </w:tcPr>
                <w:p w14:paraId="0814C9BB">
                  <w:pPr>
                    <w:adjustRightInd w:val="0"/>
                    <w:snapToGrid w:val="0"/>
                    <w:jc w:val="center"/>
                    <w:textAlignment w:val="baseline"/>
                    <w:rPr>
                      <w:rFonts w:hint="default" w:ascii="Times New Roman" w:hAnsi="Times New Roman" w:eastAsia="宋体" w:cs="Times New Roman"/>
                      <w:bCs/>
                      <w:snapToGrid w:val="0"/>
                      <w:color w:val="auto"/>
                      <w:kern w:val="0"/>
                      <w:szCs w:val="21"/>
                      <w:highlight w:val="none"/>
                      <w:lang w:val="en-US" w:eastAsia="zh-CN"/>
                    </w:rPr>
                  </w:pPr>
                  <w:r>
                    <w:rPr>
                      <w:rFonts w:hint="eastAsia"/>
                      <w:color w:val="auto"/>
                      <w:szCs w:val="21"/>
                      <w:lang w:val="en-US" w:eastAsia="zh-CN"/>
                    </w:rPr>
                    <w:t>1#煤粉仓粉尘</w:t>
                  </w:r>
                </w:p>
              </w:tc>
              <w:tc>
                <w:tcPr>
                  <w:tcW w:w="1196" w:type="dxa"/>
                  <w:vAlign w:val="center"/>
                </w:tcPr>
                <w:p w14:paraId="0D3D1260">
                  <w:pPr>
                    <w:jc w:val="center"/>
                    <w:rPr>
                      <w:rFonts w:hint="default" w:ascii="Times New Roman" w:hAnsi="Times New Roman" w:eastAsia="宋体" w:cs="Times New Roman"/>
                      <w:bCs/>
                      <w:snapToGrid w:val="0"/>
                      <w:color w:val="auto"/>
                      <w:kern w:val="0"/>
                      <w:szCs w:val="21"/>
                      <w:highlight w:val="none"/>
                      <w:lang w:val="en-US" w:eastAsia="zh-CN"/>
                    </w:rPr>
                  </w:pPr>
                  <w:r>
                    <w:rPr>
                      <w:rFonts w:hint="eastAsia" w:cs="Times New Roman"/>
                      <w:color w:val="auto"/>
                      <w:sz w:val="21"/>
                      <w:szCs w:val="21"/>
                      <w:highlight w:val="none"/>
                      <w:lang w:eastAsia="zh-CN"/>
                    </w:rPr>
                    <w:t>有组织</w:t>
                  </w:r>
                </w:p>
              </w:tc>
              <w:tc>
                <w:tcPr>
                  <w:tcW w:w="1890" w:type="dxa"/>
                  <w:vAlign w:val="center"/>
                </w:tcPr>
                <w:p w14:paraId="1ADFAE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8</w:t>
                  </w:r>
                </w:p>
              </w:tc>
              <w:tc>
                <w:tcPr>
                  <w:tcW w:w="2156" w:type="dxa"/>
                  <w:vAlign w:val="center"/>
                </w:tcPr>
                <w:p w14:paraId="46B6CFD6">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047B3A1F">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r>
            <w:tr w14:paraId="105F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65EC3787">
                  <w:pPr>
                    <w:jc w:val="center"/>
                    <w:rPr>
                      <w:rFonts w:hint="default" w:ascii="Times New Roman" w:hAnsi="Times New Roman" w:eastAsia="宋体" w:cs="Times New Roman"/>
                      <w:bCs/>
                      <w:color w:val="auto"/>
                      <w:szCs w:val="21"/>
                      <w:highlight w:val="none"/>
                    </w:rPr>
                  </w:pPr>
                </w:p>
              </w:tc>
              <w:tc>
                <w:tcPr>
                  <w:tcW w:w="1728" w:type="dxa"/>
                  <w:vAlign w:val="center"/>
                </w:tcPr>
                <w:p w14:paraId="76A32DCF">
                  <w:pPr>
                    <w:adjustRightInd w:val="0"/>
                    <w:snapToGrid w:val="0"/>
                    <w:jc w:val="center"/>
                    <w:textAlignment w:val="baseline"/>
                    <w:rPr>
                      <w:rFonts w:hint="eastAsia" w:cs="Times New Roman"/>
                      <w:color w:val="auto"/>
                      <w:kern w:val="2"/>
                      <w:sz w:val="21"/>
                      <w:szCs w:val="21"/>
                      <w:lang w:val="en-US" w:eastAsia="zh-CN" w:bidi="ar-SA"/>
                    </w:rPr>
                  </w:pPr>
                  <w:r>
                    <w:rPr>
                      <w:rFonts w:hint="eastAsia"/>
                      <w:color w:val="auto"/>
                      <w:szCs w:val="21"/>
                      <w:lang w:val="en-US" w:eastAsia="zh-CN"/>
                    </w:rPr>
                    <w:t>2#煤粉仓粉尘</w:t>
                  </w:r>
                </w:p>
              </w:tc>
              <w:tc>
                <w:tcPr>
                  <w:tcW w:w="1196" w:type="dxa"/>
                  <w:vAlign w:val="center"/>
                </w:tcPr>
                <w:p w14:paraId="5D4B00B1">
                  <w:pPr>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p>
              </w:tc>
              <w:tc>
                <w:tcPr>
                  <w:tcW w:w="1890" w:type="dxa"/>
                  <w:vAlign w:val="center"/>
                </w:tcPr>
                <w:p w14:paraId="2330E5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9</w:t>
                  </w:r>
                </w:p>
              </w:tc>
              <w:tc>
                <w:tcPr>
                  <w:tcW w:w="2156" w:type="dxa"/>
                  <w:vAlign w:val="center"/>
                </w:tcPr>
                <w:p w14:paraId="5030D638">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74C7BD57">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r>
            <w:tr w14:paraId="6571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215819B4">
                  <w:pPr>
                    <w:jc w:val="center"/>
                    <w:rPr>
                      <w:rFonts w:hint="default" w:ascii="Times New Roman" w:hAnsi="Times New Roman" w:eastAsia="宋体" w:cs="Times New Roman"/>
                      <w:bCs/>
                      <w:color w:val="auto"/>
                      <w:szCs w:val="21"/>
                      <w:highlight w:val="none"/>
                    </w:rPr>
                  </w:pPr>
                </w:p>
              </w:tc>
              <w:tc>
                <w:tcPr>
                  <w:tcW w:w="1728" w:type="dxa"/>
                  <w:vAlign w:val="center"/>
                </w:tcPr>
                <w:p w14:paraId="11561249">
                  <w:pPr>
                    <w:adjustRightInd w:val="0"/>
                    <w:snapToGrid w:val="0"/>
                    <w:jc w:val="center"/>
                    <w:textAlignment w:val="baseline"/>
                    <w:rPr>
                      <w:rFonts w:hint="eastAsia" w:cs="Times New Roman"/>
                      <w:color w:val="auto"/>
                      <w:kern w:val="2"/>
                      <w:sz w:val="21"/>
                      <w:szCs w:val="21"/>
                      <w:lang w:val="en-US" w:eastAsia="zh-CN" w:bidi="ar-SA"/>
                    </w:rPr>
                  </w:pPr>
                  <w:r>
                    <w:rPr>
                      <w:rFonts w:hint="eastAsia"/>
                      <w:color w:val="auto"/>
                      <w:szCs w:val="21"/>
                      <w:lang w:val="en-US" w:eastAsia="zh-CN"/>
                    </w:rPr>
                    <w:t>3#煤粉仓粉尘</w:t>
                  </w:r>
                </w:p>
              </w:tc>
              <w:tc>
                <w:tcPr>
                  <w:tcW w:w="1196" w:type="dxa"/>
                  <w:vAlign w:val="center"/>
                </w:tcPr>
                <w:p w14:paraId="17CEA32C">
                  <w:pPr>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p>
              </w:tc>
              <w:tc>
                <w:tcPr>
                  <w:tcW w:w="1890" w:type="dxa"/>
                  <w:vAlign w:val="center"/>
                </w:tcPr>
                <w:p w14:paraId="496A30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10</w:t>
                  </w:r>
                </w:p>
              </w:tc>
              <w:tc>
                <w:tcPr>
                  <w:tcW w:w="2156" w:type="dxa"/>
                  <w:vAlign w:val="center"/>
                </w:tcPr>
                <w:p w14:paraId="1C75AD58">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62978650">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r>
            <w:tr w14:paraId="4D15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15DC29D1">
                  <w:pPr>
                    <w:jc w:val="center"/>
                    <w:rPr>
                      <w:rFonts w:hint="default" w:ascii="Times New Roman" w:hAnsi="Times New Roman" w:eastAsia="宋体" w:cs="Times New Roman"/>
                      <w:bCs/>
                      <w:color w:val="auto"/>
                      <w:szCs w:val="21"/>
                      <w:highlight w:val="none"/>
                    </w:rPr>
                  </w:pPr>
                </w:p>
              </w:tc>
              <w:tc>
                <w:tcPr>
                  <w:tcW w:w="1728" w:type="dxa"/>
                  <w:vAlign w:val="center"/>
                </w:tcPr>
                <w:p w14:paraId="3656F8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color w:val="auto"/>
                      <w:kern w:val="2"/>
                      <w:sz w:val="21"/>
                      <w:szCs w:val="21"/>
                      <w:lang w:val="en-US" w:eastAsia="zh-CN" w:bidi="ar-SA"/>
                    </w:rPr>
                  </w:pPr>
                  <w:r>
                    <w:rPr>
                      <w:rFonts w:hint="eastAsia"/>
                      <w:b w:val="0"/>
                      <w:bCs w:val="0"/>
                      <w:color w:val="auto"/>
                      <w:sz w:val="21"/>
                      <w:szCs w:val="21"/>
                      <w:lang w:val="en-US" w:eastAsia="zh-CN"/>
                    </w:rPr>
                    <w:t>出烘干机皮带转运站落料粉尘</w:t>
                  </w:r>
                </w:p>
              </w:tc>
              <w:tc>
                <w:tcPr>
                  <w:tcW w:w="1196" w:type="dxa"/>
                  <w:vAlign w:val="center"/>
                </w:tcPr>
                <w:p w14:paraId="0918AF3E">
                  <w:pPr>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p>
              </w:tc>
              <w:tc>
                <w:tcPr>
                  <w:tcW w:w="1890" w:type="dxa"/>
                  <w:vAlign w:val="center"/>
                </w:tcPr>
                <w:p w14:paraId="535F20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11</w:t>
                  </w:r>
                </w:p>
              </w:tc>
              <w:tc>
                <w:tcPr>
                  <w:tcW w:w="2156" w:type="dxa"/>
                  <w:vAlign w:val="center"/>
                </w:tcPr>
                <w:p w14:paraId="37D947B2">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6F82BB22">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r>
            <w:tr w14:paraId="1069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213B61CB">
                  <w:pPr>
                    <w:jc w:val="center"/>
                    <w:rPr>
                      <w:rFonts w:hint="default" w:ascii="Times New Roman" w:hAnsi="Times New Roman" w:eastAsia="宋体" w:cs="Times New Roman"/>
                      <w:bCs/>
                      <w:color w:val="auto"/>
                      <w:szCs w:val="21"/>
                      <w:highlight w:val="none"/>
                    </w:rPr>
                  </w:pPr>
                </w:p>
              </w:tc>
              <w:tc>
                <w:tcPr>
                  <w:tcW w:w="1728" w:type="dxa"/>
                  <w:vAlign w:val="center"/>
                </w:tcPr>
                <w:p w14:paraId="0E967F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color w:val="auto"/>
                      <w:kern w:val="2"/>
                      <w:sz w:val="21"/>
                      <w:szCs w:val="21"/>
                      <w:lang w:val="en-US" w:eastAsia="zh-CN" w:bidi="ar-SA"/>
                    </w:rPr>
                  </w:pPr>
                  <w:r>
                    <w:rPr>
                      <w:rFonts w:hint="eastAsia"/>
                      <w:b w:val="0"/>
                      <w:bCs w:val="0"/>
                      <w:color w:val="auto"/>
                      <w:sz w:val="21"/>
                      <w:szCs w:val="21"/>
                      <w:lang w:val="en-US" w:eastAsia="zh-CN"/>
                    </w:rPr>
                    <w:t>进成品堆棚转运站落料粉尘</w:t>
                  </w:r>
                </w:p>
              </w:tc>
              <w:tc>
                <w:tcPr>
                  <w:tcW w:w="1196" w:type="dxa"/>
                  <w:vAlign w:val="center"/>
                </w:tcPr>
                <w:p w14:paraId="13D672EA">
                  <w:pPr>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p>
              </w:tc>
              <w:tc>
                <w:tcPr>
                  <w:tcW w:w="1890" w:type="dxa"/>
                  <w:vAlign w:val="center"/>
                </w:tcPr>
                <w:p w14:paraId="1D55B3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12</w:t>
                  </w:r>
                </w:p>
              </w:tc>
              <w:tc>
                <w:tcPr>
                  <w:tcW w:w="2156" w:type="dxa"/>
                  <w:vAlign w:val="center"/>
                </w:tcPr>
                <w:p w14:paraId="35B10F65">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52EAF213">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r>
            <w:tr w14:paraId="6FA6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1AA24BEA">
                  <w:pPr>
                    <w:jc w:val="center"/>
                    <w:rPr>
                      <w:rFonts w:hint="default" w:ascii="Times New Roman" w:hAnsi="Times New Roman" w:eastAsia="宋体" w:cs="Times New Roman"/>
                      <w:bCs/>
                      <w:color w:val="auto"/>
                      <w:szCs w:val="21"/>
                      <w:highlight w:val="none"/>
                    </w:rPr>
                  </w:pPr>
                </w:p>
              </w:tc>
              <w:tc>
                <w:tcPr>
                  <w:tcW w:w="1728" w:type="dxa"/>
                  <w:vAlign w:val="center"/>
                </w:tcPr>
                <w:p w14:paraId="025F27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color w:val="auto"/>
                      <w:kern w:val="2"/>
                      <w:sz w:val="21"/>
                      <w:szCs w:val="21"/>
                      <w:lang w:val="en-US" w:eastAsia="zh-CN" w:bidi="ar-SA"/>
                    </w:rPr>
                  </w:pPr>
                  <w:r>
                    <w:rPr>
                      <w:rFonts w:hint="eastAsia"/>
                      <w:b w:val="0"/>
                      <w:bCs w:val="0"/>
                      <w:color w:val="auto"/>
                      <w:sz w:val="21"/>
                      <w:szCs w:val="21"/>
                      <w:lang w:val="en-US" w:eastAsia="zh-CN"/>
                    </w:rPr>
                    <w:t>出成品堆棚皮带转运站落料粉尘</w:t>
                  </w:r>
                </w:p>
              </w:tc>
              <w:tc>
                <w:tcPr>
                  <w:tcW w:w="1196" w:type="dxa"/>
                  <w:vAlign w:val="center"/>
                </w:tcPr>
                <w:p w14:paraId="43445330">
                  <w:pPr>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p>
              </w:tc>
              <w:tc>
                <w:tcPr>
                  <w:tcW w:w="1890" w:type="dxa"/>
                  <w:vAlign w:val="center"/>
                </w:tcPr>
                <w:p w14:paraId="66B327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13</w:t>
                  </w:r>
                </w:p>
              </w:tc>
              <w:tc>
                <w:tcPr>
                  <w:tcW w:w="2156" w:type="dxa"/>
                  <w:vAlign w:val="center"/>
                </w:tcPr>
                <w:p w14:paraId="311362CB">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17267D39">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r>
            <w:tr w14:paraId="6688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5BC638B3">
                  <w:pPr>
                    <w:jc w:val="center"/>
                    <w:rPr>
                      <w:rFonts w:hint="default" w:ascii="Times New Roman" w:hAnsi="Times New Roman" w:eastAsia="宋体" w:cs="Times New Roman"/>
                      <w:bCs/>
                      <w:color w:val="auto"/>
                      <w:szCs w:val="21"/>
                      <w:highlight w:val="none"/>
                    </w:rPr>
                  </w:pPr>
                </w:p>
              </w:tc>
              <w:tc>
                <w:tcPr>
                  <w:tcW w:w="1728" w:type="dxa"/>
                  <w:vAlign w:val="center"/>
                </w:tcPr>
                <w:p w14:paraId="04A430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color w:val="auto"/>
                      <w:kern w:val="2"/>
                      <w:sz w:val="21"/>
                      <w:szCs w:val="21"/>
                      <w:lang w:val="en-US" w:eastAsia="zh-CN" w:bidi="ar-SA"/>
                    </w:rPr>
                  </w:pPr>
                  <w:r>
                    <w:rPr>
                      <w:rFonts w:hint="eastAsia"/>
                      <w:b w:val="0"/>
                      <w:bCs w:val="0"/>
                      <w:color w:val="auto"/>
                      <w:sz w:val="21"/>
                      <w:szCs w:val="21"/>
                      <w:lang w:val="en-US" w:eastAsia="zh-CN"/>
                    </w:rPr>
                    <w:t>成品装车车间皮带转运站落料粉尘</w:t>
                  </w:r>
                </w:p>
              </w:tc>
              <w:tc>
                <w:tcPr>
                  <w:tcW w:w="1196" w:type="dxa"/>
                  <w:vAlign w:val="center"/>
                </w:tcPr>
                <w:p w14:paraId="035C5E16">
                  <w:pPr>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p>
              </w:tc>
              <w:tc>
                <w:tcPr>
                  <w:tcW w:w="1890" w:type="dxa"/>
                  <w:vAlign w:val="center"/>
                </w:tcPr>
                <w:p w14:paraId="0282182C">
                  <w:pPr>
                    <w:keepNext w:val="0"/>
                    <w:keepLines w:val="0"/>
                    <w:widowControl/>
                    <w:suppressLineNumbers w:val="0"/>
                    <w:jc w:val="center"/>
                    <w:textAlignment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DA014</w:t>
                  </w:r>
                </w:p>
              </w:tc>
              <w:tc>
                <w:tcPr>
                  <w:tcW w:w="2156" w:type="dxa"/>
                  <w:vAlign w:val="center"/>
                </w:tcPr>
                <w:p w14:paraId="563C47AD">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0190098A">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r>
            <w:tr w14:paraId="2EC9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2FDB4CE7">
                  <w:pPr>
                    <w:jc w:val="center"/>
                    <w:rPr>
                      <w:rFonts w:hint="default" w:ascii="Times New Roman" w:hAnsi="Times New Roman" w:eastAsia="宋体" w:cs="Times New Roman"/>
                      <w:bCs/>
                      <w:color w:val="auto"/>
                      <w:szCs w:val="21"/>
                      <w:highlight w:val="none"/>
                    </w:rPr>
                  </w:pPr>
                </w:p>
              </w:tc>
              <w:tc>
                <w:tcPr>
                  <w:tcW w:w="1728" w:type="dxa"/>
                  <w:vAlign w:val="center"/>
                </w:tcPr>
                <w:p w14:paraId="4B5BBC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color w:val="auto"/>
                      <w:kern w:val="2"/>
                      <w:sz w:val="21"/>
                      <w:szCs w:val="21"/>
                      <w:lang w:val="en-US" w:eastAsia="zh-CN" w:bidi="ar-SA"/>
                    </w:rPr>
                  </w:pPr>
                  <w:r>
                    <w:rPr>
                      <w:rFonts w:hint="eastAsia"/>
                      <w:b w:val="0"/>
                      <w:bCs w:val="0"/>
                      <w:color w:val="auto"/>
                      <w:sz w:val="21"/>
                      <w:szCs w:val="21"/>
                      <w:lang w:val="en-US" w:eastAsia="zh-CN"/>
                    </w:rPr>
                    <w:t>1#块煤散装粉尘</w:t>
                  </w:r>
                </w:p>
              </w:tc>
              <w:tc>
                <w:tcPr>
                  <w:tcW w:w="1196" w:type="dxa"/>
                  <w:vAlign w:val="center"/>
                </w:tcPr>
                <w:p w14:paraId="702D65CA">
                  <w:pPr>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p>
              </w:tc>
              <w:tc>
                <w:tcPr>
                  <w:tcW w:w="1890" w:type="dxa"/>
                  <w:vAlign w:val="center"/>
                </w:tcPr>
                <w:p w14:paraId="041BB9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5</w:t>
                  </w:r>
                </w:p>
              </w:tc>
              <w:tc>
                <w:tcPr>
                  <w:tcW w:w="2156" w:type="dxa"/>
                  <w:vAlign w:val="center"/>
                </w:tcPr>
                <w:p w14:paraId="0994DCDD">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2860650A">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r>
            <w:tr w14:paraId="7C85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3E1FC6AD">
                  <w:pPr>
                    <w:jc w:val="center"/>
                    <w:rPr>
                      <w:rFonts w:hint="default" w:ascii="Times New Roman" w:hAnsi="Times New Roman" w:eastAsia="宋体" w:cs="Times New Roman"/>
                      <w:bCs/>
                      <w:color w:val="auto"/>
                      <w:szCs w:val="21"/>
                      <w:highlight w:val="none"/>
                    </w:rPr>
                  </w:pPr>
                </w:p>
              </w:tc>
              <w:tc>
                <w:tcPr>
                  <w:tcW w:w="1728" w:type="dxa"/>
                  <w:vAlign w:val="center"/>
                </w:tcPr>
                <w:p w14:paraId="239CE3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color w:val="auto"/>
                      <w:kern w:val="2"/>
                      <w:sz w:val="21"/>
                      <w:szCs w:val="21"/>
                      <w:lang w:val="en-US" w:eastAsia="zh-CN" w:bidi="ar-SA"/>
                    </w:rPr>
                  </w:pPr>
                  <w:r>
                    <w:rPr>
                      <w:rFonts w:hint="eastAsia"/>
                      <w:b w:val="0"/>
                      <w:bCs w:val="0"/>
                      <w:color w:val="auto"/>
                      <w:sz w:val="21"/>
                      <w:szCs w:val="21"/>
                      <w:lang w:val="en-US" w:eastAsia="zh-CN"/>
                    </w:rPr>
                    <w:t>2#块煤散装粉尘</w:t>
                  </w:r>
                </w:p>
              </w:tc>
              <w:tc>
                <w:tcPr>
                  <w:tcW w:w="1196" w:type="dxa"/>
                  <w:vAlign w:val="center"/>
                </w:tcPr>
                <w:p w14:paraId="7CC35B76">
                  <w:pPr>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p>
              </w:tc>
              <w:tc>
                <w:tcPr>
                  <w:tcW w:w="1890" w:type="dxa"/>
                  <w:vAlign w:val="center"/>
                </w:tcPr>
                <w:p w14:paraId="43EE95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6</w:t>
                  </w:r>
                </w:p>
              </w:tc>
              <w:tc>
                <w:tcPr>
                  <w:tcW w:w="2156" w:type="dxa"/>
                  <w:vAlign w:val="center"/>
                </w:tcPr>
                <w:p w14:paraId="4DBD8E62">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5672D7FC">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r>
            <w:tr w14:paraId="5E27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4BAC5022">
                  <w:pPr>
                    <w:jc w:val="center"/>
                    <w:rPr>
                      <w:rFonts w:hint="default" w:ascii="Times New Roman" w:hAnsi="Times New Roman" w:eastAsia="宋体" w:cs="Times New Roman"/>
                      <w:bCs/>
                      <w:color w:val="auto"/>
                      <w:szCs w:val="21"/>
                      <w:highlight w:val="none"/>
                    </w:rPr>
                  </w:pPr>
                </w:p>
              </w:tc>
              <w:tc>
                <w:tcPr>
                  <w:tcW w:w="1728" w:type="dxa"/>
                  <w:vAlign w:val="center"/>
                </w:tcPr>
                <w:p w14:paraId="1A3764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color w:val="auto"/>
                      <w:kern w:val="2"/>
                      <w:sz w:val="21"/>
                      <w:szCs w:val="21"/>
                      <w:lang w:val="en-US" w:eastAsia="zh-CN" w:bidi="ar-SA"/>
                    </w:rPr>
                  </w:pPr>
                  <w:r>
                    <w:rPr>
                      <w:rFonts w:hint="eastAsia"/>
                      <w:b w:val="0"/>
                      <w:bCs w:val="0"/>
                      <w:color w:val="auto"/>
                      <w:sz w:val="21"/>
                      <w:szCs w:val="21"/>
                      <w:lang w:val="en-US" w:eastAsia="zh-CN"/>
                    </w:rPr>
                    <w:t>1#煤粉散装粉尘</w:t>
                  </w:r>
                </w:p>
              </w:tc>
              <w:tc>
                <w:tcPr>
                  <w:tcW w:w="1196" w:type="dxa"/>
                  <w:vAlign w:val="center"/>
                </w:tcPr>
                <w:p w14:paraId="0687AB7A">
                  <w:pPr>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p>
              </w:tc>
              <w:tc>
                <w:tcPr>
                  <w:tcW w:w="1890" w:type="dxa"/>
                  <w:vAlign w:val="center"/>
                </w:tcPr>
                <w:p w14:paraId="076E63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7</w:t>
                  </w:r>
                </w:p>
              </w:tc>
              <w:tc>
                <w:tcPr>
                  <w:tcW w:w="2156" w:type="dxa"/>
                  <w:vAlign w:val="center"/>
                </w:tcPr>
                <w:p w14:paraId="23F021A5">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6AFD0F82">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r>
            <w:tr w14:paraId="6D88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54C2EBC9">
                  <w:pPr>
                    <w:jc w:val="center"/>
                    <w:rPr>
                      <w:rFonts w:hint="default" w:ascii="Times New Roman" w:hAnsi="Times New Roman" w:eastAsia="宋体" w:cs="Times New Roman"/>
                      <w:bCs/>
                      <w:color w:val="auto"/>
                      <w:szCs w:val="21"/>
                      <w:highlight w:val="none"/>
                    </w:rPr>
                  </w:pPr>
                </w:p>
              </w:tc>
              <w:tc>
                <w:tcPr>
                  <w:tcW w:w="1728" w:type="dxa"/>
                  <w:vAlign w:val="center"/>
                </w:tcPr>
                <w:p w14:paraId="487CF8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color w:val="auto"/>
                      <w:kern w:val="2"/>
                      <w:sz w:val="21"/>
                      <w:szCs w:val="21"/>
                      <w:lang w:val="en-US" w:eastAsia="zh-CN" w:bidi="ar-SA"/>
                    </w:rPr>
                  </w:pPr>
                  <w:r>
                    <w:rPr>
                      <w:rFonts w:hint="eastAsia"/>
                      <w:b w:val="0"/>
                      <w:bCs w:val="0"/>
                      <w:color w:val="auto"/>
                      <w:sz w:val="21"/>
                      <w:szCs w:val="21"/>
                      <w:lang w:val="en-US" w:eastAsia="zh-CN"/>
                    </w:rPr>
                    <w:t>2#煤粉散装粉尘</w:t>
                  </w:r>
                </w:p>
              </w:tc>
              <w:tc>
                <w:tcPr>
                  <w:tcW w:w="1196" w:type="dxa"/>
                  <w:vAlign w:val="center"/>
                </w:tcPr>
                <w:p w14:paraId="132AC158">
                  <w:pPr>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p>
              </w:tc>
              <w:tc>
                <w:tcPr>
                  <w:tcW w:w="1890" w:type="dxa"/>
                  <w:vAlign w:val="center"/>
                </w:tcPr>
                <w:p w14:paraId="47212B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8</w:t>
                  </w:r>
                </w:p>
              </w:tc>
              <w:tc>
                <w:tcPr>
                  <w:tcW w:w="2156" w:type="dxa"/>
                  <w:vAlign w:val="center"/>
                </w:tcPr>
                <w:p w14:paraId="01CCE96E">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68A0F8F4">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半年</w:t>
                  </w:r>
                </w:p>
              </w:tc>
            </w:tr>
            <w:tr w14:paraId="0F987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358A6249">
                  <w:pPr>
                    <w:jc w:val="center"/>
                    <w:rPr>
                      <w:rFonts w:hint="default" w:ascii="Times New Roman" w:hAnsi="Times New Roman" w:eastAsia="宋体" w:cs="Times New Roman"/>
                      <w:bCs/>
                      <w:color w:val="auto"/>
                      <w:szCs w:val="21"/>
                      <w:highlight w:val="none"/>
                    </w:rPr>
                  </w:pPr>
                </w:p>
              </w:tc>
              <w:tc>
                <w:tcPr>
                  <w:tcW w:w="1728" w:type="dxa"/>
                  <w:vAlign w:val="center"/>
                </w:tcPr>
                <w:p w14:paraId="1D6ADA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b w:val="0"/>
                      <w:bCs w:val="0"/>
                      <w:color w:val="auto"/>
                      <w:sz w:val="21"/>
                      <w:szCs w:val="21"/>
                      <w:lang w:val="en-US" w:eastAsia="zh-CN"/>
                    </w:rPr>
                  </w:pPr>
                  <w:r>
                    <w:rPr>
                      <w:rFonts w:hint="eastAsia" w:cs="Times New Roman"/>
                      <w:color w:val="auto"/>
                      <w:sz w:val="21"/>
                      <w:szCs w:val="21"/>
                      <w:highlight w:val="none"/>
                      <w:lang w:val="en-US" w:eastAsia="zh-CN"/>
                    </w:rPr>
                    <w:t>石灰石粉筒仓粉尘</w:t>
                  </w:r>
                </w:p>
              </w:tc>
              <w:tc>
                <w:tcPr>
                  <w:tcW w:w="1196" w:type="dxa"/>
                  <w:vAlign w:val="center"/>
                </w:tcPr>
                <w:p w14:paraId="5F7C130A">
                  <w:pPr>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有组织</w:t>
                  </w:r>
                </w:p>
              </w:tc>
              <w:tc>
                <w:tcPr>
                  <w:tcW w:w="1890" w:type="dxa"/>
                  <w:vAlign w:val="center"/>
                </w:tcPr>
                <w:p w14:paraId="1F5AEF78">
                  <w:pPr>
                    <w:keepNext w:val="0"/>
                    <w:keepLines w:val="0"/>
                    <w:widowControl/>
                    <w:suppressLineNumbers w:val="0"/>
                    <w:jc w:val="center"/>
                    <w:textAlignment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DA019</w:t>
                  </w:r>
                </w:p>
              </w:tc>
              <w:tc>
                <w:tcPr>
                  <w:tcW w:w="2156" w:type="dxa"/>
                  <w:vAlign w:val="center"/>
                </w:tcPr>
                <w:p w14:paraId="194967C1">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p>
              </w:tc>
              <w:tc>
                <w:tcPr>
                  <w:tcW w:w="1065" w:type="dxa"/>
                  <w:vAlign w:val="center"/>
                </w:tcPr>
                <w:p w14:paraId="4DBC9CE7">
                  <w:pPr>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eastAsia" w:cs="Times New Roman"/>
                      <w:color w:val="auto"/>
                      <w:szCs w:val="21"/>
                      <w:highlight w:val="none"/>
                      <w:lang w:val="en-US" w:eastAsia="zh-CN" w:bidi="ar"/>
                    </w:rPr>
                    <w:t>年</w:t>
                  </w:r>
                </w:p>
              </w:tc>
            </w:tr>
            <w:tr w14:paraId="4E04D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27" w:type="dxa"/>
                  <w:vMerge w:val="continue"/>
                  <w:vAlign w:val="center"/>
                </w:tcPr>
                <w:p w14:paraId="6861B757">
                  <w:pPr>
                    <w:jc w:val="center"/>
                    <w:rPr>
                      <w:rFonts w:hint="default" w:ascii="Times New Roman" w:hAnsi="Times New Roman" w:eastAsia="宋体" w:cs="Times New Roman"/>
                      <w:bCs/>
                      <w:color w:val="auto"/>
                      <w:szCs w:val="21"/>
                      <w:highlight w:val="none"/>
                    </w:rPr>
                  </w:pPr>
                </w:p>
              </w:tc>
              <w:tc>
                <w:tcPr>
                  <w:tcW w:w="1728" w:type="dxa"/>
                  <w:vAlign w:val="center"/>
                </w:tcPr>
                <w:p w14:paraId="795E9D68">
                  <w:pPr>
                    <w:jc w:val="center"/>
                    <w:rPr>
                      <w:rFonts w:hint="default" w:ascii="Times New Roman" w:hAnsi="Times New Roman" w:eastAsia="宋体" w:cs="Times New Roman"/>
                      <w:bCs/>
                      <w:color w:val="auto"/>
                      <w:szCs w:val="21"/>
                      <w:highlight w:val="none"/>
                      <w:lang w:val="en-US" w:eastAsia="zh-CN"/>
                    </w:rPr>
                  </w:pPr>
                  <w:r>
                    <w:rPr>
                      <w:rFonts w:hint="eastAsia" w:cs="Times New Roman"/>
                      <w:bCs/>
                      <w:snapToGrid w:val="0"/>
                      <w:color w:val="auto"/>
                      <w:kern w:val="0"/>
                      <w:szCs w:val="21"/>
                      <w:highlight w:val="none"/>
                      <w:lang w:val="en-US" w:eastAsia="zh-CN"/>
                    </w:rPr>
                    <w:t>卸料</w:t>
                  </w:r>
                  <w:r>
                    <w:rPr>
                      <w:rFonts w:hint="default" w:ascii="Times New Roman" w:hAnsi="Times New Roman" w:eastAsia="宋体" w:cs="Times New Roman"/>
                      <w:bCs/>
                      <w:snapToGrid w:val="0"/>
                      <w:color w:val="auto"/>
                      <w:kern w:val="0"/>
                      <w:szCs w:val="21"/>
                      <w:highlight w:val="none"/>
                      <w:lang w:val="en-US" w:eastAsia="zh-CN"/>
                    </w:rPr>
                    <w:t>、</w:t>
                  </w:r>
                  <w:r>
                    <w:rPr>
                      <w:rFonts w:hint="eastAsia" w:cs="Times New Roman"/>
                      <w:bCs/>
                      <w:snapToGrid w:val="0"/>
                      <w:color w:val="auto"/>
                      <w:kern w:val="0"/>
                      <w:szCs w:val="21"/>
                      <w:highlight w:val="none"/>
                      <w:lang w:val="en-US" w:eastAsia="zh-CN"/>
                    </w:rPr>
                    <w:t>堆场</w:t>
                  </w:r>
                  <w:r>
                    <w:rPr>
                      <w:rFonts w:hint="default" w:ascii="Times New Roman" w:hAnsi="Times New Roman" w:eastAsia="宋体" w:cs="Times New Roman"/>
                      <w:bCs/>
                      <w:snapToGrid w:val="0"/>
                      <w:color w:val="auto"/>
                      <w:kern w:val="0"/>
                      <w:szCs w:val="21"/>
                      <w:highlight w:val="none"/>
                      <w:lang w:val="en-US" w:eastAsia="zh-CN"/>
                    </w:rPr>
                    <w:t>、</w:t>
                  </w:r>
                  <w:r>
                    <w:rPr>
                      <w:rFonts w:hint="eastAsia" w:cs="Times New Roman"/>
                      <w:bCs/>
                      <w:snapToGrid w:val="0"/>
                      <w:color w:val="auto"/>
                      <w:kern w:val="0"/>
                      <w:szCs w:val="21"/>
                      <w:highlight w:val="none"/>
                      <w:lang w:val="en-US" w:eastAsia="zh-CN"/>
                    </w:rPr>
                    <w:t>转载点、破碎、喂煤仓、成品堆场、散装机</w:t>
                  </w:r>
                </w:p>
              </w:tc>
              <w:tc>
                <w:tcPr>
                  <w:tcW w:w="1196" w:type="dxa"/>
                  <w:vAlign w:val="center"/>
                </w:tcPr>
                <w:p w14:paraId="070D12A4">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厂界无组织</w:t>
                  </w:r>
                </w:p>
              </w:tc>
              <w:tc>
                <w:tcPr>
                  <w:tcW w:w="1890" w:type="dxa"/>
                  <w:vAlign w:val="center"/>
                </w:tcPr>
                <w:p w14:paraId="31E212FB">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厂址上风向设1个对照点、厂址下风向设</w:t>
                  </w:r>
                  <w:r>
                    <w:rPr>
                      <w:rFonts w:hint="eastAsia" w:cs="Times New Roman"/>
                      <w:bCs/>
                      <w:snapToGrid w:val="0"/>
                      <w:color w:val="auto"/>
                      <w:kern w:val="0"/>
                      <w:szCs w:val="21"/>
                      <w:highlight w:val="none"/>
                      <w:lang w:val="en-US" w:eastAsia="zh-CN"/>
                    </w:rPr>
                    <w:t>3</w:t>
                  </w:r>
                  <w:r>
                    <w:rPr>
                      <w:rFonts w:hint="default" w:ascii="Times New Roman" w:hAnsi="Times New Roman" w:eastAsia="宋体" w:cs="Times New Roman"/>
                      <w:bCs/>
                      <w:snapToGrid w:val="0"/>
                      <w:color w:val="auto"/>
                      <w:kern w:val="0"/>
                      <w:szCs w:val="21"/>
                      <w:highlight w:val="none"/>
                    </w:rPr>
                    <w:t>个监控点</w:t>
                  </w:r>
                </w:p>
              </w:tc>
              <w:tc>
                <w:tcPr>
                  <w:tcW w:w="2156" w:type="dxa"/>
                  <w:vAlign w:val="center"/>
                </w:tcPr>
                <w:p w14:paraId="4D076BD1">
                  <w:pPr>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eastAsia="zh-CN"/>
                    </w:rPr>
                    <w:t>颗粒物、</w:t>
                  </w:r>
                  <w:r>
                    <w:rPr>
                      <w:rFonts w:hint="eastAsia" w:cs="Times New Roman"/>
                      <w:bCs/>
                      <w:color w:val="auto"/>
                      <w:szCs w:val="21"/>
                      <w:highlight w:val="none"/>
                      <w:lang w:val="en-US" w:eastAsia="zh-CN"/>
                    </w:rPr>
                    <w:t>二氧化硫、氮氧化物</w:t>
                  </w:r>
                  <w:r>
                    <w:rPr>
                      <w:rFonts w:hint="default" w:ascii="Times New Roman" w:hAnsi="Times New Roman" w:eastAsia="宋体" w:cs="Times New Roman"/>
                      <w:bCs/>
                      <w:color w:val="auto"/>
                      <w:szCs w:val="21"/>
                      <w:highlight w:val="none"/>
                      <w:lang w:val="en-US" w:eastAsia="zh-CN"/>
                    </w:rPr>
                    <w:t>、</w:t>
                  </w:r>
                  <w:r>
                    <w:rPr>
                      <w:rFonts w:hint="eastAsia"/>
                      <w:color w:val="auto"/>
                      <w:szCs w:val="21"/>
                    </w:rPr>
                    <w:t>N</w:t>
                  </w:r>
                  <w:r>
                    <w:rPr>
                      <w:color w:val="auto"/>
                      <w:szCs w:val="21"/>
                    </w:rPr>
                    <w:t>H</w:t>
                  </w:r>
                  <w:r>
                    <w:rPr>
                      <w:color w:val="auto"/>
                      <w:szCs w:val="21"/>
                      <w:vertAlign w:val="subscript"/>
                    </w:rPr>
                    <w:t>3</w:t>
                  </w:r>
                  <w:r>
                    <w:rPr>
                      <w:color w:val="auto"/>
                      <w:szCs w:val="21"/>
                    </w:rPr>
                    <w:t>、</w:t>
                  </w:r>
                  <w:r>
                    <w:rPr>
                      <w:rFonts w:hint="default" w:ascii="Times New Roman" w:hAnsi="Times New Roman" w:eastAsia="宋体" w:cs="Times New Roman"/>
                      <w:bCs/>
                      <w:color w:val="auto"/>
                      <w:szCs w:val="21"/>
                      <w:highlight w:val="none"/>
                      <w:lang w:val="en-US" w:eastAsia="zh-CN"/>
                    </w:rPr>
                    <w:t>臭气浓度</w:t>
                  </w:r>
                </w:p>
              </w:tc>
              <w:tc>
                <w:tcPr>
                  <w:tcW w:w="1065" w:type="dxa"/>
                  <w:vAlign w:val="center"/>
                </w:tcPr>
                <w:p w14:paraId="267BFB65">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年</w:t>
                  </w:r>
                </w:p>
              </w:tc>
            </w:tr>
          </w:tbl>
          <w:p w14:paraId="11C98A4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0"/>
                <w:highlight w:val="none"/>
                <w:lang w:val="zh-CN" w:bidi="ar"/>
              </w:rPr>
            </w:pPr>
            <w:r>
              <w:rPr>
                <w:rFonts w:hint="default" w:ascii="Times New Roman" w:hAnsi="Times New Roman" w:eastAsia="宋体" w:cs="Times New Roman"/>
                <w:b/>
                <w:color w:val="auto"/>
                <w:sz w:val="24"/>
                <w:szCs w:val="20"/>
                <w:highlight w:val="none"/>
                <w:lang w:val="en-US" w:eastAsia="zh-CN" w:bidi="ar"/>
              </w:rPr>
              <w:t>二</w:t>
            </w:r>
            <w:r>
              <w:rPr>
                <w:rFonts w:hint="default" w:ascii="Times New Roman" w:hAnsi="Times New Roman" w:eastAsia="宋体" w:cs="Times New Roman"/>
                <w:b/>
                <w:color w:val="auto"/>
                <w:sz w:val="24"/>
                <w:szCs w:val="20"/>
                <w:highlight w:val="none"/>
                <w:lang w:val="zh-CN" w:bidi="ar"/>
              </w:rPr>
              <w:t>、地表水环境影响分析</w:t>
            </w:r>
          </w:p>
          <w:p w14:paraId="59F64F47">
            <w:pPr>
              <w:adjustRightInd w:val="0"/>
              <w:snapToGrid w:val="0"/>
              <w:spacing w:line="360" w:lineRule="auto"/>
              <w:ind w:firstLine="482" w:firstLineChars="200"/>
              <w:rPr>
                <w:rFonts w:hint="default" w:ascii="Times New Roman" w:hAnsi="Times New Roman" w:eastAsia="宋体" w:cs="Times New Roman"/>
                <w:b/>
                <w:bCs w:val="0"/>
                <w:color w:val="auto"/>
                <w:spacing w:val="-10"/>
                <w:sz w:val="21"/>
                <w:szCs w:val="21"/>
                <w:highlight w:val="none"/>
                <w:lang w:val="en-US" w:eastAsia="zh-CN"/>
              </w:rPr>
            </w:pPr>
            <w:r>
              <w:rPr>
                <w:rFonts w:hint="default" w:ascii="Times New Roman" w:hAnsi="Times New Roman" w:eastAsia="宋体" w:cs="Times New Roman"/>
                <w:b/>
                <w:bCs/>
                <w:color w:val="auto"/>
                <w:sz w:val="24"/>
                <w:szCs w:val="24"/>
                <w:highlight w:val="none"/>
                <w:lang w:val="en-US" w:eastAsia="zh-CN"/>
              </w:rPr>
              <w:t>1、污染源分析</w:t>
            </w:r>
          </w:p>
          <w:p w14:paraId="37CD5BC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val="0"/>
                <w:color w:val="auto"/>
                <w:spacing w:val="-10"/>
                <w:sz w:val="21"/>
                <w:szCs w:val="21"/>
                <w:highlight w:val="none"/>
                <w:lang w:val="en-US" w:eastAsia="zh-CN"/>
              </w:rPr>
              <w:t>表4-</w:t>
            </w:r>
            <w:r>
              <w:rPr>
                <w:rFonts w:hint="eastAsia" w:cs="Times New Roman"/>
                <w:b/>
                <w:bCs w:val="0"/>
                <w:color w:val="auto"/>
                <w:spacing w:val="-10"/>
                <w:sz w:val="21"/>
                <w:szCs w:val="21"/>
                <w:highlight w:val="none"/>
                <w:lang w:val="en-US" w:eastAsia="zh-CN"/>
              </w:rPr>
              <w:t>28</w:t>
            </w:r>
            <w:r>
              <w:rPr>
                <w:rFonts w:hint="default" w:ascii="Times New Roman" w:hAnsi="Times New Roman" w:eastAsia="宋体" w:cs="Times New Roman"/>
                <w:b/>
                <w:bCs w:val="0"/>
                <w:color w:val="auto"/>
                <w:spacing w:val="-10"/>
                <w:sz w:val="21"/>
                <w:szCs w:val="21"/>
                <w:highlight w:val="none"/>
                <w:lang w:val="en-US" w:eastAsia="zh-CN"/>
              </w:rPr>
              <w:t xml:space="preserve">  项目区废水产排情况统计</w:t>
            </w:r>
          </w:p>
          <w:tbl>
            <w:tblPr>
              <w:tblStyle w:val="28"/>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527"/>
              <w:gridCol w:w="980"/>
              <w:gridCol w:w="850"/>
              <w:gridCol w:w="982"/>
              <w:gridCol w:w="867"/>
              <w:gridCol w:w="970"/>
              <w:gridCol w:w="1088"/>
              <w:gridCol w:w="1395"/>
            </w:tblGrid>
            <w:tr w14:paraId="6FAF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8" w:type="dxa"/>
                  <w:gridSpan w:val="3"/>
                  <w:noWrap w:val="0"/>
                  <w:vAlign w:val="center"/>
                </w:tcPr>
                <w:p w14:paraId="1372223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4757" w:type="dxa"/>
                  <w:gridSpan w:val="5"/>
                  <w:noWrap w:val="0"/>
                  <w:vAlign w:val="center"/>
                </w:tcPr>
                <w:p w14:paraId="3F50A2B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综合废水（生活污水、化验容器清洗废水）</w:t>
                  </w:r>
                </w:p>
              </w:tc>
              <w:tc>
                <w:tcPr>
                  <w:tcW w:w="1395" w:type="dxa"/>
                  <w:noWrap w:val="0"/>
                  <w:vAlign w:val="center"/>
                </w:tcPr>
                <w:p w14:paraId="40EED04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生产废水及</w:t>
                  </w:r>
                  <w:r>
                    <w:rPr>
                      <w:rFonts w:hint="eastAsia" w:ascii="Times New Roman" w:hAnsi="Times New Roman" w:cs="Times New Roman"/>
                      <w:b w:val="0"/>
                      <w:bCs/>
                      <w:color w:val="auto"/>
                      <w:spacing w:val="-10"/>
                      <w:sz w:val="21"/>
                      <w:szCs w:val="21"/>
                      <w:highlight w:val="none"/>
                      <w:vertAlign w:val="baseline"/>
                      <w:lang w:val="en-US" w:eastAsia="zh-CN"/>
                    </w:rPr>
                    <w:t>初期雨水</w:t>
                  </w:r>
                </w:p>
              </w:tc>
            </w:tr>
            <w:tr w14:paraId="7270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8" w:type="dxa"/>
                  <w:gridSpan w:val="3"/>
                  <w:noWrap w:val="0"/>
                  <w:vAlign w:val="center"/>
                </w:tcPr>
                <w:p w14:paraId="13ED04B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产生量（</w:t>
                  </w:r>
                  <w:r>
                    <w:rPr>
                      <w:rFonts w:hint="default" w:ascii="Times New Roman" w:hAnsi="Times New Roman" w:eastAsia="宋体" w:cs="Times New Roman"/>
                      <w:b/>
                      <w:bCs w:val="0"/>
                      <w:color w:val="auto"/>
                      <w:kern w:val="2"/>
                      <w:sz w:val="21"/>
                      <w:szCs w:val="21"/>
                      <w:highlight w:val="none"/>
                      <w:lang w:val="zh-CN" w:eastAsia="zh-CN" w:bidi="ar"/>
                    </w:rPr>
                    <w:t>m</w:t>
                  </w:r>
                  <w:r>
                    <w:rPr>
                      <w:rFonts w:hint="default" w:ascii="Times New Roman" w:hAnsi="Times New Roman" w:eastAsia="宋体" w:cs="Times New Roman"/>
                      <w:b/>
                      <w:bCs w:val="0"/>
                      <w:color w:val="auto"/>
                      <w:kern w:val="2"/>
                      <w:sz w:val="21"/>
                      <w:szCs w:val="21"/>
                      <w:highlight w:val="none"/>
                      <w:vertAlign w:val="superscript"/>
                      <w:lang w:val="zh-CN" w:eastAsia="zh-CN" w:bidi="ar"/>
                    </w:rPr>
                    <w:t>3</w:t>
                  </w:r>
                  <w:r>
                    <w:rPr>
                      <w:rFonts w:hint="default" w:ascii="Times New Roman" w:hAnsi="Times New Roman" w:eastAsia="宋体" w:cs="Times New Roman"/>
                      <w:b/>
                      <w:bCs w:val="0"/>
                      <w:color w:val="auto"/>
                      <w:kern w:val="2"/>
                      <w:sz w:val="21"/>
                      <w:szCs w:val="21"/>
                      <w:highlight w:val="none"/>
                      <w:lang w:val="zh-CN" w:eastAsia="zh-CN" w:bidi="ar"/>
                    </w:rPr>
                    <w:t>/a</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4757" w:type="dxa"/>
                  <w:gridSpan w:val="5"/>
                  <w:noWrap w:val="0"/>
                  <w:vAlign w:val="center"/>
                </w:tcPr>
                <w:p w14:paraId="1A7EEBF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color w:val="auto"/>
                      <w:spacing w:val="11"/>
                      <w:sz w:val="21"/>
                      <w:szCs w:val="21"/>
                      <w:highlight w:val="none"/>
                      <w:lang w:val="en-US" w:eastAsia="zh-CN"/>
                    </w:rPr>
                    <w:t>576.8</w:t>
                  </w:r>
                </w:p>
              </w:tc>
              <w:tc>
                <w:tcPr>
                  <w:tcW w:w="1395" w:type="dxa"/>
                  <w:noWrap w:val="0"/>
                  <w:vAlign w:val="center"/>
                </w:tcPr>
                <w:p w14:paraId="069470B9">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pacing w:val="11"/>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bidi="ar"/>
                    </w:rPr>
                    <w:t>76.1314</w:t>
                  </w:r>
                  <w:r>
                    <w:rPr>
                      <w:rFonts w:hint="default" w:ascii="Times New Roman" w:hAnsi="Times New Roman" w:eastAsia="宋体" w:cs="Times New Roman"/>
                      <w:color w:val="auto"/>
                      <w:kern w:val="0"/>
                      <w:sz w:val="21"/>
                      <w:szCs w:val="21"/>
                      <w:highlight w:val="none"/>
                      <w:lang w:val="en-US" w:eastAsia="zh-CN" w:bidi="ar"/>
                    </w:rPr>
                    <w:t>m</w:t>
                  </w:r>
                  <w:r>
                    <w:rPr>
                      <w:rFonts w:hint="eastAsia" w:ascii="Times New Roman" w:hAnsi="Times New Roman" w:eastAsia="宋体"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vertAlign w:val="baseline"/>
                      <w:lang w:val="en-US" w:eastAsia="zh-CN" w:bidi="ar"/>
                    </w:rPr>
                    <w:t>/次（初期雨水）</w:t>
                  </w:r>
                </w:p>
              </w:tc>
            </w:tr>
            <w:tr w14:paraId="1524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8" w:type="dxa"/>
                  <w:gridSpan w:val="3"/>
                  <w:noWrap w:val="0"/>
                  <w:vAlign w:val="center"/>
                </w:tcPr>
                <w:p w14:paraId="4DDEF16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850" w:type="dxa"/>
                  <w:noWrap w:val="0"/>
                  <w:vAlign w:val="center"/>
                </w:tcPr>
                <w:p w14:paraId="79087CA9">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w:t>
                  </w:r>
                </w:p>
              </w:tc>
              <w:tc>
                <w:tcPr>
                  <w:tcW w:w="982" w:type="dxa"/>
                  <w:noWrap w:val="0"/>
                  <w:vAlign w:val="center"/>
                </w:tcPr>
                <w:p w14:paraId="09ABF42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BOD</w:t>
                  </w:r>
                  <w:r>
                    <w:rPr>
                      <w:rFonts w:hint="default" w:ascii="Times New Roman" w:hAnsi="Times New Roman" w:eastAsia="宋体" w:cs="Times New Roman"/>
                      <w:b w:val="0"/>
                      <w:bCs/>
                      <w:color w:val="auto"/>
                      <w:spacing w:val="-10"/>
                      <w:sz w:val="21"/>
                      <w:szCs w:val="21"/>
                      <w:highlight w:val="none"/>
                      <w:vertAlign w:val="subscript"/>
                      <w:lang w:val="en-US" w:eastAsia="zh-CN"/>
                    </w:rPr>
                    <w:t>5</w:t>
                  </w:r>
                </w:p>
              </w:tc>
              <w:tc>
                <w:tcPr>
                  <w:tcW w:w="867" w:type="dxa"/>
                  <w:noWrap w:val="0"/>
                  <w:vAlign w:val="center"/>
                </w:tcPr>
                <w:p w14:paraId="7655CF0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SS</w:t>
                  </w:r>
                </w:p>
              </w:tc>
              <w:tc>
                <w:tcPr>
                  <w:tcW w:w="970" w:type="dxa"/>
                  <w:noWrap w:val="0"/>
                  <w:vAlign w:val="center"/>
                </w:tcPr>
                <w:p w14:paraId="2A79800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氨氮</w:t>
                  </w:r>
                </w:p>
              </w:tc>
              <w:tc>
                <w:tcPr>
                  <w:tcW w:w="1088" w:type="dxa"/>
                  <w:noWrap w:val="0"/>
                  <w:vAlign w:val="center"/>
                </w:tcPr>
                <w:p w14:paraId="46606368">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b w:val="0"/>
                      <w:bCs/>
                      <w:color w:val="auto"/>
                      <w:spacing w:val="-10"/>
                      <w:sz w:val="21"/>
                      <w:szCs w:val="21"/>
                      <w:highlight w:val="none"/>
                      <w:vertAlign w:val="baseline"/>
                      <w:lang w:val="en-US" w:eastAsia="zh-CN"/>
                    </w:rPr>
                    <w:t>总磷</w:t>
                  </w:r>
                </w:p>
              </w:tc>
              <w:tc>
                <w:tcPr>
                  <w:tcW w:w="1395" w:type="dxa"/>
                  <w:noWrap w:val="0"/>
                  <w:vAlign w:val="center"/>
                </w:tcPr>
                <w:p w14:paraId="503CD341">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w:t>
                  </w:r>
                </w:p>
              </w:tc>
            </w:tr>
            <w:tr w14:paraId="3CBF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8" w:type="dxa"/>
                  <w:gridSpan w:val="3"/>
                  <w:noWrap w:val="0"/>
                  <w:vAlign w:val="center"/>
                </w:tcPr>
                <w:p w14:paraId="50E174AA">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850" w:type="dxa"/>
                  <w:noWrap w:val="0"/>
                  <w:vAlign w:val="center"/>
                </w:tcPr>
                <w:p w14:paraId="5790F883">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kern w:val="2"/>
                      <w:sz w:val="21"/>
                      <w:szCs w:val="21"/>
                      <w:highlight w:val="none"/>
                      <w:vertAlign w:val="baseline"/>
                      <w:lang w:val="en-US" w:eastAsia="zh-CN" w:bidi="ar-SA"/>
                    </w:rPr>
                    <w:t>0.</w:t>
                  </w:r>
                  <w:r>
                    <w:rPr>
                      <w:rFonts w:hint="eastAsia" w:cs="Times New Roman"/>
                      <w:b w:val="0"/>
                      <w:bCs/>
                      <w:color w:val="auto"/>
                      <w:spacing w:val="-10"/>
                      <w:kern w:val="2"/>
                      <w:sz w:val="21"/>
                      <w:szCs w:val="21"/>
                      <w:highlight w:val="none"/>
                      <w:vertAlign w:val="baseline"/>
                      <w:lang w:val="en-US" w:eastAsia="zh-CN" w:bidi="ar-SA"/>
                    </w:rPr>
                    <w:t>2773</w:t>
                  </w:r>
                </w:p>
              </w:tc>
              <w:tc>
                <w:tcPr>
                  <w:tcW w:w="982" w:type="dxa"/>
                  <w:noWrap w:val="0"/>
                  <w:vAlign w:val="center"/>
                </w:tcPr>
                <w:p w14:paraId="3CFA217A">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kern w:val="2"/>
                      <w:sz w:val="21"/>
                      <w:szCs w:val="21"/>
                      <w:highlight w:val="none"/>
                      <w:vertAlign w:val="baseline"/>
                      <w:lang w:val="en-US" w:eastAsia="zh-CN" w:bidi="ar-SA"/>
                    </w:rPr>
                    <w:t>0.1</w:t>
                  </w:r>
                  <w:r>
                    <w:rPr>
                      <w:rFonts w:hint="eastAsia" w:ascii="Times New Roman" w:hAnsi="Times New Roman" w:cs="Times New Roman"/>
                      <w:b w:val="0"/>
                      <w:bCs/>
                      <w:color w:val="auto"/>
                      <w:spacing w:val="-10"/>
                      <w:kern w:val="2"/>
                      <w:sz w:val="21"/>
                      <w:szCs w:val="21"/>
                      <w:highlight w:val="none"/>
                      <w:vertAlign w:val="baseline"/>
                      <w:lang w:val="en-US" w:eastAsia="zh-CN" w:bidi="ar-SA"/>
                    </w:rPr>
                    <w:t>066</w:t>
                  </w:r>
                </w:p>
              </w:tc>
              <w:tc>
                <w:tcPr>
                  <w:tcW w:w="867" w:type="dxa"/>
                  <w:noWrap w:val="0"/>
                  <w:vAlign w:val="center"/>
                </w:tcPr>
                <w:p w14:paraId="2DD6A2B5">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kern w:val="2"/>
                      <w:sz w:val="21"/>
                      <w:szCs w:val="21"/>
                      <w:highlight w:val="none"/>
                      <w:vertAlign w:val="baseline"/>
                      <w:lang w:val="en-US" w:eastAsia="zh-CN" w:bidi="ar-SA"/>
                    </w:rPr>
                    <w:t>0.1</w:t>
                  </w:r>
                  <w:r>
                    <w:rPr>
                      <w:rFonts w:hint="eastAsia" w:cs="Times New Roman"/>
                      <w:b w:val="0"/>
                      <w:bCs/>
                      <w:color w:val="auto"/>
                      <w:spacing w:val="-10"/>
                      <w:kern w:val="2"/>
                      <w:sz w:val="21"/>
                      <w:szCs w:val="21"/>
                      <w:highlight w:val="none"/>
                      <w:vertAlign w:val="baseline"/>
                      <w:lang w:val="en-US" w:eastAsia="zh-CN" w:bidi="ar-SA"/>
                    </w:rPr>
                    <w:t>066</w:t>
                  </w:r>
                </w:p>
              </w:tc>
              <w:tc>
                <w:tcPr>
                  <w:tcW w:w="970" w:type="dxa"/>
                  <w:noWrap w:val="0"/>
                  <w:vAlign w:val="center"/>
                </w:tcPr>
                <w:p w14:paraId="35E7A479">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kern w:val="2"/>
                      <w:sz w:val="21"/>
                      <w:szCs w:val="21"/>
                      <w:highlight w:val="none"/>
                      <w:vertAlign w:val="baseline"/>
                      <w:lang w:val="en-US" w:eastAsia="zh-CN" w:bidi="ar-SA"/>
                    </w:rPr>
                    <w:t>0.0</w:t>
                  </w:r>
                  <w:r>
                    <w:rPr>
                      <w:rFonts w:hint="eastAsia" w:cs="Times New Roman"/>
                      <w:b w:val="0"/>
                      <w:bCs/>
                      <w:color w:val="auto"/>
                      <w:spacing w:val="-10"/>
                      <w:kern w:val="2"/>
                      <w:sz w:val="21"/>
                      <w:szCs w:val="21"/>
                      <w:highlight w:val="none"/>
                      <w:vertAlign w:val="baseline"/>
                      <w:lang w:val="en-US" w:eastAsia="zh-CN" w:bidi="ar-SA"/>
                    </w:rPr>
                    <w:t>213</w:t>
                  </w:r>
                </w:p>
              </w:tc>
              <w:tc>
                <w:tcPr>
                  <w:tcW w:w="1088" w:type="dxa"/>
                  <w:noWrap w:val="0"/>
                  <w:vAlign w:val="center"/>
                </w:tcPr>
                <w:p w14:paraId="41735C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 w:val="0"/>
                      <w:bCs/>
                      <w:color w:val="auto"/>
                      <w:spacing w:val="-10"/>
                      <w:kern w:val="2"/>
                      <w:sz w:val="21"/>
                      <w:szCs w:val="21"/>
                      <w:highlight w:val="none"/>
                      <w:vertAlign w:val="baseline"/>
                      <w:lang w:val="en-US" w:eastAsia="zh-CN" w:bidi="ar-SA"/>
                    </w:rPr>
                    <w:t>0.00</w:t>
                  </w:r>
                  <w:r>
                    <w:rPr>
                      <w:rFonts w:hint="eastAsia" w:cs="Times New Roman"/>
                      <w:b w:val="0"/>
                      <w:bCs/>
                      <w:color w:val="auto"/>
                      <w:spacing w:val="-10"/>
                      <w:kern w:val="2"/>
                      <w:sz w:val="21"/>
                      <w:szCs w:val="21"/>
                      <w:highlight w:val="none"/>
                      <w:vertAlign w:val="baseline"/>
                      <w:lang w:val="en-US" w:eastAsia="zh-CN" w:bidi="ar-SA"/>
                    </w:rPr>
                    <w:t>43</w:t>
                  </w:r>
                </w:p>
              </w:tc>
              <w:tc>
                <w:tcPr>
                  <w:tcW w:w="1395" w:type="dxa"/>
                  <w:noWrap w:val="0"/>
                  <w:vAlign w:val="center"/>
                </w:tcPr>
                <w:p w14:paraId="44AFEC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r>
            <w:tr w14:paraId="6597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8" w:type="dxa"/>
                  <w:gridSpan w:val="3"/>
                  <w:noWrap w:val="0"/>
                  <w:vAlign w:val="center"/>
                </w:tcPr>
                <w:p w14:paraId="7028D14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850" w:type="dxa"/>
                  <w:noWrap w:val="0"/>
                  <w:vAlign w:val="center"/>
                </w:tcPr>
                <w:p w14:paraId="4580436F">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520</w:t>
                  </w:r>
                </w:p>
              </w:tc>
              <w:tc>
                <w:tcPr>
                  <w:tcW w:w="982" w:type="dxa"/>
                  <w:noWrap w:val="0"/>
                  <w:vAlign w:val="center"/>
                </w:tcPr>
                <w:p w14:paraId="218D1168">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200</w:t>
                  </w:r>
                </w:p>
              </w:tc>
              <w:tc>
                <w:tcPr>
                  <w:tcW w:w="867" w:type="dxa"/>
                  <w:noWrap w:val="0"/>
                  <w:vAlign w:val="center"/>
                </w:tcPr>
                <w:p w14:paraId="0A9E0B5B">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200</w:t>
                  </w:r>
                </w:p>
              </w:tc>
              <w:tc>
                <w:tcPr>
                  <w:tcW w:w="970" w:type="dxa"/>
                  <w:noWrap w:val="0"/>
                  <w:vAlign w:val="center"/>
                </w:tcPr>
                <w:p w14:paraId="0576CAFB">
                  <w:pPr>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40</w:t>
                  </w:r>
                </w:p>
              </w:tc>
              <w:tc>
                <w:tcPr>
                  <w:tcW w:w="1088" w:type="dxa"/>
                  <w:noWrap w:val="0"/>
                  <w:vAlign w:val="center"/>
                </w:tcPr>
                <w:p w14:paraId="18949A6A">
                  <w:pPr>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w:t>
                  </w:r>
                </w:p>
              </w:tc>
              <w:tc>
                <w:tcPr>
                  <w:tcW w:w="1395" w:type="dxa"/>
                  <w:noWrap w:val="0"/>
                  <w:vAlign w:val="center"/>
                </w:tcPr>
                <w:p w14:paraId="1482E9D4">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703C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8" w:type="dxa"/>
                  <w:gridSpan w:val="3"/>
                  <w:noWrap w:val="0"/>
                  <w:vAlign w:val="center"/>
                </w:tcPr>
                <w:p w14:paraId="0852A3F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4757" w:type="dxa"/>
                  <w:gridSpan w:val="5"/>
                  <w:noWrap w:val="0"/>
                  <w:vAlign w:val="center"/>
                </w:tcPr>
                <w:p w14:paraId="6CF5363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c>
                <w:tcPr>
                  <w:tcW w:w="1395" w:type="dxa"/>
                  <w:noWrap w:val="0"/>
                  <w:vAlign w:val="center"/>
                </w:tcPr>
                <w:p w14:paraId="4F6ACE8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r>
            <w:tr w14:paraId="0EC3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1" w:type="dxa"/>
                  <w:vMerge w:val="restart"/>
                  <w:noWrap w:val="0"/>
                  <w:vAlign w:val="center"/>
                </w:tcPr>
                <w:p w14:paraId="330C6FF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507" w:type="dxa"/>
                  <w:gridSpan w:val="2"/>
                  <w:noWrap w:val="0"/>
                  <w:vAlign w:val="center"/>
                </w:tcPr>
                <w:p w14:paraId="13B33E6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4757" w:type="dxa"/>
                  <w:gridSpan w:val="5"/>
                  <w:noWrap w:val="0"/>
                  <w:vAlign w:val="center"/>
                </w:tcPr>
                <w:p w14:paraId="63E48DF8">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c>
                <w:tcPr>
                  <w:tcW w:w="1395" w:type="dxa"/>
                  <w:noWrap w:val="0"/>
                  <w:vAlign w:val="center"/>
                </w:tcPr>
                <w:p w14:paraId="17D9E2E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2B91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1" w:type="dxa"/>
                  <w:vMerge w:val="continue"/>
                  <w:noWrap w:val="0"/>
                  <w:vAlign w:val="center"/>
                </w:tcPr>
                <w:p w14:paraId="1167237A">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507" w:type="dxa"/>
                  <w:gridSpan w:val="2"/>
                  <w:noWrap w:val="0"/>
                  <w:vAlign w:val="center"/>
                </w:tcPr>
                <w:p w14:paraId="1FF86D2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4757" w:type="dxa"/>
                  <w:gridSpan w:val="5"/>
                  <w:noWrap w:val="0"/>
                  <w:vAlign w:val="center"/>
                </w:tcPr>
                <w:p w14:paraId="79F26EE9">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c>
                <w:tcPr>
                  <w:tcW w:w="1395" w:type="dxa"/>
                  <w:noWrap w:val="0"/>
                  <w:vAlign w:val="center"/>
                </w:tcPr>
                <w:p w14:paraId="7CBA493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r>
            <w:tr w14:paraId="5E738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1" w:type="dxa"/>
                  <w:vMerge w:val="continue"/>
                  <w:noWrap w:val="0"/>
                  <w:vAlign w:val="center"/>
                </w:tcPr>
                <w:p w14:paraId="5ADD6ED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507" w:type="dxa"/>
                  <w:gridSpan w:val="2"/>
                  <w:noWrap w:val="0"/>
                  <w:vAlign w:val="center"/>
                </w:tcPr>
                <w:p w14:paraId="0E290CD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4757" w:type="dxa"/>
                  <w:gridSpan w:val="5"/>
                  <w:noWrap w:val="0"/>
                  <w:vAlign w:val="center"/>
                </w:tcPr>
                <w:p w14:paraId="1B2EA4B1">
                  <w:pPr>
                    <w:pStyle w:val="14"/>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lang w:val="en-US" w:eastAsia="zh-CN"/>
                    </w:rPr>
                    <w:t>生活污水进入容积为</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的化粪池</w:t>
                  </w:r>
                  <w:r>
                    <w:rPr>
                      <w:rFonts w:hint="eastAsia" w:ascii="Times New Roman" w:hAnsi="Times New Roman" w:cs="Times New Roman"/>
                      <w:color w:val="auto"/>
                      <w:sz w:val="21"/>
                      <w:szCs w:val="21"/>
                      <w:highlight w:val="none"/>
                      <w:lang w:val="en-US" w:eastAsia="zh-CN"/>
                    </w:rPr>
                    <w:t>处理后同</w:t>
                  </w:r>
                  <w:r>
                    <w:rPr>
                      <w:rFonts w:hint="eastAsia" w:cs="Times New Roman"/>
                      <w:b w:val="0"/>
                      <w:bCs/>
                      <w:color w:val="auto"/>
                      <w:spacing w:val="-10"/>
                      <w:sz w:val="21"/>
                      <w:szCs w:val="21"/>
                      <w:highlight w:val="none"/>
                      <w:vertAlign w:val="baseline"/>
                      <w:lang w:val="en-US" w:eastAsia="zh-CN"/>
                    </w:rPr>
                    <w:t>化验容器清洗废水一并进入</w:t>
                  </w:r>
                  <w:r>
                    <w:rPr>
                      <w:rFonts w:hint="default" w:ascii="Times New Roman" w:hAnsi="Times New Roman" w:eastAsia="宋体" w:cs="Times New Roman"/>
                      <w:color w:val="auto"/>
                      <w:sz w:val="21"/>
                      <w:szCs w:val="21"/>
                      <w:highlight w:val="none"/>
                      <w:lang w:val="en-US" w:eastAsia="zh-CN"/>
                    </w:rPr>
                    <w:t>处理规模为5m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/d的</w:t>
                  </w:r>
                  <w:r>
                    <w:rPr>
                      <w:rFonts w:hint="default" w:ascii="Times New Roman" w:hAnsi="Times New Roman" w:eastAsia="宋体" w:cs="Times New Roman"/>
                      <w:color w:val="auto"/>
                      <w:sz w:val="21"/>
                      <w:szCs w:val="21"/>
                      <w:highlight w:val="none"/>
                      <w:lang w:eastAsia="zh-CN" w:bidi="ar"/>
                    </w:rPr>
                    <w:t>一体化</w:t>
                  </w:r>
                  <w:r>
                    <w:rPr>
                      <w:rFonts w:hint="default" w:ascii="Times New Roman" w:hAnsi="Times New Roman" w:eastAsia="宋体" w:cs="Times New Roman"/>
                      <w:color w:val="auto"/>
                      <w:sz w:val="21"/>
                      <w:szCs w:val="21"/>
                      <w:highlight w:val="none"/>
                      <w:lang w:val="en-US" w:eastAsia="zh-CN"/>
                    </w:rPr>
                    <w:t>污水处理站（处理工艺为MBR）处理达《城市污水再生利用 城市杂用水水质》（GB/T18920-2020）中的城市绿化、道路清扫、消防、建筑施工标准。</w:t>
                  </w:r>
                </w:p>
              </w:tc>
              <w:tc>
                <w:tcPr>
                  <w:tcW w:w="1395" w:type="dxa"/>
                  <w:noWrap w:val="0"/>
                  <w:vAlign w:val="center"/>
                </w:tcPr>
                <w:p w14:paraId="53812FD5">
                  <w:pPr>
                    <w:pStyle w:val="14"/>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设备</w:t>
                  </w:r>
                  <w:r>
                    <w:rPr>
                      <w:rFonts w:hint="default" w:ascii="Times New Roman" w:hAnsi="Times New Roman" w:eastAsia="宋体" w:cs="Times New Roman"/>
                      <w:color w:val="auto"/>
                      <w:sz w:val="21"/>
                      <w:szCs w:val="21"/>
                      <w:highlight w:val="none"/>
                    </w:rPr>
                    <w:t>冷却废水经循环水冷却池冷却后循环使用</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吸收氨气的清水浓度大于10%时直接作为脱硝使用喷入炉膛内，不外排；</w:t>
                  </w:r>
                  <w:r>
                    <w:rPr>
                      <w:rFonts w:hint="default" w:ascii="Times New Roman" w:hAnsi="Times New Roman" w:eastAsia="宋体" w:cs="Times New Roman"/>
                      <w:color w:val="auto"/>
                      <w:sz w:val="21"/>
                      <w:szCs w:val="21"/>
                      <w:highlight w:val="none"/>
                      <w:lang w:val="en-US" w:eastAsia="zh-CN"/>
                    </w:rPr>
                    <w:t>初期雨水</w:t>
                  </w:r>
                  <w:r>
                    <w:rPr>
                      <w:rFonts w:hint="eastAsia" w:ascii="Times New Roman" w:hAnsi="Times New Roman" w:eastAsia="宋体" w:cs="Times New Roman"/>
                      <w:color w:val="auto"/>
                      <w:sz w:val="21"/>
                      <w:szCs w:val="21"/>
                      <w:highlight w:val="none"/>
                      <w:lang w:val="en-US" w:eastAsia="zh-CN"/>
                    </w:rPr>
                    <w:t>经沉</w:t>
                  </w:r>
                  <w:r>
                    <w:rPr>
                      <w:rFonts w:hint="eastAsia" w:ascii="Times New Roman" w:hAnsi="Times New Roman" w:eastAsia="宋体" w:cs="Times New Roman"/>
                      <w:color w:val="auto"/>
                      <w:sz w:val="21"/>
                      <w:szCs w:val="21"/>
                      <w:highlight w:val="none"/>
                      <w:lang w:eastAsia="zh-CN"/>
                    </w:rPr>
                    <w:t>淀</w:t>
                  </w:r>
                  <w:r>
                    <w:rPr>
                      <w:rFonts w:hint="default" w:ascii="Times New Roman" w:hAnsi="Times New Roman" w:eastAsia="宋体" w:cs="Times New Roman"/>
                      <w:color w:val="auto"/>
                      <w:sz w:val="21"/>
                      <w:szCs w:val="21"/>
                      <w:highlight w:val="none"/>
                    </w:rPr>
                    <w:t>处理后回用</w:t>
                  </w:r>
                  <w:r>
                    <w:rPr>
                      <w:rFonts w:hint="default" w:ascii="Times New Roman" w:hAnsi="Times New Roman" w:eastAsia="宋体" w:cs="Times New Roman"/>
                      <w:color w:val="auto"/>
                      <w:sz w:val="21"/>
                      <w:szCs w:val="21"/>
                      <w:highlight w:val="none"/>
                      <w:lang w:val="en-US" w:eastAsia="zh-CN"/>
                    </w:rPr>
                    <w:t>于</w:t>
                  </w:r>
                  <w:r>
                    <w:rPr>
                      <w:rFonts w:hint="eastAsia" w:ascii="Times New Roman" w:hAnsi="Times New Roman" w:eastAsia="宋体" w:cs="Times New Roman"/>
                      <w:color w:val="auto"/>
                      <w:sz w:val="21"/>
                      <w:szCs w:val="21"/>
                      <w:highlight w:val="none"/>
                      <w:lang w:eastAsia="zh-CN"/>
                    </w:rPr>
                    <w:t>厂区洒水抑尘</w:t>
                  </w:r>
                  <w:r>
                    <w:rPr>
                      <w:rFonts w:hint="default" w:ascii="Times New Roman" w:hAnsi="Times New Roman" w:eastAsia="宋体" w:cs="Times New Roman"/>
                      <w:color w:val="auto"/>
                      <w:sz w:val="21"/>
                      <w:szCs w:val="21"/>
                      <w:highlight w:val="none"/>
                    </w:rPr>
                    <w:t>，不外排。</w:t>
                  </w:r>
                </w:p>
              </w:tc>
            </w:tr>
            <w:tr w14:paraId="2005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01" w:type="dxa"/>
                  <w:vMerge w:val="continue"/>
                  <w:noWrap w:val="0"/>
                  <w:vAlign w:val="center"/>
                </w:tcPr>
                <w:p w14:paraId="38F31408">
                  <w:pPr>
                    <w:keepNext w:val="0"/>
                    <w:keepLines w:val="0"/>
                    <w:pageBreakBefore w:val="0"/>
                    <w:kinsoku/>
                    <w:wordWrap/>
                    <w:overflowPunct/>
                    <w:topLinePunct w:val="0"/>
                    <w:bidi w:val="0"/>
                    <w:adjustRightInd w:val="0"/>
                    <w:snapToGrid w:val="0"/>
                    <w:jc w:val="center"/>
                    <w:rPr>
                      <w:color w:val="auto"/>
                      <w:highlight w:val="none"/>
                    </w:rPr>
                  </w:pPr>
                </w:p>
              </w:tc>
              <w:tc>
                <w:tcPr>
                  <w:tcW w:w="527" w:type="dxa"/>
                  <w:vMerge w:val="restart"/>
                  <w:noWrap w:val="0"/>
                  <w:vAlign w:val="center"/>
                </w:tcPr>
                <w:p w14:paraId="5DD1874C">
                  <w:pPr>
                    <w:keepNext w:val="0"/>
                    <w:keepLines w:val="0"/>
                    <w:pageBreakBefore w:val="0"/>
                    <w:numPr>
                      <w:ilvl w:val="0"/>
                      <w:numId w:val="0"/>
                    </w:numPr>
                    <w:kinsoku/>
                    <w:wordWrap/>
                    <w:overflowPunct/>
                    <w:topLinePunct w:val="0"/>
                    <w:bidi w:val="0"/>
                    <w:adjustRightInd w:val="0"/>
                    <w:snapToGrid w:val="0"/>
                    <w:jc w:val="both"/>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ascii="Times New Roman" w:hAnsi="Times New Roman" w:cs="Times New Roman"/>
                      <w:b/>
                      <w:bCs w:val="0"/>
                      <w:color w:val="auto"/>
                      <w:spacing w:val="-10"/>
                      <w:sz w:val="21"/>
                      <w:szCs w:val="21"/>
                      <w:highlight w:val="none"/>
                      <w:vertAlign w:val="baseline"/>
                      <w:lang w:val="en-US" w:eastAsia="zh-CN"/>
                    </w:rPr>
                    <w:t>治理效率</w:t>
                  </w:r>
                </w:p>
              </w:tc>
              <w:tc>
                <w:tcPr>
                  <w:tcW w:w="980" w:type="dxa"/>
                  <w:noWrap w:val="0"/>
                  <w:vAlign w:val="center"/>
                </w:tcPr>
                <w:p w14:paraId="3661CBF9">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b/>
                      <w:bCs w:val="0"/>
                      <w:color w:val="auto"/>
                      <w:spacing w:val="-10"/>
                      <w:sz w:val="21"/>
                      <w:szCs w:val="21"/>
                      <w:highlight w:val="none"/>
                      <w:vertAlign w:val="baseline"/>
                      <w:lang w:val="en-US" w:eastAsia="zh-CN"/>
                    </w:rPr>
                    <w:t>化粪池</w:t>
                  </w:r>
                </w:p>
              </w:tc>
              <w:tc>
                <w:tcPr>
                  <w:tcW w:w="850" w:type="dxa"/>
                  <w:noWrap w:val="0"/>
                  <w:vAlign w:val="center"/>
                </w:tcPr>
                <w:p w14:paraId="50E7365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15</w:t>
                  </w:r>
                </w:p>
              </w:tc>
              <w:tc>
                <w:tcPr>
                  <w:tcW w:w="982" w:type="dxa"/>
                  <w:noWrap w:val="0"/>
                  <w:vAlign w:val="center"/>
                </w:tcPr>
                <w:p w14:paraId="165D728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15</w:t>
                  </w:r>
                </w:p>
              </w:tc>
              <w:tc>
                <w:tcPr>
                  <w:tcW w:w="867" w:type="dxa"/>
                  <w:noWrap w:val="0"/>
                  <w:vAlign w:val="center"/>
                </w:tcPr>
                <w:p w14:paraId="2D46B208">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30</w:t>
                  </w:r>
                </w:p>
              </w:tc>
              <w:tc>
                <w:tcPr>
                  <w:tcW w:w="970" w:type="dxa"/>
                  <w:noWrap w:val="0"/>
                  <w:vAlign w:val="center"/>
                </w:tcPr>
                <w:p w14:paraId="0B591215">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w:t>
                  </w:r>
                </w:p>
              </w:tc>
              <w:tc>
                <w:tcPr>
                  <w:tcW w:w="1088" w:type="dxa"/>
                  <w:noWrap w:val="0"/>
                  <w:vAlign w:val="center"/>
                </w:tcPr>
                <w:p w14:paraId="705C052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w:t>
                  </w:r>
                </w:p>
              </w:tc>
              <w:tc>
                <w:tcPr>
                  <w:tcW w:w="1395" w:type="dxa"/>
                  <w:vMerge w:val="restart"/>
                  <w:noWrap w:val="0"/>
                  <w:vAlign w:val="center"/>
                </w:tcPr>
                <w:p w14:paraId="2D22FF22">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r>
            <w:tr w14:paraId="56AA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01" w:type="dxa"/>
                  <w:vMerge w:val="continue"/>
                  <w:noWrap w:val="0"/>
                  <w:vAlign w:val="center"/>
                </w:tcPr>
                <w:p w14:paraId="40B3B365">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527" w:type="dxa"/>
                  <w:vMerge w:val="continue"/>
                  <w:noWrap w:val="0"/>
                  <w:vAlign w:val="center"/>
                </w:tcPr>
                <w:p w14:paraId="7C226C8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980" w:type="dxa"/>
                  <w:noWrap w:val="0"/>
                  <w:vAlign w:val="center"/>
                </w:tcPr>
                <w:p w14:paraId="7A8D9A9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b/>
                      <w:bCs w:val="0"/>
                      <w:color w:val="auto"/>
                      <w:spacing w:val="-10"/>
                      <w:sz w:val="21"/>
                      <w:szCs w:val="21"/>
                      <w:highlight w:val="none"/>
                      <w:vertAlign w:val="baseline"/>
                      <w:lang w:val="en-US" w:eastAsia="zh-CN"/>
                    </w:rPr>
                    <w:t>污水处理站</w:t>
                  </w:r>
                </w:p>
              </w:tc>
              <w:tc>
                <w:tcPr>
                  <w:tcW w:w="850" w:type="dxa"/>
                  <w:noWrap w:val="0"/>
                  <w:vAlign w:val="center"/>
                </w:tcPr>
                <w:p w14:paraId="7B00DD7B">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90</w:t>
                  </w:r>
                </w:p>
              </w:tc>
              <w:tc>
                <w:tcPr>
                  <w:tcW w:w="982" w:type="dxa"/>
                  <w:noWrap w:val="0"/>
                  <w:vAlign w:val="center"/>
                </w:tcPr>
                <w:p w14:paraId="78663FDB">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95</w:t>
                  </w:r>
                </w:p>
              </w:tc>
              <w:tc>
                <w:tcPr>
                  <w:tcW w:w="867" w:type="dxa"/>
                  <w:noWrap w:val="0"/>
                  <w:vAlign w:val="center"/>
                </w:tcPr>
                <w:p w14:paraId="7E151E27">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99</w:t>
                  </w:r>
                </w:p>
              </w:tc>
              <w:tc>
                <w:tcPr>
                  <w:tcW w:w="970" w:type="dxa"/>
                  <w:noWrap w:val="0"/>
                  <w:vAlign w:val="center"/>
                </w:tcPr>
                <w:p w14:paraId="2D8C0A70">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90</w:t>
                  </w:r>
                </w:p>
              </w:tc>
              <w:tc>
                <w:tcPr>
                  <w:tcW w:w="1088" w:type="dxa"/>
                  <w:noWrap w:val="0"/>
                  <w:vAlign w:val="center"/>
                </w:tcPr>
                <w:p w14:paraId="5A2BA239">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90</w:t>
                  </w:r>
                </w:p>
              </w:tc>
              <w:tc>
                <w:tcPr>
                  <w:tcW w:w="1395" w:type="dxa"/>
                  <w:vMerge w:val="continue"/>
                  <w:noWrap w:val="0"/>
                  <w:vAlign w:val="center"/>
                </w:tcPr>
                <w:p w14:paraId="085529F6">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r>
            <w:tr w14:paraId="1D2D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1" w:type="dxa"/>
                  <w:vMerge w:val="continue"/>
                  <w:noWrap w:val="0"/>
                  <w:vAlign w:val="center"/>
                </w:tcPr>
                <w:p w14:paraId="003D4AF5">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507" w:type="dxa"/>
                  <w:gridSpan w:val="2"/>
                  <w:noWrap w:val="0"/>
                  <w:vAlign w:val="center"/>
                </w:tcPr>
                <w:p w14:paraId="0BE06D9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6152" w:type="dxa"/>
                  <w:gridSpan w:val="6"/>
                  <w:noWrap w:val="0"/>
                  <w:vAlign w:val="center"/>
                </w:tcPr>
                <w:p w14:paraId="42B2D6D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14:paraId="7CF5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8" w:type="dxa"/>
                  <w:gridSpan w:val="3"/>
                  <w:noWrap w:val="0"/>
                  <w:vAlign w:val="center"/>
                </w:tcPr>
                <w:p w14:paraId="2D445CFE">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污染物处理后的量（t/a）</w:t>
                  </w:r>
                </w:p>
              </w:tc>
              <w:tc>
                <w:tcPr>
                  <w:tcW w:w="850" w:type="dxa"/>
                  <w:noWrap w:val="0"/>
                  <w:vAlign w:val="center"/>
                </w:tcPr>
                <w:p w14:paraId="3ABEC61E">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w:t>
                  </w:r>
                  <w:r>
                    <w:rPr>
                      <w:rFonts w:hint="eastAsia" w:cs="Times New Roman"/>
                      <w:b w:val="0"/>
                      <w:bCs/>
                      <w:color w:val="auto"/>
                      <w:spacing w:val="-10"/>
                      <w:sz w:val="21"/>
                      <w:szCs w:val="21"/>
                      <w:highlight w:val="none"/>
                      <w:vertAlign w:val="baseline"/>
                      <w:lang w:val="en-US" w:eastAsia="zh-CN"/>
                    </w:rPr>
                    <w:t>236</w:t>
                  </w:r>
                </w:p>
              </w:tc>
              <w:tc>
                <w:tcPr>
                  <w:tcW w:w="982" w:type="dxa"/>
                  <w:noWrap w:val="0"/>
                  <w:vAlign w:val="center"/>
                </w:tcPr>
                <w:p w14:paraId="07C1E22A">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0.004</w:t>
                  </w:r>
                  <w:r>
                    <w:rPr>
                      <w:rFonts w:hint="eastAsia" w:cs="Times New Roman"/>
                      <w:b w:val="0"/>
                      <w:bCs/>
                      <w:color w:val="auto"/>
                      <w:spacing w:val="-10"/>
                      <w:sz w:val="21"/>
                      <w:szCs w:val="21"/>
                      <w:highlight w:val="none"/>
                      <w:vertAlign w:val="baseline"/>
                      <w:lang w:val="en-US" w:eastAsia="zh-CN"/>
                    </w:rPr>
                    <w:t>5</w:t>
                  </w:r>
                </w:p>
              </w:tc>
              <w:tc>
                <w:tcPr>
                  <w:tcW w:w="867" w:type="dxa"/>
                  <w:noWrap w:val="0"/>
                  <w:vAlign w:val="center"/>
                </w:tcPr>
                <w:p w14:paraId="62655B59">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0.00</w:t>
                  </w:r>
                  <w:r>
                    <w:rPr>
                      <w:rFonts w:hint="eastAsia" w:cs="Times New Roman"/>
                      <w:b w:val="0"/>
                      <w:bCs/>
                      <w:color w:val="auto"/>
                      <w:spacing w:val="-10"/>
                      <w:sz w:val="21"/>
                      <w:szCs w:val="21"/>
                      <w:highlight w:val="none"/>
                      <w:vertAlign w:val="baseline"/>
                      <w:lang w:val="en-US" w:eastAsia="zh-CN"/>
                    </w:rPr>
                    <w:t>07</w:t>
                  </w:r>
                </w:p>
              </w:tc>
              <w:tc>
                <w:tcPr>
                  <w:tcW w:w="970" w:type="dxa"/>
                  <w:noWrap w:val="0"/>
                  <w:vAlign w:val="center"/>
                </w:tcPr>
                <w:p w14:paraId="30EB6FDA">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0.00</w:t>
                  </w:r>
                  <w:r>
                    <w:rPr>
                      <w:rFonts w:hint="eastAsia" w:cs="Times New Roman"/>
                      <w:b w:val="0"/>
                      <w:bCs/>
                      <w:color w:val="auto"/>
                      <w:spacing w:val="-10"/>
                      <w:sz w:val="21"/>
                      <w:szCs w:val="21"/>
                      <w:highlight w:val="none"/>
                      <w:vertAlign w:val="baseline"/>
                      <w:lang w:val="en-US" w:eastAsia="zh-CN"/>
                    </w:rPr>
                    <w:t>21</w:t>
                  </w:r>
                </w:p>
              </w:tc>
              <w:tc>
                <w:tcPr>
                  <w:tcW w:w="1088" w:type="dxa"/>
                  <w:noWrap w:val="0"/>
                  <w:vAlign w:val="center"/>
                </w:tcPr>
                <w:p w14:paraId="2175A5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0.0004</w:t>
                  </w:r>
                </w:p>
              </w:tc>
              <w:tc>
                <w:tcPr>
                  <w:tcW w:w="1395" w:type="dxa"/>
                  <w:noWrap w:val="0"/>
                  <w:vAlign w:val="center"/>
                </w:tcPr>
                <w:p w14:paraId="2CD824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3A74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8" w:type="dxa"/>
                  <w:gridSpan w:val="3"/>
                  <w:noWrap w:val="0"/>
                  <w:vAlign w:val="center"/>
                </w:tcPr>
                <w:p w14:paraId="72114A35">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污染物出水浓度（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850" w:type="dxa"/>
                  <w:noWrap w:val="0"/>
                  <w:vAlign w:val="center"/>
                </w:tcPr>
                <w:p w14:paraId="060FB9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44.2</w:t>
                  </w:r>
                </w:p>
              </w:tc>
              <w:tc>
                <w:tcPr>
                  <w:tcW w:w="982" w:type="dxa"/>
                  <w:noWrap w:val="0"/>
                  <w:vAlign w:val="center"/>
                </w:tcPr>
                <w:p w14:paraId="00228B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8.5</w:t>
                  </w:r>
                </w:p>
              </w:tc>
              <w:tc>
                <w:tcPr>
                  <w:tcW w:w="867" w:type="dxa"/>
                  <w:noWrap w:val="0"/>
                  <w:vAlign w:val="center"/>
                </w:tcPr>
                <w:p w14:paraId="17471F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1.4</w:t>
                  </w:r>
                </w:p>
              </w:tc>
              <w:tc>
                <w:tcPr>
                  <w:tcW w:w="970" w:type="dxa"/>
                  <w:noWrap w:val="0"/>
                  <w:vAlign w:val="center"/>
                </w:tcPr>
                <w:p w14:paraId="6909DC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4</w:t>
                  </w:r>
                </w:p>
              </w:tc>
              <w:tc>
                <w:tcPr>
                  <w:tcW w:w="1088" w:type="dxa"/>
                  <w:noWrap w:val="0"/>
                  <w:vAlign w:val="center"/>
                </w:tcPr>
                <w:p w14:paraId="459129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color w:val="auto"/>
                      <w:spacing w:val="-10"/>
                      <w:sz w:val="21"/>
                      <w:szCs w:val="21"/>
                      <w:highlight w:val="none"/>
                      <w:vertAlign w:val="baseline"/>
                      <w:lang w:val="en-US" w:eastAsia="zh-CN"/>
                    </w:rPr>
                    <w:t>0.8</w:t>
                  </w:r>
                </w:p>
              </w:tc>
              <w:tc>
                <w:tcPr>
                  <w:tcW w:w="1395" w:type="dxa"/>
                  <w:noWrap w:val="0"/>
                  <w:vAlign w:val="center"/>
                </w:tcPr>
                <w:p w14:paraId="3B6E57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488A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8" w:type="dxa"/>
                  <w:gridSpan w:val="3"/>
                  <w:noWrap w:val="0"/>
                  <w:vAlign w:val="center"/>
                </w:tcPr>
                <w:p w14:paraId="0818CC8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排放去向</w:t>
                  </w:r>
                </w:p>
              </w:tc>
              <w:tc>
                <w:tcPr>
                  <w:tcW w:w="4757" w:type="dxa"/>
                  <w:gridSpan w:val="5"/>
                  <w:noWrap w:val="0"/>
                  <w:vAlign w:val="center"/>
                </w:tcPr>
                <w:p w14:paraId="206F55E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c>
                <w:tcPr>
                  <w:tcW w:w="1395" w:type="dxa"/>
                  <w:noWrap w:val="0"/>
                  <w:vAlign w:val="center"/>
                </w:tcPr>
                <w:p w14:paraId="793693F9">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r>
            <w:tr w14:paraId="6681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8" w:type="dxa"/>
                  <w:gridSpan w:val="3"/>
                  <w:noWrap w:val="0"/>
                  <w:vAlign w:val="center"/>
                </w:tcPr>
                <w:p w14:paraId="00380BC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排放规律</w:t>
                  </w:r>
                </w:p>
              </w:tc>
              <w:tc>
                <w:tcPr>
                  <w:tcW w:w="4757" w:type="dxa"/>
                  <w:gridSpan w:val="5"/>
                  <w:noWrap w:val="0"/>
                  <w:vAlign w:val="center"/>
                </w:tcPr>
                <w:p w14:paraId="4DC8F406">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c>
                <w:tcPr>
                  <w:tcW w:w="1395" w:type="dxa"/>
                  <w:noWrap w:val="0"/>
                  <w:vAlign w:val="center"/>
                </w:tcPr>
                <w:p w14:paraId="1AC503A7">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r>
            <w:tr w14:paraId="6306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1" w:type="dxa"/>
                  <w:vMerge w:val="restart"/>
                  <w:noWrap w:val="0"/>
                  <w:vAlign w:val="center"/>
                </w:tcPr>
                <w:p w14:paraId="1EF88A2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507" w:type="dxa"/>
                  <w:gridSpan w:val="2"/>
                  <w:noWrap w:val="0"/>
                  <w:vAlign w:val="center"/>
                </w:tcPr>
                <w:p w14:paraId="10CD7B5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编号及名称</w:t>
                  </w:r>
                </w:p>
              </w:tc>
              <w:tc>
                <w:tcPr>
                  <w:tcW w:w="4757" w:type="dxa"/>
                  <w:gridSpan w:val="5"/>
                  <w:noWrap w:val="0"/>
                  <w:vAlign w:val="center"/>
                </w:tcPr>
                <w:p w14:paraId="2CE9680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DW001</w:t>
                  </w:r>
                </w:p>
              </w:tc>
              <w:tc>
                <w:tcPr>
                  <w:tcW w:w="1395" w:type="dxa"/>
                  <w:noWrap w:val="0"/>
                  <w:vAlign w:val="center"/>
                </w:tcPr>
                <w:p w14:paraId="3475853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2184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1" w:type="dxa"/>
                  <w:vMerge w:val="continue"/>
                  <w:noWrap w:val="0"/>
                  <w:vAlign w:val="center"/>
                </w:tcPr>
                <w:p w14:paraId="1A4C8925">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507" w:type="dxa"/>
                  <w:gridSpan w:val="2"/>
                  <w:noWrap w:val="0"/>
                  <w:vAlign w:val="center"/>
                </w:tcPr>
                <w:p w14:paraId="6A595CB5">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4757" w:type="dxa"/>
                  <w:gridSpan w:val="5"/>
                  <w:noWrap w:val="0"/>
                  <w:vAlign w:val="center"/>
                </w:tcPr>
                <w:p w14:paraId="59EEFFE9">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生活污水</w:t>
                  </w:r>
                </w:p>
              </w:tc>
              <w:tc>
                <w:tcPr>
                  <w:tcW w:w="1395" w:type="dxa"/>
                  <w:noWrap w:val="0"/>
                  <w:vAlign w:val="center"/>
                </w:tcPr>
                <w:p w14:paraId="5EEB15F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生产废水</w:t>
                  </w:r>
                  <w:r>
                    <w:rPr>
                      <w:rFonts w:hint="eastAsia" w:ascii="Times New Roman" w:hAnsi="Times New Roman" w:cs="Times New Roman"/>
                      <w:b w:val="0"/>
                      <w:bCs/>
                      <w:color w:val="auto"/>
                      <w:spacing w:val="-10"/>
                      <w:sz w:val="21"/>
                      <w:szCs w:val="21"/>
                      <w:highlight w:val="none"/>
                      <w:vertAlign w:val="baseline"/>
                      <w:lang w:val="en-US" w:eastAsia="zh-CN"/>
                    </w:rPr>
                    <w:t>及初期雨水</w:t>
                  </w:r>
                </w:p>
              </w:tc>
            </w:tr>
            <w:tr w14:paraId="64515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1" w:type="dxa"/>
                  <w:vMerge w:val="continue"/>
                  <w:noWrap w:val="0"/>
                  <w:vAlign w:val="center"/>
                </w:tcPr>
                <w:p w14:paraId="5170BCF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507" w:type="dxa"/>
                  <w:gridSpan w:val="2"/>
                  <w:noWrap w:val="0"/>
                  <w:vAlign w:val="center"/>
                </w:tcPr>
                <w:p w14:paraId="7925A09A">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4757" w:type="dxa"/>
                  <w:gridSpan w:val="5"/>
                  <w:noWrap w:val="0"/>
                  <w:vAlign w:val="center"/>
                </w:tcPr>
                <w:p w14:paraId="69641606">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395" w:type="dxa"/>
                  <w:noWrap w:val="0"/>
                  <w:vAlign w:val="center"/>
                </w:tcPr>
                <w:p w14:paraId="2E171D6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20F3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8" w:type="dxa"/>
                  <w:gridSpan w:val="3"/>
                  <w:noWrap w:val="0"/>
                  <w:vAlign w:val="center"/>
                </w:tcPr>
                <w:p w14:paraId="4CC2333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执行标准</w:t>
                  </w:r>
                </w:p>
              </w:tc>
              <w:tc>
                <w:tcPr>
                  <w:tcW w:w="4757" w:type="dxa"/>
                  <w:gridSpan w:val="5"/>
                  <w:noWrap w:val="0"/>
                  <w:vAlign w:val="center"/>
                </w:tcPr>
                <w:p w14:paraId="5E6978AA">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《城市污水再生利用 城市杂用水水质》（GB/T18920-2020）中的城市绿化、道路清扫、消防、建筑施工标准</w:t>
                  </w:r>
                </w:p>
              </w:tc>
              <w:tc>
                <w:tcPr>
                  <w:tcW w:w="1395" w:type="dxa"/>
                  <w:noWrap w:val="0"/>
                  <w:vAlign w:val="center"/>
                </w:tcPr>
                <w:p w14:paraId="0106BB2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684C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1" w:type="dxa"/>
                  <w:vMerge w:val="restart"/>
                  <w:noWrap w:val="0"/>
                  <w:vAlign w:val="center"/>
                </w:tcPr>
                <w:p w14:paraId="541856B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507" w:type="dxa"/>
                  <w:gridSpan w:val="2"/>
                  <w:noWrap w:val="0"/>
                  <w:vAlign w:val="center"/>
                </w:tcPr>
                <w:p w14:paraId="2179847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4757" w:type="dxa"/>
                  <w:gridSpan w:val="5"/>
                  <w:noWrap w:val="0"/>
                  <w:vAlign w:val="center"/>
                </w:tcPr>
                <w:p w14:paraId="77098E86">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一体化污水处理站出口</w:t>
                  </w:r>
                </w:p>
              </w:tc>
              <w:tc>
                <w:tcPr>
                  <w:tcW w:w="1395" w:type="dxa"/>
                  <w:noWrap w:val="0"/>
                  <w:vAlign w:val="center"/>
                </w:tcPr>
                <w:p w14:paraId="7326528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091C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1" w:type="dxa"/>
                  <w:vMerge w:val="continue"/>
                  <w:noWrap w:val="0"/>
                  <w:vAlign w:val="center"/>
                </w:tcPr>
                <w:p w14:paraId="17AD959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507" w:type="dxa"/>
                  <w:gridSpan w:val="2"/>
                  <w:noWrap w:val="0"/>
                  <w:vAlign w:val="center"/>
                </w:tcPr>
                <w:p w14:paraId="7954502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4757" w:type="dxa"/>
                  <w:gridSpan w:val="5"/>
                  <w:noWrap w:val="0"/>
                  <w:vAlign w:val="center"/>
                </w:tcPr>
                <w:p w14:paraId="35C4532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cs="Times New Roman"/>
                      <w:b w:val="0"/>
                      <w:bCs/>
                      <w:color w:val="auto"/>
                      <w:spacing w:val="-10"/>
                      <w:sz w:val="21"/>
                      <w:szCs w:val="21"/>
                      <w:highlight w:val="none"/>
                      <w:vertAlign w:val="baseline"/>
                      <w:lang w:val="en-US" w:eastAsia="zh-CN"/>
                    </w:rPr>
                    <w:t>PH、</w:t>
                  </w:r>
                  <w:r>
                    <w:rPr>
                      <w:rFonts w:hint="default" w:ascii="Times New Roman" w:hAnsi="Times New Roman" w:eastAsia="宋体" w:cs="Times New Roman"/>
                      <w:b w:val="0"/>
                      <w:bCs/>
                      <w:color w:val="auto"/>
                      <w:spacing w:val="-10"/>
                      <w:sz w:val="21"/>
                      <w:szCs w:val="21"/>
                      <w:highlight w:val="none"/>
                      <w:vertAlign w:val="baseline"/>
                      <w:lang w:val="en-US" w:eastAsia="zh-CN"/>
                    </w:rPr>
                    <w:t>COD、BOD</w:t>
                  </w:r>
                  <w:r>
                    <w:rPr>
                      <w:rFonts w:hint="default" w:ascii="Times New Roman" w:hAnsi="Times New Roman" w:eastAsia="宋体" w:cs="Times New Roman"/>
                      <w:b w:val="0"/>
                      <w:bCs/>
                      <w:color w:val="auto"/>
                      <w:spacing w:val="-10"/>
                      <w:sz w:val="21"/>
                      <w:szCs w:val="21"/>
                      <w:highlight w:val="none"/>
                      <w:vertAlign w:val="subscript"/>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、SS、氨氮、总磷</w:t>
                  </w:r>
                </w:p>
              </w:tc>
              <w:tc>
                <w:tcPr>
                  <w:tcW w:w="1395" w:type="dxa"/>
                  <w:noWrap w:val="0"/>
                  <w:vAlign w:val="center"/>
                </w:tcPr>
                <w:p w14:paraId="1EF05C1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2820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1" w:type="dxa"/>
                  <w:vMerge w:val="continue"/>
                  <w:noWrap w:val="0"/>
                  <w:vAlign w:val="center"/>
                </w:tcPr>
                <w:p w14:paraId="5811ADC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507" w:type="dxa"/>
                  <w:gridSpan w:val="2"/>
                  <w:noWrap w:val="0"/>
                  <w:vAlign w:val="center"/>
                </w:tcPr>
                <w:p w14:paraId="3AF18ED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4757" w:type="dxa"/>
                  <w:gridSpan w:val="5"/>
                  <w:noWrap w:val="0"/>
                  <w:vAlign w:val="center"/>
                </w:tcPr>
                <w:p w14:paraId="5BBB3F5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验收时监测一次，后根据国家相关技术规范进行</w:t>
                  </w:r>
                </w:p>
              </w:tc>
              <w:tc>
                <w:tcPr>
                  <w:tcW w:w="1395" w:type="dxa"/>
                  <w:noWrap w:val="0"/>
                  <w:vAlign w:val="center"/>
                </w:tcPr>
                <w:p w14:paraId="2EF3CCF8">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bl>
          <w:p w14:paraId="19D4F089">
            <w:pPr>
              <w:adjustRightInd w:val="0"/>
              <w:snapToGrid w:val="0"/>
              <w:spacing w:line="360" w:lineRule="auto"/>
              <w:ind w:firstLine="480" w:firstLineChars="200"/>
              <w:rPr>
                <w:rFonts w:hint="eastAsia" w:eastAsia="宋体" w:cs="Times New Roman"/>
                <w:b/>
                <w:bCs/>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排水采用雨污分流的排水方式，</w:t>
            </w:r>
            <w:r>
              <w:rPr>
                <w:rFonts w:hint="eastAsia" w:cs="Times New Roman"/>
                <w:caps w:val="0"/>
                <w:snapToGrid w:val="0"/>
                <w:color w:val="auto"/>
                <w:spacing w:val="0"/>
                <w:w w:val="100"/>
                <w:kern w:val="2"/>
                <w:position w:val="0"/>
                <w:sz w:val="24"/>
                <w:szCs w:val="24"/>
                <w:highlight w:val="none"/>
                <w:lang w:val="en-US" w:eastAsia="zh-CN" w:bidi="ar-SA"/>
              </w:rPr>
              <w:t>设备冷却废水</w:t>
            </w:r>
            <w:r>
              <w:rPr>
                <w:rFonts w:hint="default" w:ascii="Times New Roman" w:hAnsi="Times New Roman" w:eastAsia="宋体" w:cs="Times New Roman"/>
                <w:bCs/>
                <w:color w:val="auto"/>
                <w:kern w:val="2"/>
                <w:sz w:val="24"/>
                <w:szCs w:val="24"/>
                <w:highlight w:val="none"/>
                <w:lang w:val="en-US" w:eastAsia="zh-CN" w:bidi="ar-SA"/>
              </w:rPr>
              <w:t>经循环冷却</w:t>
            </w:r>
            <w:r>
              <w:rPr>
                <w:rFonts w:hint="default" w:ascii="Times New Roman" w:hAnsi="Times New Roman" w:eastAsia="宋体" w:cs="Times New Roman"/>
                <w:color w:val="auto"/>
                <w:sz w:val="24"/>
                <w:highlight w:val="none"/>
              </w:rPr>
              <w:t>池冷却后循环使用不外排</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w:t>
            </w:r>
            <w:r>
              <w:rPr>
                <w:rFonts w:hint="eastAsia"/>
                <w:color w:val="auto"/>
                <w:sz w:val="24"/>
                <w:highlight w:val="none"/>
              </w:rPr>
              <w:t>化验后的</w:t>
            </w:r>
            <w:r>
              <w:rPr>
                <w:color w:val="auto"/>
                <w:sz w:val="24"/>
                <w:highlight w:val="none"/>
              </w:rPr>
              <w:t>容器</w:t>
            </w:r>
            <w:r>
              <w:rPr>
                <w:rFonts w:hint="eastAsia"/>
                <w:color w:val="auto"/>
                <w:sz w:val="24"/>
                <w:highlight w:val="none"/>
              </w:rPr>
              <w:t>清洗废水通过投加絮凝剂、加入酸碱中和剂等</w:t>
            </w:r>
            <w:r>
              <w:rPr>
                <w:color w:val="auto"/>
                <w:sz w:val="24"/>
                <w:highlight w:val="none"/>
              </w:rPr>
              <w:t>方式</w:t>
            </w:r>
            <w:r>
              <w:rPr>
                <w:rFonts w:hint="eastAsia"/>
                <w:color w:val="auto"/>
                <w:sz w:val="24"/>
                <w:highlight w:val="none"/>
              </w:rPr>
              <w:t>对</w:t>
            </w:r>
            <w:r>
              <w:rPr>
                <w:color w:val="auto"/>
                <w:sz w:val="24"/>
                <w:highlight w:val="none"/>
              </w:rPr>
              <w:t>废水</w:t>
            </w:r>
            <w:r>
              <w:rPr>
                <w:rFonts w:hint="eastAsia"/>
                <w:color w:val="auto"/>
                <w:sz w:val="24"/>
                <w:highlight w:val="none"/>
              </w:rPr>
              <w:t>进行</w:t>
            </w:r>
            <w:r>
              <w:rPr>
                <w:color w:val="auto"/>
                <w:sz w:val="24"/>
                <w:highlight w:val="none"/>
              </w:rPr>
              <w:t>沉淀</w:t>
            </w:r>
            <w:r>
              <w:rPr>
                <w:rFonts w:hint="eastAsia"/>
                <w:color w:val="auto"/>
                <w:sz w:val="24"/>
                <w:highlight w:val="none"/>
              </w:rPr>
              <w:t>、</w:t>
            </w:r>
            <w:r>
              <w:rPr>
                <w:color w:val="auto"/>
                <w:sz w:val="24"/>
                <w:highlight w:val="none"/>
              </w:rPr>
              <w:t>中和</w:t>
            </w:r>
            <w:r>
              <w:rPr>
                <w:rFonts w:hint="eastAsia"/>
                <w:color w:val="auto"/>
                <w:sz w:val="24"/>
                <w:highlight w:val="none"/>
              </w:rPr>
              <w:t>等</w:t>
            </w:r>
            <w:r>
              <w:rPr>
                <w:color w:val="auto"/>
                <w:sz w:val="24"/>
                <w:highlight w:val="none"/>
              </w:rPr>
              <w:t>简易</w:t>
            </w:r>
            <w:r>
              <w:rPr>
                <w:rFonts w:hint="eastAsia"/>
                <w:color w:val="auto"/>
                <w:sz w:val="24"/>
                <w:highlight w:val="none"/>
              </w:rPr>
              <w:t>处理</w:t>
            </w:r>
            <w:r>
              <w:rPr>
                <w:color w:val="auto"/>
                <w:sz w:val="24"/>
                <w:highlight w:val="none"/>
              </w:rPr>
              <w:t>，</w:t>
            </w:r>
            <w:r>
              <w:rPr>
                <w:rFonts w:hint="eastAsia"/>
                <w:color w:val="auto"/>
                <w:sz w:val="24"/>
                <w:highlight w:val="none"/>
              </w:rPr>
              <w:t>处理后的废水排入厂内</w:t>
            </w:r>
            <w:r>
              <w:rPr>
                <w:color w:val="auto"/>
                <w:sz w:val="24"/>
                <w:highlight w:val="none"/>
              </w:rPr>
              <w:t>拟建</w:t>
            </w:r>
            <w:r>
              <w:rPr>
                <w:rFonts w:hint="eastAsia"/>
                <w:color w:val="auto"/>
                <w:sz w:val="24"/>
                <w:highlight w:val="none"/>
              </w:rPr>
              <w:t>的</w:t>
            </w:r>
            <w:r>
              <w:rPr>
                <w:rFonts w:hint="eastAsia"/>
                <w:color w:val="auto"/>
                <w:sz w:val="24"/>
                <w:highlight w:val="none"/>
                <w:lang w:eastAsia="zh-CN"/>
              </w:rPr>
              <w:t>污水</w:t>
            </w:r>
            <w:r>
              <w:rPr>
                <w:rFonts w:hint="eastAsia"/>
                <w:color w:val="auto"/>
                <w:sz w:val="24"/>
                <w:highlight w:val="none"/>
              </w:rPr>
              <w:t>处理站统一</w:t>
            </w:r>
            <w:r>
              <w:rPr>
                <w:color w:val="auto"/>
                <w:sz w:val="24"/>
                <w:highlight w:val="none"/>
              </w:rPr>
              <w:t>处置</w:t>
            </w:r>
            <w:r>
              <w:rPr>
                <w:rFonts w:hint="eastAsia"/>
                <w:color w:val="auto"/>
                <w:sz w:val="24"/>
                <w:highlight w:val="none"/>
                <w:lang w:eastAsia="zh-CN"/>
              </w:rPr>
              <w:t>；</w:t>
            </w:r>
            <w:r>
              <w:rPr>
                <w:rFonts w:hint="eastAsia"/>
                <w:color w:val="auto"/>
                <w:sz w:val="24"/>
                <w:highlight w:val="none"/>
                <w:lang w:val="en-US" w:eastAsia="zh-CN"/>
              </w:rPr>
              <w:t>吸收氨气的清水浓度大于10%时直接作为脱硝使用喷入炉膛内</w:t>
            </w:r>
            <w:r>
              <w:rPr>
                <w:rFonts w:hint="eastAsia" w:cs="Times New Roman"/>
                <w:color w:val="auto"/>
                <w:sz w:val="24"/>
                <w:highlight w:val="none"/>
                <w:vertAlign w:val="baseline"/>
                <w:lang w:val="en-US" w:eastAsia="zh-CN"/>
              </w:rPr>
              <w:t>，不外排；</w:t>
            </w:r>
            <w:r>
              <w:rPr>
                <w:rFonts w:hint="default" w:ascii="Times New Roman" w:hAnsi="Times New Roman" w:eastAsia="宋体" w:cs="Times New Roman"/>
                <w:color w:val="auto"/>
                <w:sz w:val="24"/>
                <w:highlight w:val="none"/>
              </w:rPr>
              <w:t>初期雨水</w:t>
            </w:r>
            <w:r>
              <w:rPr>
                <w:rFonts w:hint="eastAsia" w:ascii="Times New Roman" w:hAnsi="Times New Roman" w:eastAsia="宋体" w:cs="Times New Roman"/>
                <w:color w:val="auto"/>
                <w:sz w:val="24"/>
                <w:highlight w:val="none"/>
                <w:lang w:eastAsia="zh-CN"/>
              </w:rPr>
              <w:t>经沉淀</w:t>
            </w:r>
            <w:r>
              <w:rPr>
                <w:rFonts w:hint="default" w:ascii="Times New Roman" w:hAnsi="Times New Roman" w:eastAsia="宋体" w:cs="Times New Roman"/>
                <w:color w:val="auto"/>
                <w:sz w:val="24"/>
                <w:highlight w:val="none"/>
              </w:rPr>
              <w:t>处理后回用</w:t>
            </w:r>
            <w:r>
              <w:rPr>
                <w:rFonts w:hint="default" w:ascii="Times New Roman" w:hAnsi="Times New Roman" w:eastAsia="宋体" w:cs="Times New Roman"/>
                <w:color w:val="auto"/>
                <w:sz w:val="24"/>
                <w:highlight w:val="none"/>
                <w:lang w:val="en-US" w:eastAsia="zh-CN"/>
              </w:rPr>
              <w:t>于</w:t>
            </w:r>
            <w:r>
              <w:rPr>
                <w:rFonts w:hint="eastAsia" w:ascii="Times New Roman" w:hAnsi="Times New Roman" w:eastAsia="宋体" w:cs="Times New Roman"/>
                <w:color w:val="auto"/>
                <w:sz w:val="24"/>
                <w:highlight w:val="none"/>
                <w:lang w:eastAsia="zh-CN"/>
              </w:rPr>
              <w:t>厂区洒水抑尘</w:t>
            </w:r>
            <w:r>
              <w:rPr>
                <w:rFonts w:hint="default" w:ascii="Times New Roman" w:hAnsi="Times New Roman" w:eastAsia="宋体" w:cs="Times New Roman"/>
                <w:color w:val="auto"/>
                <w:sz w:val="24"/>
                <w:highlight w:val="none"/>
              </w:rPr>
              <w:t>，不外排</w:t>
            </w:r>
            <w:r>
              <w:rPr>
                <w:rFonts w:hint="eastAsia" w:ascii="Times New Roman" w:hAnsi="Times New Roman" w:eastAsia="宋体" w:cs="Times New Roman"/>
                <w:color w:val="auto"/>
                <w:sz w:val="24"/>
                <w:highlight w:val="none"/>
                <w:lang w:eastAsia="zh-CN"/>
              </w:rPr>
              <w:t>；</w:t>
            </w:r>
          </w:p>
          <w:p w14:paraId="4C11D2C9">
            <w:pPr>
              <w:pStyle w:val="82"/>
              <w:keepNext w:val="0"/>
              <w:keepLines w:val="0"/>
              <w:pageBreakBefore w:val="0"/>
              <w:widowControl w:val="0"/>
              <w:kinsoku/>
              <w:wordWrap/>
              <w:overflowPunct/>
              <w:topLinePunct w:val="0"/>
              <w:autoSpaceDE/>
              <w:autoSpaceDN/>
              <w:bidi w:val="0"/>
              <w:spacing w:beforeLines="0" w:afterLines="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办公生活污水</w:t>
            </w:r>
            <w:r>
              <w:rPr>
                <w:rFonts w:hint="eastAsia" w:cs="Times New Roman"/>
                <w:caps w:val="0"/>
                <w:snapToGrid w:val="0"/>
                <w:color w:val="auto"/>
                <w:spacing w:val="0"/>
                <w:w w:val="100"/>
                <w:kern w:val="2"/>
                <w:position w:val="0"/>
                <w:sz w:val="24"/>
                <w:szCs w:val="24"/>
                <w:highlight w:val="none"/>
                <w:lang w:val="en-US" w:eastAsia="zh-CN" w:bidi="ar-SA"/>
              </w:rPr>
              <w:t>排</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入化粪</w:t>
            </w:r>
            <w:r>
              <w:rPr>
                <w:rFonts w:hint="eastAsia" w:cs="Times New Roman"/>
                <w:caps w:val="0"/>
                <w:snapToGrid w:val="0"/>
                <w:color w:val="auto"/>
                <w:spacing w:val="0"/>
                <w:w w:val="100"/>
                <w:kern w:val="2"/>
                <w:position w:val="0"/>
                <w:sz w:val="24"/>
                <w:szCs w:val="24"/>
                <w:highlight w:val="none"/>
                <w:lang w:val="en-US" w:eastAsia="zh-CN" w:bidi="ar-SA"/>
              </w:rPr>
              <w:t>池处理后同化验废水一并进入</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地埋式一体化污水处理站处理达《城市污水再生利用 城市杂用水水质》（GB/T18920-2020）中的城市绿化、道路清扫、消防、建筑施工标准后，用于项目区内绿化及道路场地洒水降尘，不外排。</w:t>
            </w:r>
          </w:p>
          <w:p w14:paraId="5F3B7A7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b w:val="0"/>
                <w:bCs w:val="0"/>
                <w:snapToGrid w:val="0"/>
                <w:color w:val="auto"/>
                <w:kern w:val="0"/>
                <w:sz w:val="24"/>
                <w:highlight w:val="none"/>
                <w:lang w:val="en-US" w:eastAsia="zh-CN"/>
              </w:rPr>
            </w:pPr>
            <w:r>
              <w:rPr>
                <w:rFonts w:hint="default" w:ascii="Times New Roman" w:hAnsi="Times New Roman" w:eastAsia="宋体" w:cs="Times New Roman"/>
                <w:color w:val="auto"/>
                <w:spacing w:val="11"/>
                <w:sz w:val="24"/>
                <w:szCs w:val="24"/>
                <w:highlight w:val="none"/>
                <w:lang w:val="en-US" w:eastAsia="zh-CN"/>
              </w:rPr>
              <w:t>根据水</w:t>
            </w:r>
            <w:r>
              <w:rPr>
                <w:rFonts w:hint="default" w:ascii="Times New Roman" w:hAnsi="Times New Roman" w:eastAsia="宋体" w:cs="Times New Roman"/>
                <w:color w:val="auto"/>
                <w:spacing w:val="11"/>
                <w:sz w:val="24"/>
                <w:highlight w:val="none"/>
                <w:lang w:val="en-US" w:eastAsia="zh-CN"/>
              </w:rPr>
              <w:t>平衡可知，本项目运营期办公生活污水量为</w:t>
            </w:r>
            <w:r>
              <w:rPr>
                <w:rFonts w:hint="eastAsia"/>
                <w:color w:val="auto"/>
                <w:sz w:val="24"/>
                <w:highlight w:val="none"/>
                <w:lang w:val="en-US" w:eastAsia="zh-CN"/>
              </w:rPr>
              <w:t>2.04</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val="en-US" w:eastAsia="zh-CN"/>
              </w:rPr>
              <w:t>571.2</w:t>
            </w:r>
            <w:r>
              <w:rPr>
                <w:color w:val="auto"/>
                <w:sz w:val="24"/>
                <w:highlight w:val="none"/>
              </w:rPr>
              <w:t>m</w:t>
            </w:r>
            <w:r>
              <w:rPr>
                <w:color w:val="auto"/>
                <w:sz w:val="24"/>
                <w:highlight w:val="none"/>
                <w:vertAlign w:val="superscript"/>
              </w:rPr>
              <w:t>3</w:t>
            </w:r>
            <w:r>
              <w:rPr>
                <w:color w:val="auto"/>
                <w:sz w:val="24"/>
                <w:highlight w:val="none"/>
              </w:rPr>
              <w:t>/a</w:t>
            </w:r>
            <w:r>
              <w:rPr>
                <w:rFonts w:hint="default" w:ascii="Times New Roman" w:hAnsi="Times New Roman" w:eastAsia="宋体" w:cs="Times New Roman"/>
                <w:color w:val="auto"/>
                <w:spacing w:val="11"/>
                <w:sz w:val="24"/>
                <w:highlight w:val="none"/>
                <w:lang w:val="en-US" w:eastAsia="zh-CN"/>
              </w:rPr>
              <w:t>，</w:t>
            </w:r>
            <w:r>
              <w:rPr>
                <w:rFonts w:hint="eastAsia"/>
                <w:color w:val="auto"/>
                <w:sz w:val="24"/>
                <w:highlight w:val="none"/>
              </w:rPr>
              <w:t>化验容器</w:t>
            </w:r>
            <w:r>
              <w:rPr>
                <w:rFonts w:hint="default" w:ascii="Times New Roman" w:hAnsi="Times New Roman" w:eastAsia="宋体" w:cs="Times New Roman"/>
                <w:color w:val="auto"/>
                <w:spacing w:val="11"/>
                <w:sz w:val="24"/>
                <w:highlight w:val="none"/>
                <w:lang w:val="en-US" w:eastAsia="zh-CN"/>
              </w:rPr>
              <w:t>清洗废水量为</w:t>
            </w:r>
            <w:r>
              <w:rPr>
                <w:rFonts w:hint="eastAsia"/>
                <w:color w:val="auto"/>
                <w:sz w:val="24"/>
                <w:highlight w:val="none"/>
              </w:rPr>
              <w:t>0.0</w:t>
            </w:r>
            <w:r>
              <w:rPr>
                <w:rFonts w:hint="eastAsia"/>
                <w:color w:val="auto"/>
                <w:sz w:val="24"/>
                <w:highlight w:val="none"/>
                <w:lang w:val="en-US" w:eastAsia="zh-CN"/>
              </w:rPr>
              <w:t>2</w:t>
            </w:r>
            <w:r>
              <w:rPr>
                <w:color w:val="auto"/>
                <w:sz w:val="24"/>
                <w:highlight w:val="none"/>
              </w:rPr>
              <w:t>m</w:t>
            </w:r>
            <w:r>
              <w:rPr>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5.6</w:t>
            </w:r>
            <w:r>
              <w:rPr>
                <w:color w:val="auto"/>
                <w:sz w:val="24"/>
                <w:highlight w:val="none"/>
              </w:rPr>
              <w:t>m</w:t>
            </w:r>
            <w:r>
              <w:rPr>
                <w:color w:val="auto"/>
                <w:sz w:val="24"/>
                <w:highlight w:val="none"/>
                <w:vertAlign w:val="superscript"/>
              </w:rPr>
              <w:t>3</w:t>
            </w:r>
            <w:r>
              <w:rPr>
                <w:color w:val="auto"/>
                <w:sz w:val="24"/>
                <w:highlight w:val="none"/>
              </w:rPr>
              <w:t>/a</w:t>
            </w:r>
            <w:r>
              <w:rPr>
                <w:rFonts w:hint="default" w:ascii="Times New Roman" w:hAnsi="Times New Roman" w:eastAsia="宋体" w:cs="Times New Roman"/>
                <w:color w:val="auto"/>
                <w:spacing w:val="11"/>
                <w:sz w:val="24"/>
                <w:highlight w:val="none"/>
                <w:lang w:val="en-US" w:eastAsia="zh-CN"/>
              </w:rPr>
              <w:t>。</w:t>
            </w:r>
          </w:p>
          <w:p w14:paraId="50D39C13">
            <w:pPr>
              <w:keepNext w:val="0"/>
              <w:keepLines w:val="0"/>
              <w:pageBreakBefore w:val="0"/>
              <w:widowControl w:val="0"/>
              <w:kinsoku/>
              <w:wordWrap/>
              <w:overflowPunct/>
              <w:topLinePunct w:val="0"/>
              <w:autoSpaceDE/>
              <w:autoSpaceDN/>
              <w:bidi w:val="0"/>
              <w:adjustRightInd/>
              <w:spacing w:line="360" w:lineRule="auto"/>
              <w:ind w:firstLine="526" w:firstLineChars="200"/>
              <w:textAlignment w:val="auto"/>
              <w:rPr>
                <w:rFonts w:hint="default" w:ascii="Times New Roman" w:hAnsi="Times New Roman" w:eastAsia="宋体" w:cs="Times New Roman"/>
                <w:b/>
                <w:bCs/>
                <w:color w:val="auto"/>
                <w:spacing w:val="11"/>
                <w:sz w:val="24"/>
                <w:highlight w:val="none"/>
                <w:lang w:val="zh-CN"/>
              </w:rPr>
            </w:pPr>
            <w:r>
              <w:rPr>
                <w:rFonts w:hint="default" w:ascii="Times New Roman" w:hAnsi="Times New Roman" w:eastAsia="宋体" w:cs="Times New Roman"/>
                <w:b/>
                <w:bCs/>
                <w:color w:val="auto"/>
                <w:spacing w:val="11"/>
                <w:sz w:val="24"/>
                <w:highlight w:val="none"/>
                <w:lang w:val="en-US" w:eastAsia="zh-CN"/>
              </w:rPr>
              <w:t>2、</w:t>
            </w:r>
            <w:r>
              <w:rPr>
                <w:rFonts w:hint="default" w:ascii="Times New Roman" w:hAnsi="Times New Roman" w:eastAsia="宋体" w:cs="Times New Roman"/>
                <w:b/>
                <w:bCs/>
                <w:color w:val="auto"/>
                <w:spacing w:val="11"/>
                <w:sz w:val="24"/>
                <w:highlight w:val="none"/>
              </w:rPr>
              <w:t>提出措施后污染物分析</w:t>
            </w:r>
          </w:p>
          <w:p w14:paraId="5762809D">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kern w:val="0"/>
                <w:sz w:val="24"/>
                <w:szCs w:val="20"/>
                <w:highlight w:val="none"/>
                <w:lang w:val="en-US" w:eastAsia="zh-CN"/>
              </w:rPr>
            </w:pPr>
            <w:r>
              <w:rPr>
                <w:rFonts w:hint="default" w:ascii="Times New Roman" w:hAnsi="Times New Roman" w:eastAsia="宋体" w:cs="Times New Roman"/>
                <w:color w:val="auto"/>
                <w:kern w:val="0"/>
                <w:sz w:val="24"/>
                <w:szCs w:val="20"/>
                <w:highlight w:val="none"/>
                <w:lang w:val="en-US" w:eastAsia="zh-CN"/>
              </w:rPr>
              <w:t>①生活污水</w:t>
            </w:r>
          </w:p>
          <w:p w14:paraId="4DFBA3D9">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sz w:val="24"/>
                <w:highlight w:val="none"/>
              </w:rPr>
              <w:t>生活污水水质数据参照</w:t>
            </w:r>
            <w:r>
              <w:rPr>
                <w:rFonts w:hint="default" w:ascii="Times New Roman" w:hAnsi="Times New Roman" w:eastAsia="宋体" w:cs="Times New Roman"/>
                <w:color w:val="auto"/>
                <w:kern w:val="0"/>
                <w:sz w:val="24"/>
                <w:szCs w:val="24"/>
                <w:highlight w:val="none"/>
                <w:lang w:val="zh-CN"/>
              </w:rPr>
              <w:t>《城市污水回用技术手册》（金兆丰、徐竟成等编著，化学工业出版社，2004年版），我国城市生活污水水质统计数据中，COD约为250~1000mg/L、BOD</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lang w:val="zh-CN"/>
              </w:rPr>
              <w:t>为</w:t>
            </w:r>
            <w:r>
              <w:rPr>
                <w:rFonts w:hint="default" w:ascii="Times New Roman" w:hAnsi="Times New Roman" w:eastAsia="宋体" w:cs="Times New Roman"/>
                <w:color w:val="auto"/>
                <w:kern w:val="0"/>
                <w:sz w:val="24"/>
                <w:szCs w:val="24"/>
                <w:highlight w:val="none"/>
                <w:lang w:val="en-US" w:eastAsia="zh-CN"/>
              </w:rPr>
              <w:t>10</w:t>
            </w:r>
            <w:r>
              <w:rPr>
                <w:rFonts w:hint="default" w:ascii="Times New Roman" w:hAnsi="Times New Roman" w:eastAsia="宋体" w:cs="Times New Roman"/>
                <w:color w:val="auto"/>
                <w:kern w:val="0"/>
                <w:sz w:val="24"/>
                <w:szCs w:val="24"/>
                <w:highlight w:val="none"/>
                <w:lang w:val="zh-CN"/>
              </w:rPr>
              <w:t>0-400mg/L、SS为200-350mg/L、氨氮为20-85mg/L、总磷为4～15mg/L；本环评采用水质统计数据中中等浓度值进行生活污水水质进行预测</w:t>
            </w:r>
            <w:r>
              <w:rPr>
                <w:rFonts w:hint="default" w:ascii="Times New Roman" w:hAnsi="Times New Roman" w:eastAsia="宋体" w:cs="Times New Roman"/>
                <w:color w:val="auto"/>
                <w:sz w:val="24"/>
                <w:highlight w:val="none"/>
                <w:lang w:eastAsia="zh-CN"/>
              </w:rPr>
              <w:t>。</w:t>
            </w:r>
          </w:p>
          <w:p w14:paraId="562B1503">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kern w:val="0"/>
                <w:sz w:val="24"/>
                <w:szCs w:val="20"/>
                <w:highlight w:val="none"/>
                <w:lang w:val="en-US" w:eastAsia="zh-CN"/>
              </w:rPr>
            </w:pPr>
            <w:r>
              <w:rPr>
                <w:rFonts w:hint="default" w:ascii="Times New Roman" w:hAnsi="Times New Roman" w:eastAsia="宋体" w:cs="Times New Roman"/>
                <w:color w:val="auto"/>
                <w:kern w:val="0"/>
                <w:sz w:val="24"/>
                <w:szCs w:val="20"/>
                <w:highlight w:val="none"/>
              </w:rPr>
              <w:t>项目生活废水水质产生情况如下：</w:t>
            </w:r>
            <w:r>
              <w:rPr>
                <w:rFonts w:hint="default" w:ascii="Times New Roman" w:hAnsi="Times New Roman" w:eastAsia="宋体" w:cs="Times New Roman"/>
                <w:color w:val="auto"/>
                <w:sz w:val="24"/>
                <w:highlight w:val="none"/>
              </w:rPr>
              <w:t>COD为520mg/L、BOD</w:t>
            </w:r>
            <w:r>
              <w:rPr>
                <w:rFonts w:hint="default" w:ascii="Times New Roman" w:hAnsi="Times New Roman" w:eastAsia="宋体" w:cs="Times New Roman"/>
                <w:color w:val="auto"/>
                <w:sz w:val="24"/>
                <w:highlight w:val="none"/>
                <w:vertAlign w:val="subscript"/>
              </w:rPr>
              <w:t>5</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200</w:t>
            </w:r>
            <w:r>
              <w:rPr>
                <w:rFonts w:hint="default" w:ascii="Times New Roman" w:hAnsi="Times New Roman" w:eastAsia="宋体" w:cs="Times New Roman"/>
                <w:color w:val="auto"/>
                <w:sz w:val="24"/>
                <w:highlight w:val="none"/>
              </w:rPr>
              <w:t>mg/L、SS为</w:t>
            </w:r>
            <w:r>
              <w:rPr>
                <w:rFonts w:hint="default" w:ascii="Times New Roman" w:hAnsi="Times New Roman" w:eastAsia="宋体" w:cs="Times New Roman"/>
                <w:color w:val="auto"/>
                <w:sz w:val="24"/>
                <w:highlight w:val="none"/>
                <w:lang w:val="en-US" w:eastAsia="zh-CN"/>
              </w:rPr>
              <w:t>200</w:t>
            </w:r>
            <w:r>
              <w:rPr>
                <w:rFonts w:hint="default" w:ascii="Times New Roman" w:hAnsi="Times New Roman" w:eastAsia="宋体" w:cs="Times New Roman"/>
                <w:color w:val="auto"/>
                <w:sz w:val="24"/>
                <w:highlight w:val="none"/>
              </w:rPr>
              <w:t>mg/L、氨氮为</w:t>
            </w:r>
            <w:r>
              <w:rPr>
                <w:rFonts w:hint="default" w:ascii="Times New Roman" w:hAnsi="Times New Roman" w:eastAsia="宋体" w:cs="Times New Roman"/>
                <w:color w:val="auto"/>
                <w:sz w:val="24"/>
                <w:highlight w:val="none"/>
                <w:lang w:val="en-US" w:eastAsia="zh-CN"/>
              </w:rPr>
              <w:t>40</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highlight w:val="none"/>
                <w:lang w:eastAsia="zh-CN"/>
              </w:rPr>
              <w:t>总</w:t>
            </w:r>
            <w:r>
              <w:rPr>
                <w:rFonts w:hint="default" w:ascii="Times New Roman" w:hAnsi="Times New Roman" w:eastAsia="宋体" w:cs="Times New Roman"/>
                <w:color w:val="auto"/>
                <w:sz w:val="24"/>
                <w:highlight w:val="none"/>
              </w:rPr>
              <w:t>磷为8mg/L</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b w:val="0"/>
                <w:bCs/>
                <w:color w:val="auto"/>
                <w:sz w:val="24"/>
                <w:szCs w:val="24"/>
                <w:highlight w:val="none"/>
                <w:lang w:val="en-US" w:eastAsia="zh-CN" w:bidi="ar"/>
              </w:rPr>
              <w:t>根据计算可知，本项目生活污水经化粪池预处理后，各污染物</w:t>
            </w:r>
            <w:r>
              <w:rPr>
                <w:rFonts w:hint="default" w:ascii="Times New Roman" w:hAnsi="Times New Roman" w:eastAsia="宋体" w:cs="Times New Roman"/>
                <w:snapToGrid w:val="0"/>
                <w:color w:val="auto"/>
                <w:sz w:val="24"/>
                <w:highlight w:val="none"/>
                <w:lang w:val="en-US" w:eastAsia="zh-CN"/>
              </w:rPr>
              <w:t>处理浓度</w:t>
            </w:r>
            <w:r>
              <w:rPr>
                <w:rFonts w:hint="default" w:ascii="Times New Roman" w:hAnsi="Times New Roman" w:eastAsia="宋体" w:cs="Times New Roman"/>
                <w:snapToGrid w:val="0"/>
                <w:color w:val="auto"/>
                <w:sz w:val="24"/>
                <w:highlight w:val="none"/>
              </w:rPr>
              <w:t>分别为：COD</w:t>
            </w:r>
            <w:r>
              <w:rPr>
                <w:rFonts w:hint="default" w:ascii="Times New Roman" w:hAnsi="Times New Roman" w:eastAsia="宋体" w:cs="Times New Roman"/>
                <w:snapToGrid w:val="0"/>
                <w:color w:val="auto"/>
                <w:sz w:val="24"/>
                <w:highlight w:val="none"/>
                <w:lang w:val="en-US" w:eastAsia="zh-CN"/>
              </w:rPr>
              <w:t>-442mg/L</w:t>
            </w:r>
            <w:r>
              <w:rPr>
                <w:rFonts w:hint="default" w:ascii="Times New Roman" w:hAnsi="Times New Roman" w:eastAsia="宋体" w:cs="Times New Roman"/>
                <w:snapToGrid w:val="0"/>
                <w:color w:val="auto"/>
                <w:sz w:val="24"/>
                <w:highlight w:val="none"/>
              </w:rPr>
              <w:t>、BOD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lang w:val="en-US" w:eastAsia="zh-CN"/>
              </w:rPr>
              <w:t>-170mg/L</w:t>
            </w:r>
            <w:r>
              <w:rPr>
                <w:rFonts w:hint="default" w:ascii="Times New Roman" w:hAnsi="Times New Roman" w:eastAsia="宋体" w:cs="Times New Roman"/>
                <w:snapToGrid w:val="0"/>
                <w:color w:val="auto"/>
                <w:sz w:val="24"/>
                <w:highlight w:val="none"/>
              </w:rPr>
              <w:t>、SS</w:t>
            </w:r>
            <w:r>
              <w:rPr>
                <w:rFonts w:hint="default" w:ascii="Times New Roman" w:hAnsi="Times New Roman" w:eastAsia="宋体" w:cs="Times New Roman"/>
                <w:snapToGrid w:val="0"/>
                <w:color w:val="auto"/>
                <w:sz w:val="24"/>
                <w:highlight w:val="none"/>
                <w:lang w:val="en-US" w:eastAsia="zh-CN"/>
              </w:rPr>
              <w:t>-140mg/L</w:t>
            </w:r>
            <w:r>
              <w:rPr>
                <w:rFonts w:hint="default" w:ascii="Times New Roman" w:hAnsi="Times New Roman" w:eastAsia="宋体" w:cs="Times New Roman"/>
                <w:snapToGrid w:val="0"/>
                <w:color w:val="auto"/>
                <w:sz w:val="24"/>
                <w:highlight w:val="none"/>
              </w:rPr>
              <w:t>、氨氮</w:t>
            </w:r>
            <w:r>
              <w:rPr>
                <w:rFonts w:hint="default" w:ascii="Times New Roman" w:hAnsi="Times New Roman" w:eastAsia="宋体" w:cs="Times New Roman"/>
                <w:snapToGrid w:val="0"/>
                <w:color w:val="auto"/>
                <w:sz w:val="24"/>
                <w:highlight w:val="none"/>
                <w:lang w:val="en-US" w:eastAsia="zh-CN"/>
              </w:rPr>
              <w:t>-40mg/L</w:t>
            </w:r>
            <w:r>
              <w:rPr>
                <w:rFonts w:hint="default" w:ascii="Times New Roman" w:hAnsi="Times New Roman" w:eastAsia="宋体" w:cs="Times New Roman"/>
                <w:snapToGrid w:val="0"/>
                <w:color w:val="auto"/>
                <w:sz w:val="24"/>
                <w:highlight w:val="none"/>
              </w:rPr>
              <w:t>、总磷</w:t>
            </w:r>
            <w:r>
              <w:rPr>
                <w:rFonts w:hint="default" w:ascii="Times New Roman" w:hAnsi="Times New Roman" w:eastAsia="宋体" w:cs="Times New Roman"/>
                <w:snapToGrid w:val="0"/>
                <w:color w:val="auto"/>
                <w:sz w:val="24"/>
                <w:highlight w:val="none"/>
                <w:lang w:val="en-US" w:eastAsia="zh-CN"/>
              </w:rPr>
              <w:t>-8mg/L</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经过预处理后的生活废水浓度能够满足</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rPr>
              <w:t>膜生物法污水处理工程技术规范</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HJ2010-2011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中4.2.3膜生物反应池进水宜符合限值要求，即</w:t>
            </w:r>
            <w:r>
              <w:rPr>
                <w:rFonts w:hint="default" w:ascii="Times New Roman" w:hAnsi="Times New Roman" w:eastAsia="宋体" w:cs="Times New Roman"/>
                <w:snapToGrid w:val="0"/>
                <w:color w:val="auto"/>
                <w:sz w:val="24"/>
                <w:highlight w:val="none"/>
              </w:rPr>
              <w:t>COD</w:t>
            </w:r>
            <w:r>
              <w:rPr>
                <w:rFonts w:hint="default" w:ascii="Times New Roman" w:hAnsi="Times New Roman" w:eastAsia="宋体" w:cs="Times New Roman"/>
                <w:snapToGrid w:val="0"/>
                <w:color w:val="auto"/>
                <w:sz w:val="24"/>
                <w:highlight w:val="none"/>
                <w:lang w:val="en-US" w:eastAsia="zh-CN"/>
              </w:rPr>
              <w:t>-500mg/L</w:t>
            </w:r>
            <w:r>
              <w:rPr>
                <w:rFonts w:hint="default" w:ascii="Times New Roman" w:hAnsi="Times New Roman" w:eastAsia="宋体" w:cs="Times New Roman"/>
                <w:snapToGrid w:val="0"/>
                <w:color w:val="auto"/>
                <w:sz w:val="24"/>
                <w:highlight w:val="none"/>
              </w:rPr>
              <w:t>、BOD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lang w:val="en-US" w:eastAsia="zh-CN"/>
              </w:rPr>
              <w:t>-300mg/L</w:t>
            </w:r>
            <w:r>
              <w:rPr>
                <w:rFonts w:hint="default" w:ascii="Times New Roman" w:hAnsi="Times New Roman" w:eastAsia="宋体" w:cs="Times New Roman"/>
                <w:snapToGrid w:val="0"/>
                <w:color w:val="auto"/>
                <w:sz w:val="24"/>
                <w:highlight w:val="none"/>
              </w:rPr>
              <w:t>、SS</w:t>
            </w:r>
            <w:r>
              <w:rPr>
                <w:rFonts w:hint="default" w:ascii="Times New Roman" w:hAnsi="Times New Roman" w:eastAsia="宋体" w:cs="Times New Roman"/>
                <w:snapToGrid w:val="0"/>
                <w:color w:val="auto"/>
                <w:sz w:val="24"/>
                <w:highlight w:val="none"/>
                <w:lang w:val="en-US" w:eastAsia="zh-CN"/>
              </w:rPr>
              <w:t>-150mg/L</w:t>
            </w:r>
            <w:r>
              <w:rPr>
                <w:rFonts w:hint="default" w:ascii="Times New Roman" w:hAnsi="Times New Roman" w:eastAsia="宋体" w:cs="Times New Roman"/>
                <w:snapToGrid w:val="0"/>
                <w:color w:val="auto"/>
                <w:sz w:val="24"/>
                <w:highlight w:val="none"/>
              </w:rPr>
              <w:t>、氨氮</w:t>
            </w:r>
            <w:r>
              <w:rPr>
                <w:rFonts w:hint="default" w:ascii="Times New Roman" w:hAnsi="Times New Roman" w:eastAsia="宋体" w:cs="Times New Roman"/>
                <w:snapToGrid w:val="0"/>
                <w:color w:val="auto"/>
                <w:sz w:val="24"/>
                <w:highlight w:val="none"/>
                <w:lang w:val="en-US" w:eastAsia="zh-CN"/>
              </w:rPr>
              <w:t>-50mg/L、动植物油-30mg/L。</w:t>
            </w:r>
            <w:r>
              <w:rPr>
                <w:rFonts w:hint="default" w:ascii="Times New Roman" w:hAnsi="Times New Roman" w:eastAsia="宋体" w:cs="Times New Roman"/>
                <w:color w:val="auto"/>
                <w:kern w:val="0"/>
                <w:sz w:val="24"/>
                <w:szCs w:val="20"/>
                <w:highlight w:val="none"/>
                <w:lang w:val="en-US" w:eastAsia="zh-CN"/>
              </w:rPr>
              <w:t>因此，本次环评提出办公生活污水进入化粪池</w:t>
            </w:r>
            <w:r>
              <w:rPr>
                <w:rFonts w:hint="eastAsia" w:ascii="Times New Roman" w:hAnsi="Times New Roman" w:eastAsia="宋体" w:cs="Times New Roman"/>
                <w:color w:val="auto"/>
                <w:kern w:val="0"/>
                <w:sz w:val="24"/>
                <w:szCs w:val="20"/>
                <w:highlight w:val="none"/>
                <w:lang w:val="en-US" w:eastAsia="zh-CN"/>
              </w:rPr>
              <w:t>处理后同化验容器清洗废水一并进入</w:t>
            </w:r>
            <w:r>
              <w:rPr>
                <w:rFonts w:hint="default" w:ascii="Times New Roman" w:hAnsi="Times New Roman" w:eastAsia="宋体" w:cs="Times New Roman"/>
                <w:color w:val="auto"/>
                <w:kern w:val="0"/>
                <w:sz w:val="24"/>
                <w:szCs w:val="20"/>
                <w:highlight w:val="none"/>
                <w:lang w:val="en-US" w:eastAsia="zh-CN"/>
              </w:rPr>
              <w:t>地埋式一体化污水处理站处理达《城市污水再生利用 城市杂用水水质》（GB/T18920-2020）中的城市绿化、道路清扫、消防、建筑施工标准后，用于项目区内绿化及道路场地洒水降尘，不外排。</w:t>
            </w:r>
          </w:p>
          <w:p w14:paraId="1223A1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snapToGrid w:val="0"/>
                <w:color w:val="auto"/>
                <w:sz w:val="24"/>
                <w:highlight w:val="none"/>
              </w:rPr>
              <w:t>根据《常用污水处理设备及去除率》进行确定，</w:t>
            </w:r>
            <w:r>
              <w:rPr>
                <w:rFonts w:hint="default" w:ascii="Times New Roman" w:hAnsi="Times New Roman" w:eastAsia="宋体" w:cs="Times New Roman"/>
                <w:snapToGrid w:val="0"/>
                <w:color w:val="auto"/>
                <w:sz w:val="24"/>
                <w:highlight w:val="none"/>
                <w:lang w:val="en-US" w:eastAsia="zh-CN"/>
              </w:rPr>
              <w:t>化粪池处理效率</w:t>
            </w:r>
            <w:r>
              <w:rPr>
                <w:rFonts w:hint="default" w:ascii="Times New Roman" w:hAnsi="Times New Roman" w:eastAsia="宋体" w:cs="Times New Roman"/>
                <w:snapToGrid w:val="0"/>
                <w:color w:val="auto"/>
                <w:sz w:val="24"/>
                <w:highlight w:val="none"/>
              </w:rPr>
              <w:t>分别为：COD15%、BOD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rPr>
              <w:t>15%、SS30%、氨氮0%、总磷0%</w:t>
            </w:r>
            <w:r>
              <w:rPr>
                <w:rFonts w:hint="default" w:ascii="Times New Roman" w:hAnsi="Times New Roman" w:eastAsia="宋体" w:cs="Times New Roman"/>
                <w:color w:val="auto"/>
                <w:sz w:val="24"/>
                <w:szCs w:val="24"/>
                <w:highlight w:val="none"/>
                <w:lang w:val="zh-CN"/>
              </w:rPr>
              <w:t>；根据</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rPr>
              <w:t>膜生物法污水处理工程技术规范</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HJ2010-2011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中6.1.6</w:t>
            </w:r>
            <w:r>
              <w:rPr>
                <w:rFonts w:hint="default" w:ascii="Times New Roman" w:hAnsi="Times New Roman" w:eastAsia="宋体" w:cs="Times New Roman"/>
                <w:color w:val="auto"/>
                <w:sz w:val="24"/>
                <w:szCs w:val="24"/>
                <w:highlight w:val="none"/>
              </w:rPr>
              <w:t>膜生物法处理系统对COD、BOD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、SS、氨氮的去除效率应分别在90％、95％、99％、90％以上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总磷去除效率参照氨氮90%进行计算。项目选取最低</w:t>
            </w:r>
            <w:r>
              <w:rPr>
                <w:rFonts w:hint="default" w:ascii="Times New Roman" w:hAnsi="Times New Roman" w:eastAsia="宋体" w:cs="Times New Roman"/>
                <w:color w:val="auto"/>
                <w:sz w:val="24"/>
                <w:szCs w:val="24"/>
                <w:highlight w:val="none"/>
              </w:rPr>
              <w:t>去除效率</w:t>
            </w:r>
            <w:r>
              <w:rPr>
                <w:rFonts w:hint="default" w:ascii="Times New Roman" w:hAnsi="Times New Roman" w:eastAsia="宋体" w:cs="Times New Roman"/>
                <w:color w:val="auto"/>
                <w:sz w:val="24"/>
                <w:szCs w:val="24"/>
                <w:highlight w:val="none"/>
                <w:lang w:val="en-US" w:eastAsia="zh-CN"/>
              </w:rPr>
              <w:t>进行核算，则本项目综合污水各</w:t>
            </w:r>
            <w:r>
              <w:rPr>
                <w:rFonts w:hint="default" w:ascii="Times New Roman" w:hAnsi="Times New Roman" w:eastAsia="宋体" w:cs="Times New Roman"/>
                <w:color w:val="auto"/>
                <w:sz w:val="24"/>
                <w:szCs w:val="24"/>
                <w:highlight w:val="none"/>
              </w:rPr>
              <w:t>污染物</w:t>
            </w:r>
            <w:r>
              <w:rPr>
                <w:rFonts w:hint="default" w:ascii="Times New Roman" w:hAnsi="Times New Roman" w:eastAsia="宋体" w:cs="Times New Roman"/>
                <w:color w:val="auto"/>
                <w:sz w:val="24"/>
                <w:szCs w:val="24"/>
                <w:highlight w:val="none"/>
                <w:lang w:val="en-US" w:eastAsia="zh-CN"/>
              </w:rPr>
              <w:t>产排</w:t>
            </w:r>
            <w:r>
              <w:rPr>
                <w:rFonts w:hint="default" w:ascii="Times New Roman" w:hAnsi="Times New Roman" w:eastAsia="宋体" w:cs="Times New Roman"/>
                <w:color w:val="auto"/>
                <w:sz w:val="24"/>
                <w:szCs w:val="24"/>
                <w:highlight w:val="none"/>
              </w:rPr>
              <w:t>情况见表</w:t>
            </w:r>
            <w:r>
              <w:rPr>
                <w:rFonts w:hint="default"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29</w:t>
            </w:r>
            <w:r>
              <w:rPr>
                <w:rFonts w:hint="default" w:ascii="Times New Roman" w:hAnsi="Times New Roman" w:eastAsia="宋体" w:cs="Times New Roman"/>
                <w:color w:val="auto"/>
                <w:sz w:val="24"/>
                <w:szCs w:val="24"/>
                <w:highlight w:val="none"/>
              </w:rPr>
              <w:t>。</w:t>
            </w:r>
          </w:p>
          <w:p w14:paraId="13126978">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w:t>
            </w:r>
            <w:r>
              <w:rPr>
                <w:rFonts w:hint="eastAsia" w:cs="Times New Roman"/>
                <w:b/>
                <w:caps w:val="0"/>
                <w:snapToGrid w:val="0"/>
                <w:color w:val="auto"/>
                <w:spacing w:val="0"/>
                <w:w w:val="100"/>
                <w:position w:val="0"/>
                <w:sz w:val="21"/>
                <w:szCs w:val="21"/>
                <w:highlight w:val="none"/>
                <w:lang w:val="en-US" w:eastAsia="zh-CN"/>
              </w:rPr>
              <w:t>29</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caps w:val="0"/>
                <w:snapToGrid w:val="0"/>
                <w:color w:val="auto"/>
                <w:spacing w:val="0"/>
                <w:w w:val="100"/>
                <w:position w:val="0"/>
                <w:sz w:val="21"/>
                <w:szCs w:val="21"/>
                <w:highlight w:val="none"/>
                <w:lang w:eastAsia="zh-CN"/>
              </w:rPr>
              <w:t>生活污水</w:t>
            </w:r>
            <w:r>
              <w:rPr>
                <w:rFonts w:hint="default" w:ascii="Times New Roman" w:hAnsi="Times New Roman" w:eastAsia="宋体" w:cs="Times New Roman"/>
                <w:b/>
                <w:caps w:val="0"/>
                <w:snapToGrid w:val="0"/>
                <w:color w:val="auto"/>
                <w:spacing w:val="0"/>
                <w:w w:val="100"/>
                <w:position w:val="0"/>
                <w:sz w:val="21"/>
                <w:szCs w:val="21"/>
                <w:highlight w:val="none"/>
              </w:rPr>
              <w:t>污染物产排情况汇总表</w:t>
            </w:r>
          </w:p>
          <w:tbl>
            <w:tblPr>
              <w:tblStyle w:val="27"/>
              <w:tblW w:w="8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788"/>
              <w:gridCol w:w="679"/>
              <w:gridCol w:w="849"/>
              <w:gridCol w:w="826"/>
              <w:gridCol w:w="679"/>
              <w:gridCol w:w="826"/>
              <w:gridCol w:w="849"/>
              <w:gridCol w:w="679"/>
              <w:gridCol w:w="849"/>
              <w:gridCol w:w="420"/>
              <w:gridCol w:w="420"/>
            </w:tblGrid>
            <w:tr w14:paraId="0BE7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601" w:type="dxa"/>
                  <w:noWrap w:val="0"/>
                  <w:vAlign w:val="center"/>
                </w:tcPr>
                <w:p w14:paraId="65D66866">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污染源编号</w:t>
                  </w:r>
                </w:p>
              </w:tc>
              <w:tc>
                <w:tcPr>
                  <w:tcW w:w="788" w:type="dxa"/>
                  <w:noWrap w:val="0"/>
                  <w:vAlign w:val="center"/>
                </w:tcPr>
                <w:p w14:paraId="62A80C3E">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679" w:type="dxa"/>
                  <w:noWrap w:val="0"/>
                  <w:vAlign w:val="center"/>
                </w:tcPr>
                <w:p w14:paraId="5172CEA3">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产生浓度mg/L</w:t>
                  </w:r>
                </w:p>
              </w:tc>
              <w:tc>
                <w:tcPr>
                  <w:tcW w:w="849" w:type="dxa"/>
                  <w:noWrap w:val="0"/>
                  <w:vAlign w:val="center"/>
                </w:tcPr>
                <w:p w14:paraId="51B2B6D0">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产生量（t/a）</w:t>
                  </w:r>
                </w:p>
              </w:tc>
              <w:tc>
                <w:tcPr>
                  <w:tcW w:w="826" w:type="dxa"/>
                  <w:noWrap w:val="0"/>
                  <w:vAlign w:val="center"/>
                </w:tcPr>
                <w:p w14:paraId="397375A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化粪池去除效率（%）</w:t>
                  </w:r>
                </w:p>
              </w:tc>
              <w:tc>
                <w:tcPr>
                  <w:tcW w:w="679" w:type="dxa"/>
                  <w:noWrap w:val="0"/>
                  <w:vAlign w:val="center"/>
                </w:tcPr>
                <w:p w14:paraId="3B46DFE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化粪池处理后浓度mg/L</w:t>
                  </w:r>
                </w:p>
              </w:tc>
              <w:tc>
                <w:tcPr>
                  <w:tcW w:w="826" w:type="dxa"/>
                  <w:noWrap w:val="0"/>
                  <w:vAlign w:val="center"/>
                </w:tcPr>
                <w:p w14:paraId="475BAAB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污水处理站去除效率（%）</w:t>
                  </w:r>
                </w:p>
              </w:tc>
              <w:tc>
                <w:tcPr>
                  <w:tcW w:w="849" w:type="dxa"/>
                  <w:noWrap w:val="0"/>
                  <w:vAlign w:val="center"/>
                </w:tcPr>
                <w:p w14:paraId="465961C5">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削减量（t/a）</w:t>
                  </w:r>
                </w:p>
              </w:tc>
              <w:tc>
                <w:tcPr>
                  <w:tcW w:w="679" w:type="dxa"/>
                  <w:noWrap w:val="0"/>
                  <w:vAlign w:val="center"/>
                </w:tcPr>
                <w:p w14:paraId="47B797E4">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处理后浓度mg/L</w:t>
                  </w:r>
                </w:p>
              </w:tc>
              <w:tc>
                <w:tcPr>
                  <w:tcW w:w="849" w:type="dxa"/>
                  <w:noWrap w:val="0"/>
                  <w:vAlign w:val="center"/>
                </w:tcPr>
                <w:p w14:paraId="13D41923">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处理后量（t/a）</w:t>
                  </w:r>
                </w:p>
              </w:tc>
              <w:tc>
                <w:tcPr>
                  <w:tcW w:w="420" w:type="dxa"/>
                  <w:noWrap w:val="0"/>
                  <w:vAlign w:val="center"/>
                </w:tcPr>
                <w:p w14:paraId="663F674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标准值</w:t>
                  </w:r>
                </w:p>
              </w:tc>
              <w:tc>
                <w:tcPr>
                  <w:tcW w:w="420" w:type="dxa"/>
                  <w:noWrap w:val="0"/>
                  <w:vAlign w:val="center"/>
                </w:tcPr>
                <w:p w14:paraId="62ADC31F">
                  <w:pPr>
                    <w:keepNext w:val="0"/>
                    <w:keepLines w:val="0"/>
                    <w:widowControl/>
                    <w:suppressLineNumbers w:val="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达标情况</w:t>
                  </w:r>
                </w:p>
              </w:tc>
            </w:tr>
            <w:tr w14:paraId="2571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Merge w:val="restart"/>
                  <w:noWrap w:val="0"/>
                  <w:vAlign w:val="center"/>
                </w:tcPr>
                <w:p w14:paraId="380BBB48">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综合污水（</w:t>
                  </w:r>
                  <w:r>
                    <w:rPr>
                      <w:rFonts w:hint="eastAsia" w:cs="Times New Roman"/>
                      <w:b w:val="0"/>
                      <w:bCs/>
                      <w:color w:val="auto"/>
                      <w:spacing w:val="-10"/>
                      <w:sz w:val="21"/>
                      <w:szCs w:val="21"/>
                      <w:highlight w:val="none"/>
                      <w:vertAlign w:val="baseline"/>
                      <w:lang w:val="en-US" w:eastAsia="zh-CN"/>
                    </w:rPr>
                    <w:t>生活污水、化验容器清洗废水</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88" w:type="dxa"/>
                  <w:noWrap w:val="0"/>
                  <w:vAlign w:val="center"/>
                </w:tcPr>
                <w:p w14:paraId="148A939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679" w:type="dxa"/>
                  <w:noWrap w:val="0"/>
                  <w:vAlign w:val="center"/>
                </w:tcPr>
                <w:p w14:paraId="784A43C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49" w:type="dxa"/>
                  <w:noWrap w:val="0"/>
                  <w:vAlign w:val="center"/>
                </w:tcPr>
                <w:p w14:paraId="0F3DCA9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576.8</w:t>
                  </w:r>
                </w:p>
              </w:tc>
              <w:tc>
                <w:tcPr>
                  <w:tcW w:w="826" w:type="dxa"/>
                  <w:noWrap w:val="0"/>
                  <w:vAlign w:val="center"/>
                </w:tcPr>
                <w:p w14:paraId="1E3B6C0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noWrap w:val="0"/>
                  <w:vAlign w:val="center"/>
                </w:tcPr>
                <w:p w14:paraId="206779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26" w:type="dxa"/>
                  <w:noWrap w:val="0"/>
                  <w:vAlign w:val="center"/>
                </w:tcPr>
                <w:p w14:paraId="3EEFD3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49" w:type="dxa"/>
                  <w:noWrap w:val="0"/>
                  <w:vAlign w:val="center"/>
                </w:tcPr>
                <w:p w14:paraId="283527E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noWrap w:val="0"/>
                  <w:vAlign w:val="center"/>
                </w:tcPr>
                <w:p w14:paraId="118A78B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49" w:type="dxa"/>
                  <w:noWrap w:val="0"/>
                  <w:vAlign w:val="center"/>
                </w:tcPr>
                <w:p w14:paraId="7975A72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i w:val="0"/>
                      <w:iCs w:val="0"/>
                      <w:color w:val="auto"/>
                      <w:kern w:val="0"/>
                      <w:sz w:val="21"/>
                      <w:szCs w:val="21"/>
                      <w:highlight w:val="none"/>
                      <w:u w:val="none"/>
                      <w:lang w:val="en-US" w:eastAsia="zh-CN" w:bidi="ar"/>
                    </w:rPr>
                    <w:t>576.8</w:t>
                  </w:r>
                </w:p>
              </w:tc>
              <w:tc>
                <w:tcPr>
                  <w:tcW w:w="420" w:type="dxa"/>
                  <w:noWrap w:val="0"/>
                  <w:vAlign w:val="center"/>
                </w:tcPr>
                <w:p w14:paraId="28E79F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20" w:type="dxa"/>
                  <w:noWrap w:val="0"/>
                  <w:vAlign w:val="center"/>
                </w:tcPr>
                <w:p w14:paraId="4BAAD66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5D88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601" w:type="dxa"/>
                  <w:vMerge w:val="continue"/>
                  <w:noWrap w:val="0"/>
                  <w:vAlign w:val="center"/>
                </w:tcPr>
                <w:p w14:paraId="1312251A">
                  <w:pPr>
                    <w:jc w:val="center"/>
                    <w:rPr>
                      <w:rFonts w:hint="default" w:ascii="Times New Roman" w:hAnsi="Times New Roman" w:eastAsia="宋体" w:cs="Times New Roman"/>
                      <w:color w:val="auto"/>
                      <w:highlight w:val="none"/>
                    </w:rPr>
                  </w:pPr>
                </w:p>
              </w:tc>
              <w:tc>
                <w:tcPr>
                  <w:tcW w:w="788" w:type="dxa"/>
                  <w:noWrap w:val="0"/>
                  <w:vAlign w:val="center"/>
                </w:tcPr>
                <w:p w14:paraId="7FA76EC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679" w:type="dxa"/>
                  <w:noWrap w:val="0"/>
                  <w:vAlign w:val="center"/>
                </w:tcPr>
                <w:p w14:paraId="4E764C1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520</w:t>
                  </w:r>
                </w:p>
              </w:tc>
              <w:tc>
                <w:tcPr>
                  <w:tcW w:w="849" w:type="dxa"/>
                  <w:noWrap w:val="0"/>
                  <w:vAlign w:val="center"/>
                </w:tcPr>
                <w:p w14:paraId="4908402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2999</w:t>
                  </w:r>
                </w:p>
              </w:tc>
              <w:tc>
                <w:tcPr>
                  <w:tcW w:w="826" w:type="dxa"/>
                  <w:noWrap w:val="0"/>
                  <w:vAlign w:val="center"/>
                </w:tcPr>
                <w:p w14:paraId="0F2385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679" w:type="dxa"/>
                  <w:noWrap w:val="0"/>
                  <w:vAlign w:val="center"/>
                </w:tcPr>
                <w:p w14:paraId="51F021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442</w:t>
                  </w:r>
                </w:p>
              </w:tc>
              <w:tc>
                <w:tcPr>
                  <w:tcW w:w="826" w:type="dxa"/>
                  <w:noWrap w:val="0"/>
                  <w:vAlign w:val="center"/>
                </w:tcPr>
                <w:p w14:paraId="6A0EE9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849" w:type="dxa"/>
                  <w:noWrap w:val="0"/>
                  <w:vAlign w:val="center"/>
                </w:tcPr>
                <w:p w14:paraId="134075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0.2744</w:t>
                  </w:r>
                </w:p>
              </w:tc>
              <w:tc>
                <w:tcPr>
                  <w:tcW w:w="679" w:type="dxa"/>
                  <w:noWrap w:val="0"/>
                  <w:vAlign w:val="center"/>
                </w:tcPr>
                <w:p w14:paraId="3E44967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44.2</w:t>
                  </w:r>
                </w:p>
              </w:tc>
              <w:tc>
                <w:tcPr>
                  <w:tcW w:w="849" w:type="dxa"/>
                  <w:noWrap w:val="0"/>
                  <w:vAlign w:val="center"/>
                </w:tcPr>
                <w:p w14:paraId="15F286A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0.02</w:t>
                  </w:r>
                  <w:r>
                    <w:rPr>
                      <w:rFonts w:hint="eastAsia" w:cs="Times New Roman"/>
                      <w:i w:val="0"/>
                      <w:iCs w:val="0"/>
                      <w:color w:val="auto"/>
                      <w:kern w:val="0"/>
                      <w:sz w:val="21"/>
                      <w:szCs w:val="21"/>
                      <w:highlight w:val="none"/>
                      <w:u w:val="none"/>
                      <w:lang w:val="en-US" w:eastAsia="zh-CN" w:bidi="ar"/>
                    </w:rPr>
                    <w:t>55</w:t>
                  </w:r>
                </w:p>
              </w:tc>
              <w:tc>
                <w:tcPr>
                  <w:tcW w:w="420" w:type="dxa"/>
                  <w:noWrap w:val="0"/>
                  <w:vAlign w:val="center"/>
                </w:tcPr>
                <w:p w14:paraId="0079F7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20" w:type="dxa"/>
                  <w:noWrap w:val="0"/>
                  <w:vAlign w:val="center"/>
                </w:tcPr>
                <w:p w14:paraId="45B885F7">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664C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Merge w:val="continue"/>
                  <w:noWrap w:val="0"/>
                  <w:vAlign w:val="center"/>
                </w:tcPr>
                <w:p w14:paraId="5A6C73B3">
                  <w:pPr>
                    <w:jc w:val="center"/>
                    <w:rPr>
                      <w:rFonts w:hint="default" w:ascii="Times New Roman" w:hAnsi="Times New Roman" w:eastAsia="宋体" w:cs="Times New Roman"/>
                      <w:color w:val="auto"/>
                      <w:highlight w:val="none"/>
                    </w:rPr>
                  </w:pPr>
                </w:p>
              </w:tc>
              <w:tc>
                <w:tcPr>
                  <w:tcW w:w="788" w:type="dxa"/>
                  <w:noWrap w:val="0"/>
                  <w:vAlign w:val="center"/>
                </w:tcPr>
                <w:p w14:paraId="7D5F3F8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Style w:val="110"/>
                      <w:rFonts w:hint="default" w:ascii="Times New Roman" w:hAnsi="Times New Roman" w:eastAsia="宋体" w:cs="Times New Roman"/>
                      <w:color w:val="auto"/>
                      <w:highlight w:val="none"/>
                      <w:lang w:val="en-US" w:eastAsia="zh-CN" w:bidi="ar"/>
                    </w:rPr>
                    <w:t>5</w:t>
                  </w:r>
                </w:p>
              </w:tc>
              <w:tc>
                <w:tcPr>
                  <w:tcW w:w="679" w:type="dxa"/>
                  <w:noWrap w:val="0"/>
                  <w:vAlign w:val="center"/>
                </w:tcPr>
                <w:p w14:paraId="4CF5F85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849" w:type="dxa"/>
                  <w:noWrap w:val="0"/>
                  <w:vAlign w:val="center"/>
                </w:tcPr>
                <w:p w14:paraId="03B5C5E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1154</w:t>
                  </w:r>
                </w:p>
              </w:tc>
              <w:tc>
                <w:tcPr>
                  <w:tcW w:w="826" w:type="dxa"/>
                  <w:noWrap w:val="0"/>
                  <w:vAlign w:val="center"/>
                </w:tcPr>
                <w:p w14:paraId="521CBF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679" w:type="dxa"/>
                  <w:noWrap w:val="0"/>
                  <w:vAlign w:val="center"/>
                </w:tcPr>
                <w:p w14:paraId="5C052F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170</w:t>
                  </w:r>
                </w:p>
              </w:tc>
              <w:tc>
                <w:tcPr>
                  <w:tcW w:w="826" w:type="dxa"/>
                  <w:noWrap w:val="0"/>
                  <w:vAlign w:val="center"/>
                </w:tcPr>
                <w:p w14:paraId="1D9E51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849" w:type="dxa"/>
                  <w:noWrap w:val="0"/>
                  <w:vAlign w:val="center"/>
                </w:tcPr>
                <w:p w14:paraId="33335F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0.1105</w:t>
                  </w:r>
                </w:p>
              </w:tc>
              <w:tc>
                <w:tcPr>
                  <w:tcW w:w="679" w:type="dxa"/>
                  <w:noWrap w:val="0"/>
                  <w:vAlign w:val="center"/>
                </w:tcPr>
                <w:p w14:paraId="333C58D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849" w:type="dxa"/>
                  <w:noWrap w:val="0"/>
                  <w:vAlign w:val="center"/>
                </w:tcPr>
                <w:p w14:paraId="2721D3D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cs="Times New Roman"/>
                      <w:i w:val="0"/>
                      <w:iCs w:val="0"/>
                      <w:color w:val="auto"/>
                      <w:kern w:val="0"/>
                      <w:sz w:val="21"/>
                      <w:szCs w:val="21"/>
                      <w:highlight w:val="none"/>
                      <w:u w:val="none"/>
                      <w:lang w:val="en-US" w:eastAsia="zh-CN" w:bidi="ar"/>
                    </w:rPr>
                    <w:t>49</w:t>
                  </w:r>
                </w:p>
              </w:tc>
              <w:tc>
                <w:tcPr>
                  <w:tcW w:w="420" w:type="dxa"/>
                  <w:noWrap w:val="0"/>
                  <w:vAlign w:val="center"/>
                </w:tcPr>
                <w:p w14:paraId="0C6D3E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20" w:type="dxa"/>
                  <w:noWrap w:val="0"/>
                  <w:vAlign w:val="center"/>
                </w:tcPr>
                <w:p w14:paraId="1BB69869">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34EE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Merge w:val="continue"/>
                  <w:noWrap w:val="0"/>
                  <w:vAlign w:val="center"/>
                </w:tcPr>
                <w:p w14:paraId="4439D589">
                  <w:pPr>
                    <w:jc w:val="center"/>
                    <w:rPr>
                      <w:rFonts w:hint="default" w:ascii="Times New Roman" w:hAnsi="Times New Roman" w:eastAsia="宋体" w:cs="Times New Roman"/>
                      <w:color w:val="auto"/>
                      <w:highlight w:val="none"/>
                    </w:rPr>
                  </w:pPr>
                </w:p>
              </w:tc>
              <w:tc>
                <w:tcPr>
                  <w:tcW w:w="788" w:type="dxa"/>
                  <w:noWrap w:val="0"/>
                  <w:vAlign w:val="center"/>
                </w:tcPr>
                <w:p w14:paraId="2768F01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679" w:type="dxa"/>
                  <w:noWrap w:val="0"/>
                  <w:vAlign w:val="center"/>
                </w:tcPr>
                <w:p w14:paraId="6DED2DB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849" w:type="dxa"/>
                  <w:noWrap w:val="0"/>
                  <w:vAlign w:val="center"/>
                </w:tcPr>
                <w:p w14:paraId="2D25378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1154</w:t>
                  </w:r>
                </w:p>
              </w:tc>
              <w:tc>
                <w:tcPr>
                  <w:tcW w:w="826" w:type="dxa"/>
                  <w:noWrap w:val="0"/>
                  <w:vAlign w:val="center"/>
                </w:tcPr>
                <w:p w14:paraId="33BB03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79" w:type="dxa"/>
                  <w:noWrap w:val="0"/>
                  <w:vAlign w:val="center"/>
                </w:tcPr>
                <w:p w14:paraId="640492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140</w:t>
                  </w:r>
                </w:p>
              </w:tc>
              <w:tc>
                <w:tcPr>
                  <w:tcW w:w="826" w:type="dxa"/>
                  <w:noWrap w:val="0"/>
                  <w:vAlign w:val="center"/>
                </w:tcPr>
                <w:p w14:paraId="1960B4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99</w:t>
                  </w:r>
                </w:p>
              </w:tc>
              <w:tc>
                <w:tcPr>
                  <w:tcW w:w="849" w:type="dxa"/>
                  <w:noWrap w:val="0"/>
                  <w:vAlign w:val="center"/>
                </w:tcPr>
                <w:p w14:paraId="1446D8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0.1146</w:t>
                  </w:r>
                </w:p>
              </w:tc>
              <w:tc>
                <w:tcPr>
                  <w:tcW w:w="679" w:type="dxa"/>
                  <w:noWrap w:val="0"/>
                  <w:vAlign w:val="center"/>
                </w:tcPr>
                <w:p w14:paraId="7FFD624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849" w:type="dxa"/>
                  <w:noWrap w:val="0"/>
                  <w:vAlign w:val="center"/>
                </w:tcPr>
                <w:p w14:paraId="543CC9E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8</w:t>
                  </w:r>
                </w:p>
              </w:tc>
              <w:tc>
                <w:tcPr>
                  <w:tcW w:w="420" w:type="dxa"/>
                  <w:noWrap w:val="0"/>
                  <w:vAlign w:val="center"/>
                </w:tcPr>
                <w:p w14:paraId="163FE2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20" w:type="dxa"/>
                  <w:noWrap w:val="0"/>
                  <w:vAlign w:val="center"/>
                </w:tcPr>
                <w:p w14:paraId="627796FF">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06F9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Merge w:val="continue"/>
                  <w:noWrap w:val="0"/>
                  <w:vAlign w:val="center"/>
                </w:tcPr>
                <w:p w14:paraId="7A12F05A">
                  <w:pPr>
                    <w:jc w:val="center"/>
                    <w:rPr>
                      <w:rFonts w:hint="default" w:ascii="Times New Roman" w:hAnsi="Times New Roman" w:eastAsia="宋体" w:cs="Times New Roman"/>
                      <w:color w:val="auto"/>
                      <w:highlight w:val="none"/>
                    </w:rPr>
                  </w:pPr>
                </w:p>
              </w:tc>
              <w:tc>
                <w:tcPr>
                  <w:tcW w:w="788" w:type="dxa"/>
                  <w:noWrap w:val="0"/>
                  <w:vAlign w:val="center"/>
                </w:tcPr>
                <w:p w14:paraId="77BF854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NH</w:t>
                  </w:r>
                  <w:r>
                    <w:rPr>
                      <w:rStyle w:val="110"/>
                      <w:rFonts w:hint="default" w:ascii="Times New Roman" w:hAnsi="Times New Roman" w:eastAsia="宋体" w:cs="Times New Roman"/>
                      <w:color w:val="auto"/>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w:t>
                  </w:r>
                </w:p>
              </w:tc>
              <w:tc>
                <w:tcPr>
                  <w:tcW w:w="679" w:type="dxa"/>
                  <w:noWrap w:val="0"/>
                  <w:vAlign w:val="center"/>
                </w:tcPr>
                <w:p w14:paraId="279D24A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849" w:type="dxa"/>
                  <w:noWrap w:val="0"/>
                  <w:vAlign w:val="center"/>
                </w:tcPr>
                <w:p w14:paraId="76595B5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0231</w:t>
                  </w:r>
                </w:p>
              </w:tc>
              <w:tc>
                <w:tcPr>
                  <w:tcW w:w="826" w:type="dxa"/>
                  <w:noWrap w:val="0"/>
                  <w:vAlign w:val="center"/>
                </w:tcPr>
                <w:p w14:paraId="626522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79" w:type="dxa"/>
                  <w:noWrap w:val="0"/>
                  <w:vAlign w:val="center"/>
                </w:tcPr>
                <w:p w14:paraId="535116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826" w:type="dxa"/>
                  <w:noWrap w:val="0"/>
                  <w:vAlign w:val="center"/>
                </w:tcPr>
                <w:p w14:paraId="4953C3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849" w:type="dxa"/>
                  <w:noWrap w:val="0"/>
                  <w:vAlign w:val="center"/>
                </w:tcPr>
                <w:p w14:paraId="7FE76E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0.0208</w:t>
                  </w:r>
                </w:p>
              </w:tc>
              <w:tc>
                <w:tcPr>
                  <w:tcW w:w="679" w:type="dxa"/>
                  <w:noWrap w:val="0"/>
                  <w:vAlign w:val="center"/>
                </w:tcPr>
                <w:p w14:paraId="6BC7FDE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849" w:type="dxa"/>
                  <w:noWrap w:val="0"/>
                  <w:vAlign w:val="center"/>
                </w:tcPr>
                <w:p w14:paraId="7AC8132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cs="Times New Roman"/>
                      <w:i w:val="0"/>
                      <w:iCs w:val="0"/>
                      <w:color w:val="auto"/>
                      <w:kern w:val="0"/>
                      <w:sz w:val="21"/>
                      <w:szCs w:val="21"/>
                      <w:highlight w:val="none"/>
                      <w:u w:val="none"/>
                      <w:lang w:val="en-US" w:eastAsia="zh-CN" w:bidi="ar"/>
                    </w:rPr>
                    <w:t>23</w:t>
                  </w:r>
                </w:p>
              </w:tc>
              <w:tc>
                <w:tcPr>
                  <w:tcW w:w="420" w:type="dxa"/>
                  <w:noWrap w:val="0"/>
                  <w:vAlign w:val="center"/>
                </w:tcPr>
                <w:p w14:paraId="31E491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420" w:type="dxa"/>
                  <w:noWrap w:val="0"/>
                  <w:vAlign w:val="center"/>
                </w:tcPr>
                <w:p w14:paraId="59532CB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1D4B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Merge w:val="continue"/>
                  <w:noWrap w:val="0"/>
                  <w:vAlign w:val="center"/>
                </w:tcPr>
                <w:p w14:paraId="1CD9300C">
                  <w:pPr>
                    <w:jc w:val="center"/>
                    <w:rPr>
                      <w:rFonts w:hint="default" w:ascii="Times New Roman" w:hAnsi="Times New Roman" w:eastAsia="宋体" w:cs="Times New Roman"/>
                      <w:color w:val="auto"/>
                      <w:highlight w:val="none"/>
                    </w:rPr>
                  </w:pPr>
                </w:p>
              </w:tc>
              <w:tc>
                <w:tcPr>
                  <w:tcW w:w="788" w:type="dxa"/>
                  <w:noWrap w:val="0"/>
                  <w:vAlign w:val="center"/>
                </w:tcPr>
                <w:p w14:paraId="318962E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679" w:type="dxa"/>
                  <w:noWrap w:val="0"/>
                  <w:vAlign w:val="center"/>
                </w:tcPr>
                <w:p w14:paraId="4766D2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849" w:type="dxa"/>
                  <w:noWrap w:val="0"/>
                  <w:vAlign w:val="center"/>
                </w:tcPr>
                <w:p w14:paraId="51C616F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cs="Times New Roman"/>
                      <w:i w:val="0"/>
                      <w:iCs w:val="0"/>
                      <w:color w:val="auto"/>
                      <w:kern w:val="0"/>
                      <w:sz w:val="21"/>
                      <w:szCs w:val="21"/>
                      <w:highlight w:val="none"/>
                      <w:u w:val="none"/>
                      <w:lang w:val="en-US" w:eastAsia="zh-CN" w:bidi="ar"/>
                    </w:rPr>
                    <w:t>46</w:t>
                  </w:r>
                </w:p>
              </w:tc>
              <w:tc>
                <w:tcPr>
                  <w:tcW w:w="826" w:type="dxa"/>
                  <w:noWrap w:val="0"/>
                  <w:vAlign w:val="center"/>
                </w:tcPr>
                <w:p w14:paraId="40B446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79" w:type="dxa"/>
                  <w:noWrap w:val="0"/>
                  <w:vAlign w:val="center"/>
                </w:tcPr>
                <w:p w14:paraId="71648A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826" w:type="dxa"/>
                  <w:noWrap w:val="0"/>
                  <w:vAlign w:val="center"/>
                </w:tcPr>
                <w:p w14:paraId="5C8A0B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849" w:type="dxa"/>
                  <w:noWrap w:val="0"/>
                  <w:vAlign w:val="center"/>
                </w:tcPr>
                <w:p w14:paraId="6CD448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0.0041</w:t>
                  </w:r>
                </w:p>
              </w:tc>
              <w:tc>
                <w:tcPr>
                  <w:tcW w:w="679" w:type="dxa"/>
                  <w:noWrap w:val="0"/>
                  <w:vAlign w:val="center"/>
                </w:tcPr>
                <w:p w14:paraId="0433AC6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849" w:type="dxa"/>
                  <w:noWrap w:val="0"/>
                  <w:vAlign w:val="center"/>
                </w:tcPr>
                <w:p w14:paraId="4872DEF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5</w:t>
                  </w:r>
                </w:p>
              </w:tc>
              <w:tc>
                <w:tcPr>
                  <w:tcW w:w="420" w:type="dxa"/>
                  <w:noWrap w:val="0"/>
                  <w:vAlign w:val="center"/>
                </w:tcPr>
                <w:p w14:paraId="40F9F0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20" w:type="dxa"/>
                  <w:noWrap w:val="0"/>
                  <w:vAlign w:val="center"/>
                </w:tcPr>
                <w:p w14:paraId="4E64FB25">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529B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noWrap w:val="0"/>
                  <w:vAlign w:val="center"/>
                </w:tcPr>
                <w:p w14:paraId="68D8FBB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废水去向</w:t>
                  </w:r>
                </w:p>
              </w:tc>
              <w:tc>
                <w:tcPr>
                  <w:tcW w:w="7864" w:type="dxa"/>
                  <w:gridSpan w:val="11"/>
                  <w:noWrap w:val="0"/>
                  <w:vAlign w:val="center"/>
                </w:tcPr>
                <w:p w14:paraId="6503B148">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1"/>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rPr>
                    <w:t>项目</w:t>
                  </w:r>
                  <w:r>
                    <w:rPr>
                      <w:rFonts w:hint="default" w:ascii="Times New Roman" w:hAnsi="Times New Roman" w:eastAsia="宋体" w:cs="Times New Roman"/>
                      <w:b w:val="0"/>
                      <w:bCs w:val="0"/>
                      <w:color w:val="auto"/>
                      <w:sz w:val="21"/>
                      <w:szCs w:val="21"/>
                      <w:highlight w:val="none"/>
                      <w:lang w:val="en-US" w:eastAsia="zh-CN"/>
                    </w:rPr>
                    <w:t>办公生活污水进入化粪池</w:t>
                  </w:r>
                  <w:r>
                    <w:rPr>
                      <w:rFonts w:hint="eastAsia" w:ascii="Times New Roman" w:hAnsi="Times New Roman" w:eastAsia="宋体" w:cs="Times New Roman"/>
                      <w:b w:val="0"/>
                      <w:bCs w:val="0"/>
                      <w:color w:val="auto"/>
                      <w:sz w:val="21"/>
                      <w:szCs w:val="21"/>
                      <w:highlight w:val="none"/>
                      <w:lang w:val="en-US" w:eastAsia="zh-CN"/>
                    </w:rPr>
                    <w:t>处理后同化验容器清洗废水一并进入</w:t>
                  </w:r>
                  <w:r>
                    <w:rPr>
                      <w:rFonts w:hint="default" w:ascii="Times New Roman" w:hAnsi="Times New Roman" w:eastAsia="宋体" w:cs="Times New Roman"/>
                      <w:b w:val="0"/>
                      <w:bCs w:val="0"/>
                      <w:color w:val="auto"/>
                      <w:sz w:val="21"/>
                      <w:szCs w:val="21"/>
                      <w:highlight w:val="none"/>
                      <w:lang w:val="en-US" w:eastAsia="zh-CN"/>
                    </w:rPr>
                    <w:t>地埋式一体化污水处理站处理达《城市污水再生利用 城市杂用水水质》（GB/T18920-2020）中的城市绿化、道路清扫、消防、建筑施工标准后，用于项目区内绿化及道路场地洒水降尘，不外排。</w:t>
                  </w:r>
                </w:p>
              </w:tc>
            </w:tr>
          </w:tbl>
          <w:p w14:paraId="2A88C1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bidi="ar"/>
              </w:rPr>
            </w:pPr>
            <w:r>
              <w:rPr>
                <w:rFonts w:hint="default" w:ascii="Times New Roman" w:hAnsi="Times New Roman" w:eastAsia="宋体" w:cs="Times New Roman"/>
                <w:b w:val="0"/>
                <w:bCs/>
                <w:color w:val="auto"/>
                <w:sz w:val="24"/>
                <w:szCs w:val="24"/>
                <w:highlight w:val="none"/>
                <w:lang w:val="en-US" w:eastAsia="zh-CN" w:bidi="ar"/>
              </w:rPr>
              <w:t>②生产废水</w:t>
            </w:r>
          </w:p>
          <w:p w14:paraId="569248DB">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color w:val="auto"/>
                <w:sz w:val="24"/>
                <w:szCs w:val="24"/>
                <w:highlight w:val="none"/>
              </w:rPr>
              <w:t>项目</w:t>
            </w:r>
            <w:r>
              <w:rPr>
                <w:rFonts w:hint="default" w:ascii="Times New Roman" w:hAnsi="Times New Roman" w:eastAsia="宋体" w:cs="Times New Roman"/>
                <w:b w:val="0"/>
                <w:bCs/>
                <w:color w:val="auto"/>
                <w:sz w:val="24"/>
                <w:szCs w:val="24"/>
                <w:highlight w:val="none"/>
                <w:lang w:val="en-US" w:eastAsia="zh-CN"/>
              </w:rPr>
              <w:t>生产</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val="en-US" w:eastAsia="zh-CN"/>
              </w:rPr>
              <w:t>包括</w:t>
            </w:r>
            <w:r>
              <w:rPr>
                <w:rFonts w:hint="eastAsia" w:cs="Times New Roman"/>
                <w:caps w:val="0"/>
                <w:snapToGrid w:val="0"/>
                <w:color w:val="auto"/>
                <w:spacing w:val="0"/>
                <w:w w:val="100"/>
                <w:kern w:val="2"/>
                <w:position w:val="0"/>
                <w:sz w:val="24"/>
                <w:szCs w:val="24"/>
                <w:highlight w:val="none"/>
                <w:lang w:val="en-US" w:eastAsia="zh-CN" w:bidi="ar-SA"/>
              </w:rPr>
              <w:t>设备冷却废水</w:t>
            </w:r>
            <w:r>
              <w:rPr>
                <w:rFonts w:hint="default" w:ascii="Times New Roman" w:hAnsi="Times New Roman" w:eastAsia="宋体" w:cs="Times New Roman"/>
                <w:color w:val="auto"/>
                <w:sz w:val="24"/>
                <w:highlight w:val="none"/>
                <w:lang w:eastAsia="zh-CN"/>
              </w:rPr>
              <w:t>、</w:t>
            </w:r>
            <w:r>
              <w:rPr>
                <w:rFonts w:hint="eastAsia"/>
                <w:color w:val="auto"/>
                <w:sz w:val="24"/>
                <w:highlight w:val="none"/>
              </w:rPr>
              <w:t>化验后的</w:t>
            </w:r>
            <w:r>
              <w:rPr>
                <w:color w:val="auto"/>
                <w:sz w:val="24"/>
                <w:highlight w:val="none"/>
              </w:rPr>
              <w:t>容器</w:t>
            </w:r>
            <w:r>
              <w:rPr>
                <w:rFonts w:hint="eastAsia"/>
                <w:color w:val="auto"/>
                <w:sz w:val="24"/>
                <w:highlight w:val="none"/>
              </w:rPr>
              <w:t>清洗废水</w:t>
            </w:r>
            <w:r>
              <w:rPr>
                <w:rFonts w:hint="eastAsia"/>
                <w:color w:val="auto"/>
                <w:sz w:val="24"/>
                <w:highlight w:val="none"/>
                <w:lang w:eastAsia="zh-CN"/>
              </w:rPr>
              <w:t>、氨气清水罐废水、初期雨水</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根据水平衡可知，</w:t>
            </w:r>
            <w:r>
              <w:rPr>
                <w:rFonts w:hint="eastAsia" w:cs="Times New Roman"/>
                <w:color w:val="auto"/>
                <w:sz w:val="24"/>
                <w:highlight w:val="none"/>
                <w:lang w:val="en-US" w:eastAsia="zh-CN"/>
              </w:rPr>
              <w:t>建设完成</w:t>
            </w:r>
            <w:r>
              <w:rPr>
                <w:rFonts w:hint="eastAsia"/>
                <w:color w:val="auto"/>
                <w:sz w:val="24"/>
                <w:highlight w:val="none"/>
              </w:rPr>
              <w:t>化验后的</w:t>
            </w:r>
            <w:r>
              <w:rPr>
                <w:color w:val="auto"/>
                <w:sz w:val="24"/>
                <w:highlight w:val="none"/>
              </w:rPr>
              <w:t>容器</w:t>
            </w:r>
            <w:r>
              <w:rPr>
                <w:rFonts w:hint="eastAsia"/>
                <w:color w:val="auto"/>
                <w:sz w:val="24"/>
                <w:highlight w:val="none"/>
              </w:rPr>
              <w:t>清洗废水</w:t>
            </w:r>
            <w:r>
              <w:rPr>
                <w:rFonts w:hint="default" w:ascii="Times New Roman" w:hAnsi="Times New Roman" w:eastAsia="宋体" w:cs="Times New Roman"/>
                <w:color w:val="auto"/>
                <w:sz w:val="24"/>
                <w:highlight w:val="none"/>
              </w:rPr>
              <w:t>产生量为</w:t>
            </w:r>
            <w:r>
              <w:rPr>
                <w:rFonts w:hint="eastAsia"/>
                <w:color w:val="auto"/>
                <w:sz w:val="24"/>
                <w:highlight w:val="none"/>
              </w:rPr>
              <w:t>0.0</w:t>
            </w:r>
            <w:r>
              <w:rPr>
                <w:rFonts w:hint="eastAsia"/>
                <w:color w:val="auto"/>
                <w:sz w:val="24"/>
                <w:highlight w:val="none"/>
                <w:lang w:val="en-US" w:eastAsia="zh-CN"/>
              </w:rPr>
              <w:t>2</w:t>
            </w:r>
            <w:r>
              <w:rPr>
                <w:color w:val="auto"/>
                <w:sz w:val="24"/>
                <w:highlight w:val="none"/>
              </w:rPr>
              <w:t>m</w:t>
            </w:r>
            <w:r>
              <w:rPr>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5.6</w:t>
            </w:r>
            <w:r>
              <w:rPr>
                <w:color w:val="auto"/>
                <w:sz w:val="24"/>
                <w:highlight w:val="none"/>
              </w:rPr>
              <w:t>m</w:t>
            </w:r>
            <w:r>
              <w:rPr>
                <w:color w:val="auto"/>
                <w:sz w:val="24"/>
                <w:highlight w:val="none"/>
                <w:vertAlign w:val="superscript"/>
              </w:rPr>
              <w:t>3</w:t>
            </w:r>
            <w:r>
              <w:rPr>
                <w:color w:val="auto"/>
                <w:sz w:val="24"/>
                <w:highlight w:val="none"/>
              </w:rPr>
              <w:t>/a</w:t>
            </w:r>
            <w:r>
              <w:rPr>
                <w:rFonts w:hint="default" w:ascii="Times New Roman" w:hAnsi="Times New Roman" w:eastAsia="宋体" w:cs="Times New Roman"/>
                <w:color w:val="auto"/>
                <w:sz w:val="24"/>
                <w:highlight w:val="none"/>
              </w:rPr>
              <w:t>；</w:t>
            </w:r>
            <w:r>
              <w:rPr>
                <w:rFonts w:hint="eastAsia"/>
                <w:color w:val="auto"/>
                <w:sz w:val="24"/>
                <w:highlight w:val="none"/>
                <w:lang w:eastAsia="zh-CN"/>
              </w:rPr>
              <w:t>氨气清水罐废水</w:t>
            </w:r>
            <w:r>
              <w:rPr>
                <w:rFonts w:hint="default" w:ascii="Times New Roman" w:hAnsi="Times New Roman" w:eastAsia="宋体" w:cs="Times New Roman"/>
                <w:color w:val="auto"/>
                <w:sz w:val="24"/>
                <w:highlight w:val="none"/>
              </w:rPr>
              <w:t>产生量为</w:t>
            </w:r>
            <w:r>
              <w:rPr>
                <w:rFonts w:hint="eastAsia"/>
                <w:color w:val="auto"/>
                <w:sz w:val="24"/>
                <w:highlight w:val="none"/>
              </w:rPr>
              <w:t>0.</w:t>
            </w:r>
            <w:r>
              <w:rPr>
                <w:rFonts w:hint="eastAsia"/>
                <w:color w:val="auto"/>
                <w:sz w:val="24"/>
                <w:highlight w:val="none"/>
                <w:lang w:val="en-US" w:eastAsia="zh-CN"/>
              </w:rPr>
              <w:t>1429</w:t>
            </w:r>
            <w:r>
              <w:rPr>
                <w:color w:val="auto"/>
                <w:sz w:val="24"/>
                <w:highlight w:val="none"/>
              </w:rPr>
              <w:t>m</w:t>
            </w:r>
            <w:r>
              <w:rPr>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40</w:t>
            </w:r>
            <w:r>
              <w:rPr>
                <w:color w:val="auto"/>
                <w:sz w:val="24"/>
                <w:highlight w:val="none"/>
              </w:rPr>
              <w:t>m</w:t>
            </w:r>
            <w:r>
              <w:rPr>
                <w:color w:val="auto"/>
                <w:sz w:val="24"/>
                <w:highlight w:val="none"/>
                <w:vertAlign w:val="superscript"/>
              </w:rPr>
              <w:t>3</w:t>
            </w:r>
            <w:r>
              <w:rPr>
                <w:color w:val="auto"/>
                <w:sz w:val="24"/>
                <w:highlight w:val="none"/>
              </w:rPr>
              <w:t>/a</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vertAlign w:val="baseline"/>
                <w:lang w:val="en-US" w:eastAsia="zh-CN"/>
              </w:rPr>
              <w:t>初期雨水产生量为</w:t>
            </w:r>
            <w:r>
              <w:rPr>
                <w:rFonts w:hint="eastAsia" w:ascii="Times New Roman" w:hAnsi="Times New Roman" w:eastAsia="宋体" w:cs="Times New Roman"/>
                <w:color w:val="auto"/>
                <w:kern w:val="0"/>
                <w:sz w:val="24"/>
                <w:szCs w:val="24"/>
                <w:highlight w:val="none"/>
                <w:lang w:val="en-US" w:eastAsia="zh-CN" w:bidi="ar"/>
              </w:rPr>
              <w:t>76.1314</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sz w:val="24"/>
                <w:szCs w:val="24"/>
                <w:highlight w:val="none"/>
                <w:vertAlign w:val="baseline"/>
                <w:lang w:val="en-US" w:eastAsia="zh-CN"/>
              </w:rPr>
              <w:t>/次</w:t>
            </w:r>
            <w:r>
              <w:rPr>
                <w:rFonts w:hint="eastAsia" w:ascii="Times New Roman" w:hAnsi="Times New Roman" w:eastAsia="宋体" w:cs="Times New Roman"/>
                <w:color w:val="auto"/>
                <w:sz w:val="24"/>
                <w:szCs w:val="24"/>
                <w:highlight w:val="none"/>
                <w:vertAlign w:val="baseline"/>
                <w:lang w:val="en-US" w:eastAsia="zh-CN"/>
              </w:rPr>
              <w:t>，</w:t>
            </w:r>
            <w:r>
              <w:rPr>
                <w:rFonts w:hint="eastAsia" w:cs="Times New Roman"/>
                <w:color w:val="auto"/>
                <w:sz w:val="24"/>
                <w:szCs w:val="24"/>
                <w:highlight w:val="none"/>
                <w:vertAlign w:val="baseline"/>
                <w:lang w:val="en-US" w:eastAsia="zh-CN"/>
              </w:rPr>
              <w:t>11876.4984</w:t>
            </w:r>
            <w:r>
              <w:rPr>
                <w:rFonts w:hint="default" w:ascii="Times New Roman" w:hAnsi="Times New Roman" w:eastAsia="宋体" w:cs="Times New Roman"/>
                <w:color w:val="auto"/>
                <w:sz w:val="24"/>
                <w:szCs w:val="24"/>
                <w:highlight w:val="none"/>
                <w:vertAlign w:val="baseli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a（雨天按156天计），</w:t>
            </w:r>
            <w:r>
              <w:rPr>
                <w:rFonts w:hint="default" w:ascii="Times New Roman" w:hAnsi="Times New Roman" w:eastAsia="宋体" w:cs="Times New Roman"/>
                <w:color w:val="auto"/>
                <w:sz w:val="24"/>
                <w:highlight w:val="none"/>
                <w:lang w:val="en-US" w:eastAsia="zh-CN"/>
              </w:rPr>
              <w:t>考虑1.2的安全系数，建设单位拟在厂区最低处建设</w:t>
            </w:r>
            <w:r>
              <w:rPr>
                <w:rFonts w:hint="default" w:ascii="Times New Roman" w:hAnsi="Times New Roman" w:eastAsia="宋体" w:cs="Times New Roman"/>
                <w:color w:val="auto"/>
                <w:spacing w:val="-11"/>
                <w:sz w:val="24"/>
                <w:highlight w:val="none"/>
              </w:rPr>
              <w:t>一座容</w:t>
            </w:r>
            <w:r>
              <w:rPr>
                <w:rFonts w:hint="default" w:ascii="Times New Roman" w:hAnsi="Times New Roman" w:eastAsia="宋体" w:cs="Times New Roman"/>
                <w:color w:val="auto"/>
                <w:spacing w:val="-20"/>
                <w:sz w:val="24"/>
                <w:highlight w:val="none"/>
              </w:rPr>
              <w:t>积为</w:t>
            </w:r>
            <w:r>
              <w:rPr>
                <w:rFonts w:hint="eastAsia" w:cs="Times New Roman"/>
                <w:color w:val="auto"/>
                <w:spacing w:val="-20"/>
                <w:sz w:val="24"/>
                <w:highlight w:val="none"/>
                <w:lang w:val="en-US" w:eastAsia="zh-CN"/>
              </w:rPr>
              <w:t>92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position w:val="8"/>
                <w:sz w:val="15"/>
                <w:highlight w:val="none"/>
              </w:rPr>
              <w:t>3</w:t>
            </w:r>
            <w:r>
              <w:rPr>
                <w:rFonts w:hint="default" w:ascii="Times New Roman" w:hAnsi="Times New Roman" w:eastAsia="宋体" w:cs="Times New Roman"/>
                <w:color w:val="auto"/>
                <w:spacing w:val="-8"/>
                <w:sz w:val="24"/>
                <w:highlight w:val="none"/>
              </w:rPr>
              <w:t>的初期雨水</w:t>
            </w:r>
            <w:r>
              <w:rPr>
                <w:rFonts w:hint="default" w:ascii="Times New Roman" w:hAnsi="Times New Roman" w:eastAsia="宋体" w:cs="Times New Roman"/>
                <w:color w:val="auto"/>
                <w:spacing w:val="-8"/>
                <w:sz w:val="24"/>
                <w:highlight w:val="none"/>
                <w:lang w:val="en-US" w:eastAsia="zh-CN"/>
              </w:rPr>
              <w:t>收集</w:t>
            </w:r>
            <w:r>
              <w:rPr>
                <w:rFonts w:hint="default" w:ascii="Times New Roman" w:hAnsi="Times New Roman" w:eastAsia="宋体" w:cs="Times New Roman"/>
                <w:color w:val="auto"/>
                <w:spacing w:val="-8"/>
                <w:sz w:val="24"/>
                <w:highlight w:val="none"/>
              </w:rPr>
              <w:t>池</w:t>
            </w:r>
            <w:r>
              <w:rPr>
                <w:rFonts w:hint="default" w:ascii="Times New Roman" w:hAnsi="Times New Roman" w:eastAsia="宋体" w:cs="Times New Roman"/>
                <w:color w:val="auto"/>
                <w:spacing w:val="-8"/>
                <w:sz w:val="24"/>
                <w:highlight w:val="none"/>
                <w:lang w:eastAsia="zh-CN"/>
              </w:rPr>
              <w:t>，</w:t>
            </w:r>
            <w:r>
              <w:rPr>
                <w:rFonts w:hint="default" w:ascii="Times New Roman" w:hAnsi="Times New Roman" w:eastAsia="宋体" w:cs="Times New Roman"/>
                <w:color w:val="auto"/>
                <w:sz w:val="24"/>
                <w:highlight w:val="none"/>
              </w:rPr>
              <w:t>将初期雨水</w:t>
            </w:r>
            <w:r>
              <w:rPr>
                <w:rFonts w:hint="eastAsia" w:ascii="Times New Roman" w:hAnsi="Times New Roman" w:eastAsia="宋体" w:cs="Times New Roman"/>
                <w:color w:val="auto"/>
                <w:sz w:val="24"/>
                <w:highlight w:val="none"/>
                <w:lang w:eastAsia="zh-CN"/>
              </w:rPr>
              <w:t>经沉淀</w:t>
            </w:r>
            <w:r>
              <w:rPr>
                <w:rFonts w:hint="default" w:ascii="Times New Roman" w:hAnsi="Times New Roman" w:eastAsia="宋体" w:cs="Times New Roman"/>
                <w:color w:val="auto"/>
                <w:sz w:val="24"/>
                <w:highlight w:val="none"/>
              </w:rPr>
              <w:t>处理后回用</w:t>
            </w:r>
            <w:r>
              <w:rPr>
                <w:rFonts w:hint="default" w:ascii="Times New Roman" w:hAnsi="Times New Roman" w:eastAsia="宋体" w:cs="Times New Roman"/>
                <w:color w:val="auto"/>
                <w:sz w:val="24"/>
                <w:highlight w:val="none"/>
                <w:lang w:val="en-US" w:eastAsia="zh-CN"/>
              </w:rPr>
              <w:t>于</w:t>
            </w:r>
            <w:r>
              <w:rPr>
                <w:rFonts w:hint="eastAsia" w:ascii="Times New Roman" w:hAnsi="Times New Roman" w:eastAsia="宋体" w:cs="Times New Roman"/>
                <w:color w:val="auto"/>
                <w:sz w:val="24"/>
                <w:highlight w:val="none"/>
                <w:lang w:eastAsia="zh-CN"/>
              </w:rPr>
              <w:t>厂区洒水抑尘</w:t>
            </w:r>
            <w:r>
              <w:rPr>
                <w:rFonts w:hint="default" w:ascii="Times New Roman" w:hAnsi="Times New Roman" w:eastAsia="宋体" w:cs="Times New Roman"/>
                <w:color w:val="auto"/>
                <w:sz w:val="24"/>
                <w:highlight w:val="none"/>
              </w:rPr>
              <w:t>，不外排</w:t>
            </w:r>
            <w:r>
              <w:rPr>
                <w:rFonts w:hint="eastAsia"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eastAsia="zh-CN"/>
              </w:rPr>
              <w:t>设备</w:t>
            </w:r>
            <w:r>
              <w:rPr>
                <w:rFonts w:hint="default" w:ascii="Times New Roman" w:hAnsi="Times New Roman" w:eastAsia="宋体" w:cs="Times New Roman"/>
                <w:bCs/>
                <w:color w:val="auto"/>
                <w:kern w:val="2"/>
                <w:sz w:val="24"/>
                <w:szCs w:val="24"/>
                <w:highlight w:val="none"/>
                <w:lang w:val="en-US" w:eastAsia="zh-CN" w:bidi="ar-SA"/>
              </w:rPr>
              <w:t>冷却废水经循环冷却</w:t>
            </w:r>
            <w:r>
              <w:rPr>
                <w:rFonts w:hint="default" w:ascii="Times New Roman" w:hAnsi="Times New Roman" w:eastAsia="宋体" w:cs="Times New Roman"/>
                <w:color w:val="auto"/>
                <w:sz w:val="24"/>
                <w:highlight w:val="none"/>
              </w:rPr>
              <w:t>池冷却后循环使用不外排</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定期补充蒸发损耗量即可</w:t>
            </w:r>
            <w:r>
              <w:rPr>
                <w:rFonts w:hint="eastAsia" w:ascii="Times New Roman" w:hAnsi="Times New Roman" w:cs="Times New Roman"/>
                <w:b w:val="0"/>
                <w:bCs w:val="0"/>
                <w:color w:val="auto"/>
                <w:sz w:val="24"/>
                <w:szCs w:val="24"/>
                <w:highlight w:val="none"/>
                <w:lang w:val="en-US" w:eastAsia="zh-CN"/>
              </w:rPr>
              <w:t>；</w:t>
            </w:r>
            <w:r>
              <w:rPr>
                <w:rFonts w:hint="eastAsia"/>
                <w:color w:val="auto"/>
                <w:sz w:val="24"/>
                <w:highlight w:val="none"/>
              </w:rPr>
              <w:t>由于煤质化验的</w:t>
            </w:r>
            <w:r>
              <w:rPr>
                <w:color w:val="auto"/>
                <w:sz w:val="24"/>
                <w:highlight w:val="none"/>
              </w:rPr>
              <w:t>化验</w:t>
            </w:r>
            <w:r>
              <w:rPr>
                <w:rFonts w:hint="eastAsia"/>
                <w:color w:val="auto"/>
                <w:sz w:val="24"/>
                <w:highlight w:val="none"/>
              </w:rPr>
              <w:t>项目主要为含水率、灰分、硫分、挥发分、热值等理化指标，其检测方法多以物理方法及仪器检测为主，仅少量涉及化学试剂的使用。故化验后的容器清洗废水成分较为</w:t>
            </w:r>
            <w:r>
              <w:rPr>
                <w:color w:val="auto"/>
                <w:sz w:val="24"/>
                <w:highlight w:val="none"/>
              </w:rPr>
              <w:t>简单</w:t>
            </w:r>
            <w:r>
              <w:rPr>
                <w:rFonts w:hint="eastAsia"/>
                <w:color w:val="auto"/>
                <w:sz w:val="24"/>
                <w:highlight w:val="none"/>
              </w:rPr>
              <w:t>，</w:t>
            </w:r>
            <w:r>
              <w:rPr>
                <w:color w:val="auto"/>
                <w:sz w:val="24"/>
                <w:highlight w:val="none"/>
              </w:rPr>
              <w:t>主要</w:t>
            </w:r>
            <w:r>
              <w:rPr>
                <w:rFonts w:hint="eastAsia"/>
                <w:color w:val="auto"/>
                <w:sz w:val="24"/>
                <w:highlight w:val="none"/>
              </w:rPr>
              <w:t>是将容器</w:t>
            </w:r>
            <w:r>
              <w:rPr>
                <w:color w:val="auto"/>
                <w:sz w:val="24"/>
                <w:highlight w:val="none"/>
              </w:rPr>
              <w:t>内</w:t>
            </w:r>
            <w:r>
              <w:rPr>
                <w:rFonts w:hint="eastAsia"/>
                <w:color w:val="auto"/>
                <w:sz w:val="24"/>
                <w:highlight w:val="none"/>
              </w:rPr>
              <w:t>残留</w:t>
            </w:r>
            <w:r>
              <w:rPr>
                <w:color w:val="auto"/>
                <w:sz w:val="24"/>
                <w:highlight w:val="none"/>
              </w:rPr>
              <w:t>的</w:t>
            </w:r>
            <w:r>
              <w:rPr>
                <w:rFonts w:hint="eastAsia"/>
                <w:color w:val="auto"/>
                <w:sz w:val="24"/>
                <w:highlight w:val="none"/>
              </w:rPr>
              <w:t>少量煤粉冲洗</w:t>
            </w:r>
            <w:r>
              <w:rPr>
                <w:color w:val="auto"/>
                <w:sz w:val="24"/>
                <w:highlight w:val="none"/>
              </w:rPr>
              <w:t>干净，</w:t>
            </w:r>
            <w:r>
              <w:rPr>
                <w:rFonts w:hint="eastAsia"/>
                <w:color w:val="auto"/>
                <w:sz w:val="24"/>
                <w:highlight w:val="none"/>
              </w:rPr>
              <w:t>此外可能含有</w:t>
            </w:r>
            <w:r>
              <w:rPr>
                <w:color w:val="auto"/>
                <w:sz w:val="24"/>
                <w:highlight w:val="none"/>
              </w:rPr>
              <w:t>少量</w:t>
            </w:r>
            <w:r>
              <w:rPr>
                <w:rFonts w:hint="eastAsia"/>
                <w:color w:val="auto"/>
                <w:sz w:val="24"/>
                <w:highlight w:val="none"/>
              </w:rPr>
              <w:t>酸</w:t>
            </w:r>
            <w:r>
              <w:rPr>
                <w:color w:val="auto"/>
                <w:sz w:val="24"/>
                <w:highlight w:val="none"/>
              </w:rPr>
              <w:t>、碱</w:t>
            </w:r>
            <w:r>
              <w:rPr>
                <w:rFonts w:hint="eastAsia"/>
                <w:color w:val="auto"/>
                <w:sz w:val="24"/>
                <w:highlight w:val="none"/>
              </w:rPr>
              <w:t>等。要求实验室内设废液桶对化验后的</w:t>
            </w:r>
            <w:r>
              <w:rPr>
                <w:color w:val="auto"/>
                <w:sz w:val="24"/>
                <w:highlight w:val="none"/>
              </w:rPr>
              <w:t>容器</w:t>
            </w:r>
            <w:r>
              <w:rPr>
                <w:rFonts w:hint="eastAsia"/>
                <w:color w:val="auto"/>
                <w:sz w:val="24"/>
                <w:highlight w:val="none"/>
              </w:rPr>
              <w:t>清洗废水进行收集，通过投加絮凝剂、加入酸碱中和剂等</w:t>
            </w:r>
            <w:r>
              <w:rPr>
                <w:color w:val="auto"/>
                <w:sz w:val="24"/>
                <w:highlight w:val="none"/>
              </w:rPr>
              <w:t>方式</w:t>
            </w:r>
            <w:r>
              <w:rPr>
                <w:rFonts w:hint="eastAsia"/>
                <w:color w:val="auto"/>
                <w:sz w:val="24"/>
                <w:highlight w:val="none"/>
              </w:rPr>
              <w:t>对</w:t>
            </w:r>
            <w:r>
              <w:rPr>
                <w:color w:val="auto"/>
                <w:sz w:val="24"/>
                <w:highlight w:val="none"/>
              </w:rPr>
              <w:t>废水</w:t>
            </w:r>
            <w:r>
              <w:rPr>
                <w:rFonts w:hint="eastAsia"/>
                <w:color w:val="auto"/>
                <w:sz w:val="24"/>
                <w:highlight w:val="none"/>
              </w:rPr>
              <w:t>进行</w:t>
            </w:r>
            <w:r>
              <w:rPr>
                <w:color w:val="auto"/>
                <w:sz w:val="24"/>
                <w:highlight w:val="none"/>
              </w:rPr>
              <w:t>沉淀</w:t>
            </w:r>
            <w:r>
              <w:rPr>
                <w:rFonts w:hint="eastAsia"/>
                <w:color w:val="auto"/>
                <w:sz w:val="24"/>
                <w:highlight w:val="none"/>
              </w:rPr>
              <w:t>、</w:t>
            </w:r>
            <w:r>
              <w:rPr>
                <w:color w:val="auto"/>
                <w:sz w:val="24"/>
                <w:highlight w:val="none"/>
              </w:rPr>
              <w:t>中和</w:t>
            </w:r>
            <w:r>
              <w:rPr>
                <w:rFonts w:hint="eastAsia"/>
                <w:color w:val="auto"/>
                <w:sz w:val="24"/>
                <w:highlight w:val="none"/>
              </w:rPr>
              <w:t>等</w:t>
            </w:r>
            <w:r>
              <w:rPr>
                <w:color w:val="auto"/>
                <w:sz w:val="24"/>
                <w:highlight w:val="none"/>
              </w:rPr>
              <w:t>简易</w:t>
            </w:r>
            <w:r>
              <w:rPr>
                <w:rFonts w:hint="eastAsia"/>
                <w:color w:val="auto"/>
                <w:sz w:val="24"/>
                <w:highlight w:val="none"/>
              </w:rPr>
              <w:t>处理</w:t>
            </w:r>
            <w:r>
              <w:rPr>
                <w:color w:val="auto"/>
                <w:sz w:val="24"/>
                <w:highlight w:val="none"/>
              </w:rPr>
              <w:t>，</w:t>
            </w:r>
            <w:r>
              <w:rPr>
                <w:rFonts w:hint="eastAsia"/>
                <w:color w:val="auto"/>
                <w:sz w:val="24"/>
                <w:highlight w:val="none"/>
              </w:rPr>
              <w:t>处理后的废水可排入厂内</w:t>
            </w:r>
            <w:r>
              <w:rPr>
                <w:color w:val="auto"/>
                <w:sz w:val="24"/>
                <w:highlight w:val="none"/>
              </w:rPr>
              <w:t>拟建</w:t>
            </w:r>
            <w:r>
              <w:rPr>
                <w:rFonts w:hint="eastAsia"/>
                <w:color w:val="auto"/>
                <w:sz w:val="24"/>
                <w:highlight w:val="none"/>
              </w:rPr>
              <w:t>的</w:t>
            </w:r>
            <w:r>
              <w:rPr>
                <w:rFonts w:hint="eastAsia"/>
                <w:color w:val="auto"/>
                <w:sz w:val="24"/>
                <w:highlight w:val="none"/>
                <w:lang w:eastAsia="zh-CN"/>
              </w:rPr>
              <w:t>污水</w:t>
            </w:r>
            <w:r>
              <w:rPr>
                <w:rFonts w:hint="eastAsia"/>
                <w:color w:val="auto"/>
                <w:sz w:val="24"/>
                <w:highlight w:val="none"/>
              </w:rPr>
              <w:t>处理站统一</w:t>
            </w:r>
            <w:r>
              <w:rPr>
                <w:color w:val="auto"/>
                <w:sz w:val="24"/>
                <w:highlight w:val="none"/>
              </w:rPr>
              <w:t>处置</w:t>
            </w:r>
            <w:r>
              <w:rPr>
                <w:rFonts w:hint="eastAsia"/>
                <w:color w:val="auto"/>
                <w:sz w:val="24"/>
                <w:highlight w:val="none"/>
                <w:lang w:eastAsia="zh-CN"/>
              </w:rPr>
              <w:t>；</w:t>
            </w:r>
            <w:r>
              <w:rPr>
                <w:rFonts w:hint="eastAsia"/>
                <w:color w:val="auto"/>
                <w:sz w:val="24"/>
                <w:highlight w:val="none"/>
                <w:lang w:val="en-US" w:eastAsia="zh-CN"/>
              </w:rPr>
              <w:t>吸收氨气的清水浓度大于10%时直接作为脱硝使用喷入炉膛内</w:t>
            </w:r>
            <w:r>
              <w:rPr>
                <w:rFonts w:hint="eastAsia" w:cs="Times New Roman"/>
                <w:color w:val="auto"/>
                <w:sz w:val="24"/>
                <w:highlight w:val="none"/>
                <w:vertAlign w:val="baseline"/>
                <w:lang w:val="en-US" w:eastAsia="zh-CN"/>
              </w:rPr>
              <w:t>，不外排。</w:t>
            </w:r>
          </w:p>
          <w:p w14:paraId="07AA64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highlight w:val="none"/>
                <w:lang w:val="en-US" w:bidi="ar"/>
              </w:rPr>
            </w:pPr>
            <w:r>
              <w:rPr>
                <w:rFonts w:hint="default" w:ascii="Times New Roman" w:hAnsi="Times New Roman" w:eastAsia="宋体" w:cs="Times New Roman"/>
                <w:b/>
                <w:color w:val="auto"/>
                <w:sz w:val="24"/>
                <w:szCs w:val="24"/>
                <w:highlight w:val="none"/>
                <w:lang w:val="en-US" w:eastAsia="zh-CN" w:bidi="ar"/>
              </w:rPr>
              <w:t>3、</w:t>
            </w:r>
            <w:r>
              <w:rPr>
                <w:rFonts w:hint="default" w:ascii="Times New Roman" w:hAnsi="Times New Roman" w:eastAsia="宋体" w:cs="Times New Roman"/>
                <w:b/>
                <w:color w:val="auto"/>
                <w:spacing w:val="-10"/>
                <w:sz w:val="24"/>
                <w:highlight w:val="none"/>
              </w:rPr>
              <w:t>污水处理设施的可行性</w:t>
            </w:r>
          </w:p>
          <w:p w14:paraId="419E9F98">
            <w:pPr>
              <w:pStyle w:val="11"/>
              <w:adjustRightInd w:val="0"/>
              <w:snapToGrid w:val="0"/>
              <w:spacing w:after="0" w:line="360" w:lineRule="auto"/>
              <w:ind w:firstLine="480" w:firstLineChars="200"/>
              <w:rPr>
                <w:rFonts w:hint="default" w:ascii="Times New Roman" w:hAnsi="Times New Roman" w:eastAsia="宋体" w:cs="Times New Roman"/>
                <w:b w:val="0"/>
                <w:bCs w:val="0"/>
                <w:color w:val="auto"/>
                <w:sz w:val="24"/>
                <w:szCs w:val="24"/>
                <w:highlight w:val="none"/>
                <w:shd w:val="clear" w:color="auto" w:fill="auto"/>
                <w:lang w:val="zh-CN"/>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b w:val="0"/>
                <w:bCs w:val="0"/>
                <w:color w:val="auto"/>
                <w:sz w:val="24"/>
                <w:szCs w:val="24"/>
                <w:highlight w:val="none"/>
                <w:shd w:val="clear" w:color="auto" w:fill="auto"/>
                <w:lang w:val="zh-CN"/>
              </w:rPr>
              <w:t>化粪池</w:t>
            </w:r>
          </w:p>
          <w:p w14:paraId="3CEA74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废水产生量为</w:t>
            </w:r>
            <w:r>
              <w:rPr>
                <w:rFonts w:hint="eastAsia" w:cs="Times New Roman"/>
                <w:color w:val="auto"/>
                <w:sz w:val="24"/>
                <w:szCs w:val="24"/>
                <w:highlight w:val="none"/>
                <w:lang w:val="en-US" w:eastAsia="zh-CN"/>
              </w:rPr>
              <w:t>2.04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pacing w:val="-4"/>
                <w:sz w:val="24"/>
                <w:szCs w:val="24"/>
                <w:highlight w:val="none"/>
              </w:rPr>
              <w:t>根据GB50015-2003《建筑给排水设计规范》（2009年版），</w:t>
            </w:r>
            <w:r>
              <w:rPr>
                <w:rFonts w:hint="default" w:ascii="Times New Roman" w:hAnsi="Times New Roman" w:eastAsia="宋体" w:cs="Times New Roman"/>
                <w:color w:val="auto"/>
                <w:sz w:val="24"/>
                <w:szCs w:val="24"/>
                <w:highlight w:val="none"/>
              </w:rPr>
              <w:t>化粪池总容积应满足废水停留时间12-24小时的要求，并做好防渗处理，化粪池宜建在便于机动车清掏的位置。</w:t>
            </w:r>
            <w:r>
              <w:rPr>
                <w:rFonts w:hint="default" w:ascii="Times New Roman" w:hAnsi="Times New Roman" w:eastAsia="宋体" w:cs="Times New Roman"/>
                <w:color w:val="auto"/>
                <w:sz w:val="24"/>
                <w:szCs w:val="24"/>
                <w:highlight w:val="none"/>
                <w:lang w:val="en-US" w:eastAsia="zh-CN"/>
              </w:rPr>
              <w:t>项目区内设置的</w:t>
            </w:r>
            <w:r>
              <w:rPr>
                <w:rFonts w:hint="default" w:ascii="Times New Roman" w:hAnsi="Times New Roman" w:eastAsia="宋体" w:cs="Times New Roman"/>
                <w:color w:val="auto"/>
                <w:sz w:val="24"/>
                <w:szCs w:val="24"/>
                <w:highlight w:val="none"/>
              </w:rPr>
              <w:t>化粪池容积为</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，用于预处理项目区所有生活污水。</w:t>
            </w:r>
            <w:r>
              <w:rPr>
                <w:rFonts w:hint="default" w:ascii="Times New Roman" w:hAnsi="Times New Roman" w:eastAsia="宋体" w:cs="Times New Roman"/>
                <w:color w:val="auto"/>
                <w:sz w:val="24"/>
                <w:szCs w:val="24"/>
                <w:highlight w:val="none"/>
                <w:lang w:val="en-US" w:eastAsia="zh-CN"/>
              </w:rPr>
              <w:t>已设置的</w:t>
            </w:r>
            <w:r>
              <w:rPr>
                <w:rFonts w:hint="default" w:ascii="Times New Roman" w:hAnsi="Times New Roman" w:eastAsia="宋体" w:cs="Times New Roman"/>
                <w:color w:val="auto"/>
                <w:sz w:val="24"/>
                <w:szCs w:val="24"/>
                <w:highlight w:val="none"/>
                <w:lang w:eastAsia="zh-CN"/>
              </w:rPr>
              <w:t>化粪池容积</w:t>
            </w:r>
            <w:r>
              <w:rPr>
                <w:rFonts w:hint="default" w:ascii="Times New Roman" w:hAnsi="Times New Roman" w:eastAsia="宋体" w:cs="Times New Roman"/>
                <w:color w:val="auto"/>
                <w:sz w:val="24"/>
                <w:szCs w:val="24"/>
                <w:highlight w:val="none"/>
              </w:rPr>
              <w:t>能够保证污水停留</w:t>
            </w:r>
            <w:r>
              <w:rPr>
                <w:rFonts w:hint="default" w:ascii="Times New Roman" w:hAnsi="Times New Roman" w:eastAsia="宋体" w:cs="Times New Roman"/>
                <w:color w:val="auto"/>
                <w:sz w:val="24"/>
                <w:szCs w:val="24"/>
                <w:highlight w:val="none"/>
                <w:lang w:val="en-US" w:eastAsia="zh-CN"/>
              </w:rPr>
              <w:t>24小时以上，</w:t>
            </w:r>
            <w:r>
              <w:rPr>
                <w:rFonts w:hint="default" w:ascii="Times New Roman" w:hAnsi="Times New Roman" w:eastAsia="宋体" w:cs="Times New Roman"/>
                <w:color w:val="auto"/>
                <w:sz w:val="24"/>
                <w:szCs w:val="24"/>
                <w:highlight w:val="none"/>
              </w:rPr>
              <w:t>熟化效果较好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项目生活污水经化粪池处理后的可大大降低后端</w:t>
            </w:r>
            <w:r>
              <w:rPr>
                <w:rFonts w:hint="default" w:ascii="Times New Roman" w:hAnsi="Times New Roman" w:eastAsia="宋体" w:cs="Times New Roman"/>
                <w:color w:val="auto"/>
                <w:sz w:val="24"/>
                <w:szCs w:val="24"/>
                <w:highlight w:val="none"/>
                <w:lang w:val="en-US" w:eastAsia="zh-CN"/>
              </w:rPr>
              <w:t>一体化</w:t>
            </w:r>
            <w:r>
              <w:rPr>
                <w:rFonts w:hint="default" w:ascii="Times New Roman" w:hAnsi="Times New Roman" w:eastAsia="宋体" w:cs="Times New Roman"/>
                <w:color w:val="auto"/>
                <w:sz w:val="24"/>
                <w:szCs w:val="24"/>
                <w:highlight w:val="none"/>
              </w:rPr>
              <w:t>污水处理</w:t>
            </w:r>
            <w:r>
              <w:rPr>
                <w:rFonts w:hint="default" w:ascii="Times New Roman" w:hAnsi="Times New Roman" w:eastAsia="宋体" w:cs="Times New Roman"/>
                <w:color w:val="auto"/>
                <w:sz w:val="24"/>
                <w:szCs w:val="24"/>
                <w:highlight w:val="none"/>
                <w:lang w:val="en-US" w:eastAsia="zh-CN"/>
              </w:rPr>
              <w:t>站</w:t>
            </w:r>
            <w:r>
              <w:rPr>
                <w:rFonts w:hint="default" w:ascii="Times New Roman" w:hAnsi="Times New Roman" w:eastAsia="宋体" w:cs="Times New Roman"/>
                <w:color w:val="auto"/>
                <w:sz w:val="24"/>
                <w:szCs w:val="24"/>
                <w:highlight w:val="none"/>
              </w:rPr>
              <w:t>的运行负荷。</w:t>
            </w:r>
          </w:p>
          <w:p w14:paraId="06E5AA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因此，本项目</w:t>
            </w:r>
            <w:r>
              <w:rPr>
                <w:rFonts w:hint="default" w:ascii="Times New Roman" w:hAnsi="Times New Roman" w:eastAsia="宋体" w:cs="Times New Roman"/>
                <w:color w:val="auto"/>
                <w:sz w:val="24"/>
                <w:szCs w:val="24"/>
                <w:highlight w:val="none"/>
                <w:lang w:val="en-US" w:eastAsia="zh-CN"/>
              </w:rPr>
              <w:t>设置的化粪池</w:t>
            </w:r>
            <w:r>
              <w:rPr>
                <w:rFonts w:hint="eastAsia" w:ascii="Times New Roman" w:hAnsi="Times New Roman" w:cs="Times New Roman"/>
                <w:color w:val="auto"/>
                <w:sz w:val="24"/>
                <w:szCs w:val="24"/>
                <w:highlight w:val="none"/>
                <w:lang w:val="en-US" w:eastAsia="zh-CN"/>
              </w:rPr>
              <w:t>容积</w:t>
            </w:r>
            <w:r>
              <w:rPr>
                <w:rFonts w:hint="default" w:ascii="Times New Roman" w:hAnsi="Times New Roman" w:eastAsia="宋体" w:cs="Times New Roman"/>
                <w:color w:val="auto"/>
                <w:sz w:val="24"/>
                <w:szCs w:val="24"/>
                <w:highlight w:val="none"/>
                <w:lang w:eastAsia="zh-CN"/>
              </w:rPr>
              <w:t>可行</w:t>
            </w:r>
            <w:r>
              <w:rPr>
                <w:rFonts w:hint="default" w:ascii="Times New Roman" w:hAnsi="Times New Roman" w:eastAsia="宋体" w:cs="Times New Roman"/>
                <w:color w:val="auto"/>
                <w:sz w:val="24"/>
                <w:szCs w:val="24"/>
                <w:highlight w:val="none"/>
              </w:rPr>
              <w:t>。</w:t>
            </w:r>
          </w:p>
          <w:p w14:paraId="314529CB">
            <w:pPr>
              <w:keepNext w:val="0"/>
              <w:keepLines w:val="0"/>
              <w:pageBreakBefore w:val="0"/>
              <w:widowControl/>
              <w:kinsoku/>
              <w:wordWrap/>
              <w:overflowPunct/>
              <w:topLinePunct w:val="0"/>
              <w:autoSpaceDE/>
              <w:autoSpaceDN/>
              <w:bidi w:val="0"/>
              <w:adjustRightInd w:val="0"/>
              <w:snapToGrid w:val="0"/>
              <w:spacing w:line="348"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bidi="ar"/>
              </w:rPr>
              <w:t>一体化</w:t>
            </w:r>
            <w:r>
              <w:rPr>
                <w:rFonts w:hint="default" w:ascii="Times New Roman" w:hAnsi="Times New Roman" w:eastAsia="宋体" w:cs="Times New Roman"/>
                <w:color w:val="auto"/>
                <w:sz w:val="24"/>
                <w:szCs w:val="24"/>
                <w:highlight w:val="none"/>
                <w:lang w:val="en-US" w:eastAsia="zh-CN"/>
              </w:rPr>
              <w:t>污水处理站</w:t>
            </w:r>
          </w:p>
          <w:p w14:paraId="461D36BD">
            <w:pPr>
              <w:spacing w:line="348"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根据调查，本项目一体化污水处理站采用</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vertAlign w:val="baseline"/>
                <w:lang w:val="en-US" w:eastAsia="zh-CN"/>
              </w:rPr>
              <w:t>MBR膜生物反应</w:t>
            </w:r>
            <w:r>
              <w:rPr>
                <w:rFonts w:hint="default" w:ascii="Times New Roman" w:hAnsi="Times New Roman" w:eastAsia="宋体" w:cs="Times New Roman"/>
                <w:color w:val="auto"/>
                <w:sz w:val="24"/>
                <w:szCs w:val="24"/>
                <w:highlight w:val="none"/>
              </w:rPr>
              <w:t>”工艺处理项目运营过程中产生的废水。</w:t>
            </w:r>
            <w:r>
              <w:rPr>
                <w:rFonts w:hint="default" w:ascii="Times New Roman" w:hAnsi="Times New Roman" w:eastAsia="宋体" w:cs="Times New Roman"/>
                <w:bCs/>
                <w:color w:val="auto"/>
                <w:sz w:val="24"/>
                <w:szCs w:val="24"/>
                <w:highlight w:val="none"/>
                <w:vertAlign w:val="baseline"/>
                <w:lang w:val="en-US" w:eastAsia="zh-CN"/>
              </w:rPr>
              <w:t>MBR</w:t>
            </w:r>
            <w:r>
              <w:rPr>
                <w:rFonts w:hint="default" w:ascii="Times New Roman" w:hAnsi="Times New Roman" w:eastAsia="宋体" w:cs="Times New Roman"/>
                <w:color w:val="auto"/>
                <w:sz w:val="24"/>
                <w:szCs w:val="24"/>
                <w:highlight w:val="none"/>
              </w:rPr>
              <w:t>指把生物反应与膜分离相结合，以膜为分离介质替代常规重力沉淀固液分离获得出水,并能改变反应进程和提高反应效率的污水处理方法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sz w:val="24"/>
                <w:szCs w:val="24"/>
                <w:highlight w:val="none"/>
                <w:vertAlign w:val="baseline"/>
                <w:lang w:val="en-US" w:eastAsia="zh-CN"/>
              </w:rPr>
              <w:t>MBR</w:t>
            </w:r>
            <w:r>
              <w:rPr>
                <w:rFonts w:hint="default" w:ascii="Times New Roman" w:hAnsi="Times New Roman" w:eastAsia="宋体" w:cs="Times New Roman"/>
                <w:color w:val="auto"/>
                <w:sz w:val="24"/>
                <w:szCs w:val="24"/>
                <w:highlight w:val="none"/>
              </w:rPr>
              <w:t>一体化污水处理设备运行操作简单，运行成本低，能高效去除污水中的有机污染物。根据</w:t>
            </w:r>
            <w:r>
              <w:rPr>
                <w:rFonts w:hint="default" w:ascii="Times New Roman" w:hAnsi="Times New Roman" w:eastAsia="宋体" w:cs="Times New Roman"/>
                <w:color w:val="auto"/>
                <w:sz w:val="24"/>
                <w:szCs w:val="24"/>
                <w:highlight w:val="none"/>
                <w:lang w:val="en-US" w:eastAsia="zh-CN"/>
              </w:rPr>
              <w:t>水平衡</w:t>
            </w:r>
            <w:r>
              <w:rPr>
                <w:rFonts w:hint="default" w:ascii="Times New Roman" w:hAnsi="Times New Roman" w:eastAsia="宋体" w:cs="Times New Roman"/>
                <w:color w:val="auto"/>
                <w:sz w:val="24"/>
                <w:szCs w:val="24"/>
                <w:highlight w:val="none"/>
              </w:rPr>
              <w:t>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废水产生量为</w:t>
            </w:r>
            <w:r>
              <w:rPr>
                <w:rFonts w:hint="eastAsia" w:cs="Times New Roman"/>
                <w:color w:val="auto"/>
                <w:sz w:val="24"/>
                <w:szCs w:val="24"/>
                <w:highlight w:val="none"/>
                <w:lang w:val="en-US" w:eastAsia="zh-CN"/>
              </w:rPr>
              <w:t>2.04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rPr>
              <w:t>一体化污水处理设</w:t>
            </w:r>
            <w:r>
              <w:rPr>
                <w:rFonts w:hint="default" w:ascii="Times New Roman" w:hAnsi="Times New Roman" w:eastAsia="宋体" w:cs="Times New Roman"/>
                <w:color w:val="auto"/>
                <w:sz w:val="24"/>
                <w:szCs w:val="24"/>
                <w:highlight w:val="none"/>
                <w:lang w:eastAsia="zh-CN"/>
              </w:rPr>
              <w:t>备</w:t>
            </w:r>
            <w:r>
              <w:rPr>
                <w:rFonts w:hint="default" w:ascii="Times New Roman" w:hAnsi="Times New Roman" w:eastAsia="宋体" w:cs="Times New Roman"/>
                <w:color w:val="auto"/>
                <w:sz w:val="24"/>
                <w:szCs w:val="24"/>
                <w:highlight w:val="none"/>
              </w:rPr>
              <w:t>处理规模</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，可</w:t>
            </w:r>
            <w:r>
              <w:rPr>
                <w:rFonts w:hint="default" w:ascii="Times New Roman" w:hAnsi="Times New Roman" w:eastAsia="宋体" w:cs="Times New Roman"/>
                <w:color w:val="auto"/>
                <w:sz w:val="24"/>
                <w:szCs w:val="24"/>
                <w:highlight w:val="none"/>
                <w:lang w:val="en-US" w:eastAsia="zh-CN"/>
              </w:rPr>
              <w:t>完全</w:t>
            </w:r>
            <w:r>
              <w:rPr>
                <w:rFonts w:hint="default" w:ascii="Times New Roman" w:hAnsi="Times New Roman" w:eastAsia="宋体" w:cs="Times New Roman"/>
                <w:color w:val="auto"/>
                <w:sz w:val="24"/>
                <w:szCs w:val="24"/>
                <w:highlight w:val="none"/>
                <w:lang w:eastAsia="zh-CN"/>
              </w:rPr>
              <w:t>容纳</w:t>
            </w:r>
            <w:r>
              <w:rPr>
                <w:rFonts w:hint="default" w:ascii="Times New Roman" w:hAnsi="Times New Roman" w:eastAsia="宋体" w:cs="Times New Roman"/>
                <w:color w:val="auto"/>
                <w:sz w:val="24"/>
                <w:szCs w:val="24"/>
                <w:highlight w:val="none"/>
                <w:lang w:val="en-US" w:eastAsia="zh-CN"/>
              </w:rPr>
              <w:t>处理</w:t>
            </w:r>
            <w:r>
              <w:rPr>
                <w:rFonts w:hint="default" w:ascii="Times New Roman" w:hAnsi="Times New Roman" w:eastAsia="宋体" w:cs="Times New Roman"/>
                <w:color w:val="auto"/>
                <w:sz w:val="24"/>
                <w:szCs w:val="24"/>
                <w:highlight w:val="none"/>
                <w:lang w:eastAsia="zh-CN"/>
              </w:rPr>
              <w:t>项目产生</w:t>
            </w:r>
            <w:r>
              <w:rPr>
                <w:rFonts w:hint="default" w:ascii="Times New Roman" w:hAnsi="Times New Roman" w:eastAsia="宋体" w:cs="Times New Roman"/>
                <w:color w:val="auto"/>
                <w:sz w:val="24"/>
                <w:szCs w:val="24"/>
                <w:highlight w:val="none"/>
                <w:lang w:val="en-US" w:eastAsia="zh-CN"/>
              </w:rPr>
              <w:t>的生活污水。</w:t>
            </w:r>
          </w:p>
          <w:p w14:paraId="32D8DFF4">
            <w:pPr>
              <w:keepNext w:val="0"/>
              <w:keepLines w:val="0"/>
              <w:pageBreakBefore w:val="0"/>
              <w:widowControl w:val="0"/>
              <w:kinsoku/>
              <w:wordWrap/>
              <w:overflowPunct/>
              <w:topLinePunct w:val="0"/>
              <w:autoSpaceDE/>
              <w:autoSpaceDN/>
              <w:bidi w:val="0"/>
              <w:adjustRightInd/>
              <w:spacing w:line="360" w:lineRule="auto"/>
              <w:ind w:firstLine="460" w:firstLineChars="192"/>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化粪池及</w:t>
            </w:r>
            <w:r>
              <w:rPr>
                <w:rFonts w:hint="default" w:ascii="Times New Roman" w:hAnsi="Times New Roman" w:eastAsia="宋体" w:cs="Times New Roman"/>
                <w:color w:val="auto"/>
                <w:sz w:val="24"/>
                <w:szCs w:val="24"/>
                <w:highlight w:val="none"/>
              </w:rPr>
              <w:t>一体化污水处理</w:t>
            </w:r>
            <w:r>
              <w:rPr>
                <w:rFonts w:hint="default" w:ascii="Times New Roman" w:hAnsi="Times New Roman" w:eastAsia="宋体" w:cs="Times New Roman"/>
                <w:color w:val="auto"/>
                <w:sz w:val="24"/>
                <w:szCs w:val="24"/>
                <w:highlight w:val="none"/>
                <w:lang w:val="en-US" w:eastAsia="zh-CN"/>
              </w:rPr>
              <w:t>站</w:t>
            </w:r>
            <w:r>
              <w:rPr>
                <w:rFonts w:hint="default" w:ascii="Times New Roman" w:hAnsi="Times New Roman" w:eastAsia="宋体" w:cs="Times New Roman"/>
                <w:color w:val="auto"/>
                <w:sz w:val="24"/>
                <w:highlight w:val="none"/>
              </w:rPr>
              <w:t>处理前后水质情况如下表所示。</w:t>
            </w:r>
          </w:p>
          <w:p w14:paraId="2490E032">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表4-</w:t>
            </w:r>
            <w:r>
              <w:rPr>
                <w:rFonts w:hint="eastAsia" w:cs="Times New Roman"/>
                <w:b/>
                <w:bCs/>
                <w:color w:val="auto"/>
                <w:szCs w:val="21"/>
                <w:highlight w:val="none"/>
                <w:lang w:val="en-US" w:eastAsia="zh-CN"/>
              </w:rPr>
              <w:t>30</w:t>
            </w:r>
            <w:r>
              <w:rPr>
                <w:rFonts w:hint="default" w:ascii="Times New Roman" w:hAnsi="Times New Roman" w:eastAsia="宋体" w:cs="Times New Roman"/>
                <w:b/>
                <w:bCs/>
                <w:color w:val="auto"/>
                <w:szCs w:val="21"/>
                <w:highlight w:val="none"/>
              </w:rPr>
              <w:t xml:space="preserve">  化粪池进出水水质一览表   单位：</w:t>
            </w:r>
            <w:r>
              <w:rPr>
                <w:rFonts w:hint="default" w:ascii="Times New Roman" w:hAnsi="Times New Roman" w:eastAsia="宋体" w:cs="Times New Roman"/>
                <w:b/>
                <w:bCs/>
                <w:color w:val="auto"/>
                <w:kern w:val="0"/>
                <w:szCs w:val="21"/>
                <w:highlight w:val="none"/>
                <w:lang w:val="zh-CN"/>
              </w:rPr>
              <w:t>mg/L</w:t>
            </w:r>
          </w:p>
          <w:tbl>
            <w:tblPr>
              <w:tblStyle w:val="27"/>
              <w:tblW w:w="843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070"/>
              <w:gridCol w:w="761"/>
              <w:gridCol w:w="948"/>
              <w:gridCol w:w="825"/>
              <w:gridCol w:w="3679"/>
              <w:gridCol w:w="690"/>
            </w:tblGrid>
            <w:tr w14:paraId="4AEE0AD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61" w:type="dxa"/>
                  <w:tcBorders>
                    <w:tl2br w:val="nil"/>
                    <w:tr2bl w:val="nil"/>
                  </w:tcBorders>
                  <w:vAlign w:val="center"/>
                </w:tcPr>
                <w:p w14:paraId="4743E3C0">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污染源</w:t>
                  </w:r>
                </w:p>
              </w:tc>
              <w:tc>
                <w:tcPr>
                  <w:tcW w:w="1070" w:type="dxa"/>
                  <w:tcBorders>
                    <w:tl2br w:val="nil"/>
                    <w:tr2bl w:val="nil"/>
                  </w:tcBorders>
                  <w:vAlign w:val="center"/>
                </w:tcPr>
                <w:p w14:paraId="197922A7">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761" w:type="dxa"/>
                  <w:tcBorders>
                    <w:tl2br w:val="nil"/>
                    <w:tr2bl w:val="nil"/>
                  </w:tcBorders>
                  <w:vAlign w:val="center"/>
                </w:tcPr>
                <w:p w14:paraId="1B92C26A">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产生浓度</w:t>
                  </w:r>
                </w:p>
              </w:tc>
              <w:tc>
                <w:tcPr>
                  <w:tcW w:w="948" w:type="dxa"/>
                  <w:tcBorders>
                    <w:tl2br w:val="nil"/>
                    <w:tr2bl w:val="nil"/>
                  </w:tcBorders>
                  <w:vAlign w:val="center"/>
                </w:tcPr>
                <w:p w14:paraId="47C79EB3">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处理方式</w:t>
                  </w:r>
                </w:p>
              </w:tc>
              <w:tc>
                <w:tcPr>
                  <w:tcW w:w="825" w:type="dxa"/>
                  <w:tcBorders>
                    <w:tl2br w:val="nil"/>
                    <w:tr2bl w:val="nil"/>
                  </w:tcBorders>
                  <w:vAlign w:val="center"/>
                </w:tcPr>
                <w:p w14:paraId="45D7BA55">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处理后</w:t>
                  </w:r>
                  <w:r>
                    <w:rPr>
                      <w:rFonts w:hint="default" w:ascii="Times New Roman" w:hAnsi="Times New Roman" w:eastAsia="宋体" w:cs="Times New Roman"/>
                      <w:b/>
                      <w:bCs/>
                      <w:color w:val="auto"/>
                      <w:szCs w:val="21"/>
                      <w:highlight w:val="none"/>
                    </w:rPr>
                    <w:t>浓度</w:t>
                  </w:r>
                </w:p>
              </w:tc>
              <w:tc>
                <w:tcPr>
                  <w:tcW w:w="3679" w:type="dxa"/>
                  <w:tcBorders>
                    <w:tl2br w:val="nil"/>
                    <w:tr2bl w:val="nil"/>
                  </w:tcBorders>
                  <w:vAlign w:val="center"/>
                </w:tcPr>
                <w:p w14:paraId="3E6D4014">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《城市污水再生利用 城市杂用水水质》（GB/T18920-2020）中的城市绿化、道路清扫、消防、建筑施工标准</w:t>
                  </w:r>
                </w:p>
              </w:tc>
              <w:tc>
                <w:tcPr>
                  <w:tcW w:w="690" w:type="dxa"/>
                  <w:tcBorders>
                    <w:tl2br w:val="nil"/>
                    <w:tr2bl w:val="nil"/>
                  </w:tcBorders>
                  <w:vAlign w:val="center"/>
                </w:tcPr>
                <w:p w14:paraId="2EC7ADE5">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达标情况</w:t>
                  </w:r>
                </w:p>
              </w:tc>
            </w:tr>
            <w:tr w14:paraId="058470D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1" w:type="dxa"/>
                  <w:vMerge w:val="restart"/>
                  <w:tcBorders>
                    <w:tl2br w:val="nil"/>
                    <w:tr2bl w:val="nil"/>
                  </w:tcBorders>
                  <w:vAlign w:val="center"/>
                </w:tcPr>
                <w:p w14:paraId="78B3161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综合废水</w:t>
                  </w:r>
                </w:p>
              </w:tc>
              <w:tc>
                <w:tcPr>
                  <w:tcW w:w="1070" w:type="dxa"/>
                  <w:tcBorders>
                    <w:tl2br w:val="nil"/>
                    <w:tr2bl w:val="nil"/>
                  </w:tcBorders>
                  <w:vAlign w:val="center"/>
                </w:tcPr>
                <w:p w14:paraId="502E0BA5">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COD</w:t>
                  </w:r>
                </w:p>
              </w:tc>
              <w:tc>
                <w:tcPr>
                  <w:tcW w:w="761" w:type="dxa"/>
                  <w:tcBorders>
                    <w:tl2br w:val="nil"/>
                    <w:tr2bl w:val="nil"/>
                  </w:tcBorders>
                  <w:vAlign w:val="center"/>
                </w:tcPr>
                <w:p w14:paraId="5BFD266C">
                  <w:pPr>
                    <w:widowControl/>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520</w:t>
                  </w:r>
                </w:p>
              </w:tc>
              <w:tc>
                <w:tcPr>
                  <w:tcW w:w="948" w:type="dxa"/>
                  <w:vMerge w:val="restart"/>
                  <w:tcBorders>
                    <w:tl2br w:val="nil"/>
                    <w:tr2bl w:val="nil"/>
                  </w:tcBorders>
                  <w:vAlign w:val="center"/>
                </w:tcPr>
                <w:p w14:paraId="2A226D82">
                  <w:pPr>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化粪池</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sz w:val="21"/>
                      <w:szCs w:val="21"/>
                      <w:highlight w:val="none"/>
                    </w:rPr>
                    <w:t>一体化污水处理</w:t>
                  </w:r>
                  <w:r>
                    <w:rPr>
                      <w:rFonts w:hint="default" w:ascii="Times New Roman" w:hAnsi="Times New Roman" w:eastAsia="宋体" w:cs="Times New Roman"/>
                      <w:color w:val="auto"/>
                      <w:sz w:val="21"/>
                      <w:szCs w:val="21"/>
                      <w:highlight w:val="none"/>
                      <w:lang w:val="en-US" w:eastAsia="zh-CN"/>
                    </w:rPr>
                    <w:t>站</w:t>
                  </w:r>
                </w:p>
              </w:tc>
              <w:tc>
                <w:tcPr>
                  <w:tcW w:w="825" w:type="dxa"/>
                  <w:tcBorders>
                    <w:tl2br w:val="nil"/>
                    <w:tr2bl w:val="nil"/>
                  </w:tcBorders>
                  <w:vAlign w:val="center"/>
                </w:tcPr>
                <w:p w14:paraId="5CABD735">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44.2</w:t>
                  </w:r>
                </w:p>
              </w:tc>
              <w:tc>
                <w:tcPr>
                  <w:tcW w:w="3679" w:type="dxa"/>
                  <w:tcBorders>
                    <w:tl2br w:val="nil"/>
                    <w:tr2bl w:val="nil"/>
                  </w:tcBorders>
                  <w:vAlign w:val="center"/>
                </w:tcPr>
                <w:p w14:paraId="26F170EF">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690" w:type="dxa"/>
                  <w:tcBorders>
                    <w:tl2br w:val="nil"/>
                    <w:tr2bl w:val="nil"/>
                  </w:tcBorders>
                  <w:vAlign w:val="center"/>
                </w:tcPr>
                <w:p w14:paraId="5AD2B989">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14:paraId="3EABFF6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1" w:type="dxa"/>
                  <w:vMerge w:val="continue"/>
                  <w:tcBorders>
                    <w:tl2br w:val="nil"/>
                    <w:tr2bl w:val="nil"/>
                  </w:tcBorders>
                  <w:vAlign w:val="center"/>
                </w:tcPr>
                <w:p w14:paraId="5E0222A7">
                  <w:pPr>
                    <w:jc w:val="center"/>
                    <w:rPr>
                      <w:rFonts w:hint="default" w:ascii="Times New Roman" w:hAnsi="Times New Roman" w:eastAsia="宋体" w:cs="Times New Roman"/>
                      <w:color w:val="auto"/>
                      <w:szCs w:val="21"/>
                      <w:highlight w:val="none"/>
                    </w:rPr>
                  </w:pPr>
                </w:p>
              </w:tc>
              <w:tc>
                <w:tcPr>
                  <w:tcW w:w="1070" w:type="dxa"/>
                  <w:tcBorders>
                    <w:tl2br w:val="nil"/>
                    <w:tr2bl w:val="nil"/>
                  </w:tcBorders>
                  <w:vAlign w:val="center"/>
                </w:tcPr>
                <w:p w14:paraId="2EF46A06">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BOD</w:t>
                  </w:r>
                  <w:r>
                    <w:rPr>
                      <w:rFonts w:hint="default" w:ascii="Times New Roman" w:hAnsi="Times New Roman" w:eastAsia="宋体" w:cs="Times New Roman"/>
                      <w:color w:val="auto"/>
                      <w:kern w:val="0"/>
                      <w:szCs w:val="21"/>
                      <w:highlight w:val="none"/>
                      <w:vertAlign w:val="subscript"/>
                      <w:lang w:bidi="ar"/>
                    </w:rPr>
                    <w:t>5</w:t>
                  </w:r>
                </w:p>
              </w:tc>
              <w:tc>
                <w:tcPr>
                  <w:tcW w:w="761" w:type="dxa"/>
                  <w:tcBorders>
                    <w:tl2br w:val="nil"/>
                    <w:tr2bl w:val="nil"/>
                  </w:tcBorders>
                  <w:vAlign w:val="center"/>
                </w:tcPr>
                <w:p w14:paraId="761D6697">
                  <w:pPr>
                    <w:widowControl/>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200</w:t>
                  </w:r>
                </w:p>
              </w:tc>
              <w:tc>
                <w:tcPr>
                  <w:tcW w:w="948" w:type="dxa"/>
                  <w:vMerge w:val="continue"/>
                  <w:tcBorders>
                    <w:tl2br w:val="nil"/>
                    <w:tr2bl w:val="nil"/>
                  </w:tcBorders>
                  <w:vAlign w:val="center"/>
                </w:tcPr>
                <w:p w14:paraId="527E2D75">
                  <w:pPr>
                    <w:jc w:val="center"/>
                    <w:rPr>
                      <w:rFonts w:hint="default" w:ascii="Times New Roman" w:hAnsi="Times New Roman" w:eastAsia="宋体" w:cs="Times New Roman"/>
                      <w:color w:val="auto"/>
                      <w:kern w:val="0"/>
                      <w:sz w:val="21"/>
                      <w:szCs w:val="21"/>
                      <w:highlight w:val="none"/>
                      <w:lang w:bidi="ar"/>
                    </w:rPr>
                  </w:pPr>
                </w:p>
              </w:tc>
              <w:tc>
                <w:tcPr>
                  <w:tcW w:w="825" w:type="dxa"/>
                  <w:tcBorders>
                    <w:tl2br w:val="nil"/>
                    <w:tr2bl w:val="nil"/>
                  </w:tcBorders>
                  <w:vAlign w:val="center"/>
                </w:tcPr>
                <w:p w14:paraId="5080A65F">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3679" w:type="dxa"/>
                  <w:tcBorders>
                    <w:tl2br w:val="nil"/>
                    <w:tr2bl w:val="nil"/>
                  </w:tcBorders>
                  <w:vAlign w:val="center"/>
                </w:tcPr>
                <w:p w14:paraId="4CB3593B">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10</w:t>
                  </w:r>
                </w:p>
              </w:tc>
              <w:tc>
                <w:tcPr>
                  <w:tcW w:w="690" w:type="dxa"/>
                  <w:tcBorders>
                    <w:tl2br w:val="nil"/>
                    <w:tr2bl w:val="nil"/>
                  </w:tcBorders>
                  <w:vAlign w:val="center"/>
                </w:tcPr>
                <w:p w14:paraId="6321BD05">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14:paraId="7E379A8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1" w:type="dxa"/>
                  <w:vMerge w:val="continue"/>
                  <w:tcBorders>
                    <w:tl2br w:val="nil"/>
                    <w:tr2bl w:val="nil"/>
                  </w:tcBorders>
                  <w:vAlign w:val="center"/>
                </w:tcPr>
                <w:p w14:paraId="716B4E59">
                  <w:pPr>
                    <w:jc w:val="center"/>
                    <w:rPr>
                      <w:rFonts w:hint="default" w:ascii="Times New Roman" w:hAnsi="Times New Roman" w:eastAsia="宋体" w:cs="Times New Roman"/>
                      <w:color w:val="auto"/>
                      <w:szCs w:val="21"/>
                      <w:highlight w:val="none"/>
                    </w:rPr>
                  </w:pPr>
                </w:p>
              </w:tc>
              <w:tc>
                <w:tcPr>
                  <w:tcW w:w="1070" w:type="dxa"/>
                  <w:tcBorders>
                    <w:tl2br w:val="nil"/>
                    <w:tr2bl w:val="nil"/>
                  </w:tcBorders>
                  <w:vAlign w:val="center"/>
                </w:tcPr>
                <w:p w14:paraId="0335CCC2">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SS</w:t>
                  </w:r>
                </w:p>
              </w:tc>
              <w:tc>
                <w:tcPr>
                  <w:tcW w:w="761" w:type="dxa"/>
                  <w:tcBorders>
                    <w:tl2br w:val="nil"/>
                    <w:tr2bl w:val="nil"/>
                  </w:tcBorders>
                  <w:vAlign w:val="center"/>
                </w:tcPr>
                <w:p w14:paraId="07C5F264">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val="en-US" w:eastAsia="zh-CN" w:bidi="ar"/>
                    </w:rPr>
                    <w:t>200</w:t>
                  </w:r>
                </w:p>
              </w:tc>
              <w:tc>
                <w:tcPr>
                  <w:tcW w:w="948" w:type="dxa"/>
                  <w:vMerge w:val="continue"/>
                  <w:tcBorders>
                    <w:tl2br w:val="nil"/>
                    <w:tr2bl w:val="nil"/>
                  </w:tcBorders>
                  <w:vAlign w:val="center"/>
                </w:tcPr>
                <w:p w14:paraId="775AE965">
                  <w:pPr>
                    <w:jc w:val="center"/>
                    <w:rPr>
                      <w:rFonts w:hint="default" w:ascii="Times New Roman" w:hAnsi="Times New Roman" w:eastAsia="宋体" w:cs="Times New Roman"/>
                      <w:color w:val="auto"/>
                      <w:kern w:val="0"/>
                      <w:szCs w:val="21"/>
                      <w:highlight w:val="none"/>
                      <w:lang w:bidi="ar"/>
                    </w:rPr>
                  </w:pPr>
                </w:p>
              </w:tc>
              <w:tc>
                <w:tcPr>
                  <w:tcW w:w="825" w:type="dxa"/>
                  <w:tcBorders>
                    <w:tl2br w:val="nil"/>
                    <w:tr2bl w:val="nil"/>
                  </w:tcBorders>
                  <w:vAlign w:val="center"/>
                </w:tcPr>
                <w:p w14:paraId="36B767B8">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3679" w:type="dxa"/>
                  <w:tcBorders>
                    <w:tl2br w:val="nil"/>
                    <w:tr2bl w:val="nil"/>
                  </w:tcBorders>
                  <w:vAlign w:val="center"/>
                </w:tcPr>
                <w:p w14:paraId="2199FCA1">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690" w:type="dxa"/>
                  <w:tcBorders>
                    <w:tl2br w:val="nil"/>
                    <w:tr2bl w:val="nil"/>
                  </w:tcBorders>
                  <w:vAlign w:val="center"/>
                </w:tcPr>
                <w:p w14:paraId="6B5E7D55">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14:paraId="11D2DD9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1" w:type="dxa"/>
                  <w:vMerge w:val="continue"/>
                  <w:tcBorders>
                    <w:tl2br w:val="nil"/>
                    <w:tr2bl w:val="nil"/>
                  </w:tcBorders>
                  <w:vAlign w:val="center"/>
                </w:tcPr>
                <w:p w14:paraId="3A1A2C0E">
                  <w:pPr>
                    <w:jc w:val="center"/>
                    <w:rPr>
                      <w:rFonts w:hint="default" w:ascii="Times New Roman" w:hAnsi="Times New Roman" w:eastAsia="宋体" w:cs="Times New Roman"/>
                      <w:color w:val="auto"/>
                      <w:szCs w:val="21"/>
                      <w:highlight w:val="none"/>
                    </w:rPr>
                  </w:pPr>
                </w:p>
              </w:tc>
              <w:tc>
                <w:tcPr>
                  <w:tcW w:w="1070" w:type="dxa"/>
                  <w:tcBorders>
                    <w:tl2br w:val="nil"/>
                    <w:tr2bl w:val="nil"/>
                  </w:tcBorders>
                  <w:vAlign w:val="center"/>
                </w:tcPr>
                <w:p w14:paraId="276A4D39">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NH</w:t>
                  </w:r>
                  <w:r>
                    <w:rPr>
                      <w:rFonts w:hint="default" w:ascii="Times New Roman" w:hAnsi="Times New Roman" w:eastAsia="宋体" w:cs="Times New Roman"/>
                      <w:color w:val="auto"/>
                      <w:kern w:val="0"/>
                      <w:szCs w:val="21"/>
                      <w:highlight w:val="none"/>
                      <w:vertAlign w:val="subscript"/>
                      <w:lang w:bidi="ar"/>
                    </w:rPr>
                    <w:t>3</w:t>
                  </w:r>
                  <w:r>
                    <w:rPr>
                      <w:rFonts w:hint="default" w:ascii="Times New Roman" w:hAnsi="Times New Roman" w:eastAsia="宋体" w:cs="Times New Roman"/>
                      <w:color w:val="auto"/>
                      <w:kern w:val="0"/>
                      <w:szCs w:val="21"/>
                      <w:highlight w:val="none"/>
                      <w:lang w:bidi="ar"/>
                    </w:rPr>
                    <w:t>-N</w:t>
                  </w:r>
                </w:p>
              </w:tc>
              <w:tc>
                <w:tcPr>
                  <w:tcW w:w="761" w:type="dxa"/>
                  <w:tcBorders>
                    <w:tl2br w:val="nil"/>
                    <w:tr2bl w:val="nil"/>
                  </w:tcBorders>
                  <w:vAlign w:val="center"/>
                </w:tcPr>
                <w:p w14:paraId="47A7BF98">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948" w:type="dxa"/>
                  <w:vMerge w:val="continue"/>
                  <w:tcBorders>
                    <w:tl2br w:val="nil"/>
                    <w:tr2bl w:val="nil"/>
                  </w:tcBorders>
                  <w:vAlign w:val="center"/>
                </w:tcPr>
                <w:p w14:paraId="4F5502E2">
                  <w:pPr>
                    <w:jc w:val="center"/>
                    <w:rPr>
                      <w:rFonts w:hint="default" w:ascii="Times New Roman" w:hAnsi="Times New Roman" w:eastAsia="宋体" w:cs="Times New Roman"/>
                      <w:color w:val="auto"/>
                      <w:kern w:val="0"/>
                      <w:szCs w:val="21"/>
                      <w:highlight w:val="none"/>
                      <w:lang w:bidi="ar"/>
                    </w:rPr>
                  </w:pPr>
                </w:p>
              </w:tc>
              <w:tc>
                <w:tcPr>
                  <w:tcW w:w="825" w:type="dxa"/>
                  <w:tcBorders>
                    <w:tl2br w:val="nil"/>
                    <w:tr2bl w:val="nil"/>
                  </w:tcBorders>
                  <w:vAlign w:val="center"/>
                </w:tcPr>
                <w:p w14:paraId="3CF1EB06">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3679" w:type="dxa"/>
                  <w:tcBorders>
                    <w:tl2br w:val="nil"/>
                    <w:tr2bl w:val="nil"/>
                  </w:tcBorders>
                  <w:vAlign w:val="center"/>
                </w:tcPr>
                <w:p w14:paraId="5E732F0A">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8</w:t>
                  </w:r>
                </w:p>
              </w:tc>
              <w:tc>
                <w:tcPr>
                  <w:tcW w:w="690" w:type="dxa"/>
                  <w:tcBorders>
                    <w:tl2br w:val="nil"/>
                    <w:tr2bl w:val="nil"/>
                  </w:tcBorders>
                  <w:vAlign w:val="center"/>
                </w:tcPr>
                <w:p w14:paraId="60C4E068">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14:paraId="7E4FBBC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61" w:type="dxa"/>
                  <w:vMerge w:val="continue"/>
                  <w:tcBorders>
                    <w:tl2br w:val="nil"/>
                    <w:tr2bl w:val="nil"/>
                  </w:tcBorders>
                  <w:vAlign w:val="center"/>
                </w:tcPr>
                <w:p w14:paraId="0E813A54">
                  <w:pPr>
                    <w:jc w:val="center"/>
                    <w:rPr>
                      <w:rFonts w:hint="default" w:ascii="Times New Roman" w:hAnsi="Times New Roman" w:eastAsia="宋体" w:cs="Times New Roman"/>
                      <w:color w:val="auto"/>
                      <w:szCs w:val="21"/>
                      <w:highlight w:val="none"/>
                    </w:rPr>
                  </w:pPr>
                </w:p>
              </w:tc>
              <w:tc>
                <w:tcPr>
                  <w:tcW w:w="1070" w:type="dxa"/>
                  <w:tcBorders>
                    <w:tl2br w:val="nil"/>
                    <w:tr2bl w:val="nil"/>
                  </w:tcBorders>
                  <w:vAlign w:val="center"/>
                </w:tcPr>
                <w:p w14:paraId="2784B58E">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TP</w:t>
                  </w:r>
                </w:p>
              </w:tc>
              <w:tc>
                <w:tcPr>
                  <w:tcW w:w="761" w:type="dxa"/>
                  <w:tcBorders>
                    <w:tl2br w:val="nil"/>
                    <w:tr2bl w:val="nil"/>
                  </w:tcBorders>
                  <w:vAlign w:val="center"/>
                </w:tcPr>
                <w:p w14:paraId="25E5E9B2">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948" w:type="dxa"/>
                  <w:vMerge w:val="continue"/>
                  <w:tcBorders>
                    <w:tl2br w:val="nil"/>
                    <w:tr2bl w:val="nil"/>
                  </w:tcBorders>
                  <w:vAlign w:val="center"/>
                </w:tcPr>
                <w:p w14:paraId="4BAC9037">
                  <w:pPr>
                    <w:jc w:val="center"/>
                    <w:rPr>
                      <w:rFonts w:hint="default" w:ascii="Times New Roman" w:hAnsi="Times New Roman" w:eastAsia="宋体" w:cs="Times New Roman"/>
                      <w:color w:val="auto"/>
                      <w:kern w:val="0"/>
                      <w:szCs w:val="21"/>
                      <w:highlight w:val="none"/>
                      <w:lang w:bidi="ar"/>
                    </w:rPr>
                  </w:pPr>
                </w:p>
              </w:tc>
              <w:tc>
                <w:tcPr>
                  <w:tcW w:w="825" w:type="dxa"/>
                  <w:tcBorders>
                    <w:tl2br w:val="nil"/>
                    <w:tr2bl w:val="nil"/>
                  </w:tcBorders>
                  <w:vAlign w:val="center"/>
                </w:tcPr>
                <w:p w14:paraId="7EB2579C">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3679" w:type="dxa"/>
                  <w:tcBorders>
                    <w:tl2br w:val="nil"/>
                    <w:tr2bl w:val="nil"/>
                  </w:tcBorders>
                  <w:vAlign w:val="center"/>
                </w:tcPr>
                <w:p w14:paraId="7C91AF7E">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690" w:type="dxa"/>
                  <w:tcBorders>
                    <w:tl2br w:val="nil"/>
                    <w:tr2bl w:val="nil"/>
                  </w:tcBorders>
                  <w:vAlign w:val="center"/>
                </w:tcPr>
                <w:p w14:paraId="320E4113">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bl>
          <w:p w14:paraId="282D12EA">
            <w:pPr>
              <w:keepNext w:val="0"/>
              <w:keepLines w:val="0"/>
              <w:pageBreakBefore w:val="0"/>
              <w:widowControl w:val="0"/>
              <w:kinsoku/>
              <w:wordWrap/>
              <w:overflowPunct/>
              <w:topLinePunct w:val="0"/>
              <w:autoSpaceDE/>
              <w:autoSpaceDN/>
              <w:bidi w:val="0"/>
              <w:spacing w:line="351" w:lineRule="auto"/>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zh-CN"/>
              </w:rPr>
              <w:t>由</w:t>
            </w:r>
            <w:r>
              <w:rPr>
                <w:rFonts w:hint="default" w:ascii="Times New Roman" w:hAnsi="Times New Roman" w:eastAsia="宋体" w:cs="Times New Roman"/>
                <w:b w:val="0"/>
                <w:bCs w:val="0"/>
                <w:color w:val="auto"/>
                <w:sz w:val="24"/>
                <w:szCs w:val="24"/>
                <w:highlight w:val="none"/>
                <w:lang w:val="zh-CN"/>
              </w:rPr>
              <w:t>上表可以看出，项目生活废水</w:t>
            </w:r>
            <w:r>
              <w:rPr>
                <w:rFonts w:hint="default" w:ascii="Times New Roman" w:hAnsi="Times New Roman" w:eastAsia="宋体" w:cs="Times New Roman"/>
                <w:b w:val="0"/>
                <w:bCs w:val="0"/>
                <w:color w:val="auto"/>
                <w:sz w:val="24"/>
                <w:szCs w:val="24"/>
                <w:highlight w:val="none"/>
              </w:rPr>
              <w:t>经</w:t>
            </w:r>
            <w:r>
              <w:rPr>
                <w:rFonts w:hint="default" w:ascii="Times New Roman" w:hAnsi="Times New Roman" w:eastAsia="宋体" w:cs="Times New Roman"/>
                <w:b w:val="0"/>
                <w:bCs w:val="0"/>
                <w:color w:val="auto"/>
                <w:sz w:val="24"/>
                <w:szCs w:val="24"/>
                <w:highlight w:val="none"/>
                <w:lang w:val="en-US" w:eastAsia="zh-CN"/>
              </w:rPr>
              <w:t>化粪池</w:t>
            </w:r>
            <w:r>
              <w:rPr>
                <w:rFonts w:hint="eastAsia" w:ascii="Times New Roman" w:hAnsi="Times New Roman" w:cs="Times New Roman"/>
                <w:b w:val="0"/>
                <w:bCs w:val="0"/>
                <w:color w:val="auto"/>
                <w:sz w:val="24"/>
                <w:szCs w:val="24"/>
                <w:highlight w:val="none"/>
                <w:lang w:val="en-US" w:eastAsia="zh-CN"/>
              </w:rPr>
              <w:t>处理后同</w:t>
            </w:r>
            <w:r>
              <w:rPr>
                <w:rFonts w:hint="eastAsia" w:ascii="Times New Roman" w:hAnsi="Times New Roman" w:cs="Times New Roman"/>
                <w:b w:val="0"/>
                <w:bCs w:val="0"/>
                <w:color w:val="auto"/>
                <w:sz w:val="24"/>
                <w:szCs w:val="24"/>
                <w:highlight w:val="none"/>
                <w:lang w:val="zh-CN"/>
              </w:rPr>
              <w:t>化验容器清洗废水</w:t>
            </w:r>
            <w:r>
              <w:rPr>
                <w:rFonts w:hint="eastAsia" w:ascii="Times New Roman" w:hAnsi="Times New Roman" w:cs="Times New Roman"/>
                <w:b w:val="0"/>
                <w:bCs w:val="0"/>
                <w:color w:val="auto"/>
                <w:sz w:val="24"/>
                <w:szCs w:val="24"/>
                <w:highlight w:val="none"/>
                <w:lang w:val="en-US" w:eastAsia="zh-CN"/>
              </w:rPr>
              <w:t>一并排入</w:t>
            </w:r>
            <w:r>
              <w:rPr>
                <w:rFonts w:hint="default" w:ascii="Times New Roman" w:hAnsi="Times New Roman" w:eastAsia="宋体" w:cs="Times New Roman"/>
                <w:b w:val="0"/>
                <w:bCs w:val="0"/>
                <w:color w:val="auto"/>
                <w:sz w:val="24"/>
                <w:szCs w:val="24"/>
                <w:highlight w:val="none"/>
              </w:rPr>
              <w:t>一体化污水处理</w:t>
            </w:r>
            <w:r>
              <w:rPr>
                <w:rFonts w:hint="default" w:ascii="Times New Roman" w:hAnsi="Times New Roman" w:eastAsia="宋体" w:cs="Times New Roman"/>
                <w:b w:val="0"/>
                <w:bCs w:val="0"/>
                <w:color w:val="auto"/>
                <w:sz w:val="24"/>
                <w:szCs w:val="24"/>
                <w:highlight w:val="none"/>
                <w:lang w:val="en-US" w:eastAsia="zh-CN"/>
              </w:rPr>
              <w:t>站</w:t>
            </w:r>
            <w:r>
              <w:rPr>
                <w:rFonts w:hint="default" w:ascii="Times New Roman" w:hAnsi="Times New Roman" w:eastAsia="宋体" w:cs="Times New Roman"/>
                <w:b w:val="0"/>
                <w:bCs w:val="0"/>
                <w:color w:val="auto"/>
                <w:sz w:val="24"/>
                <w:szCs w:val="24"/>
                <w:highlight w:val="none"/>
                <w:lang w:val="zh-CN"/>
              </w:rPr>
              <w:t>处理，</w:t>
            </w:r>
            <w:r>
              <w:rPr>
                <w:rFonts w:hint="default" w:ascii="Times New Roman" w:hAnsi="Times New Roman" w:eastAsia="宋体" w:cs="Times New Roman"/>
                <w:b w:val="0"/>
                <w:bCs w:val="0"/>
                <w:color w:val="auto"/>
                <w:sz w:val="24"/>
                <w:szCs w:val="24"/>
                <w:highlight w:val="none"/>
              </w:rPr>
              <w:t>出水水质能够</w:t>
            </w:r>
            <w:r>
              <w:rPr>
                <w:rFonts w:hint="default" w:ascii="Times New Roman" w:hAnsi="Times New Roman" w:eastAsia="宋体" w:cs="Times New Roman"/>
                <w:b w:val="0"/>
                <w:bCs w:val="0"/>
                <w:color w:val="auto"/>
                <w:sz w:val="24"/>
                <w:szCs w:val="24"/>
                <w:highlight w:val="none"/>
                <w:lang w:val="en-US" w:eastAsia="zh-CN"/>
              </w:rPr>
              <w:t>满足《城市污水再生利用 城市杂用水水质》（GB/T18920-2020）中的城市绿化、道路清扫、消防、建筑施工标准要求</w:t>
            </w:r>
            <w:r>
              <w:rPr>
                <w:rFonts w:hint="default" w:ascii="Times New Roman" w:hAnsi="Times New Roman" w:eastAsia="宋体" w:cs="Times New Roman"/>
                <w:color w:val="auto"/>
                <w:sz w:val="24"/>
                <w:szCs w:val="24"/>
                <w:highlight w:val="none"/>
              </w:rPr>
              <w:t>。</w:t>
            </w:r>
          </w:p>
          <w:p w14:paraId="2FF0F92A">
            <w:pPr>
              <w:keepNext w:val="0"/>
              <w:keepLines w:val="0"/>
              <w:pageBreakBefore w:val="0"/>
              <w:widowControl w:val="0"/>
              <w:numPr>
                <w:ilvl w:val="0"/>
                <w:numId w:val="0"/>
              </w:numPr>
              <w:kinsoku/>
              <w:wordWrap/>
              <w:overflowPunct/>
              <w:topLinePunct w:val="0"/>
              <w:autoSpaceDE/>
              <w:autoSpaceDN/>
              <w:bidi w:val="0"/>
              <w:adjustRightInd/>
              <w:snapToGrid/>
              <w:spacing w:line="351" w:lineRule="auto"/>
              <w:ind w:left="0" w:leftChars="0" w:firstLine="442" w:firstLineChars="200"/>
              <w:textAlignment w:val="auto"/>
              <w:rPr>
                <w:rFonts w:hint="default" w:ascii="Times New Roman" w:hAnsi="Times New Roman" w:eastAsia="宋体" w:cs="Times New Roman"/>
                <w:b/>
                <w:bCs w:val="0"/>
                <w:color w:val="auto"/>
                <w:spacing w:val="-10"/>
                <w:kern w:val="2"/>
                <w:sz w:val="24"/>
                <w:szCs w:val="24"/>
                <w:highlight w:val="none"/>
                <w:lang w:val="zh-CN" w:eastAsia="zh-CN" w:bidi="ar-SA"/>
              </w:rPr>
            </w:pPr>
            <w:r>
              <w:rPr>
                <w:rFonts w:hint="default" w:ascii="Times New Roman" w:hAnsi="Times New Roman" w:eastAsia="宋体" w:cs="Times New Roman"/>
                <w:b/>
                <w:bCs w:val="0"/>
                <w:color w:val="auto"/>
                <w:spacing w:val="-10"/>
                <w:kern w:val="2"/>
                <w:sz w:val="24"/>
                <w:szCs w:val="24"/>
                <w:highlight w:val="none"/>
                <w:lang w:val="en-US" w:eastAsia="zh-CN" w:bidi="ar-SA"/>
              </w:rPr>
              <w:t>4、</w:t>
            </w:r>
            <w:r>
              <w:rPr>
                <w:rFonts w:hint="default" w:ascii="Times New Roman" w:hAnsi="Times New Roman" w:eastAsia="宋体" w:cs="Times New Roman"/>
                <w:b/>
                <w:bCs w:val="0"/>
                <w:color w:val="auto"/>
                <w:spacing w:val="-10"/>
                <w:kern w:val="2"/>
                <w:sz w:val="24"/>
                <w:szCs w:val="24"/>
                <w:highlight w:val="none"/>
                <w:lang w:val="zh-CN" w:eastAsia="zh-CN" w:bidi="ar-SA"/>
              </w:rPr>
              <w:t>生产废水</w:t>
            </w:r>
            <w:r>
              <w:rPr>
                <w:rFonts w:hint="default" w:ascii="Times New Roman" w:hAnsi="Times New Roman" w:eastAsia="宋体" w:cs="Times New Roman"/>
                <w:b/>
                <w:bCs w:val="0"/>
                <w:color w:val="auto"/>
                <w:spacing w:val="-10"/>
                <w:kern w:val="2"/>
                <w:sz w:val="24"/>
                <w:szCs w:val="24"/>
                <w:highlight w:val="none"/>
                <w:lang w:val="en-US" w:eastAsia="zh-CN" w:bidi="ar-SA"/>
              </w:rPr>
              <w:t>循环使用的</w:t>
            </w:r>
            <w:r>
              <w:rPr>
                <w:rFonts w:hint="default" w:ascii="Times New Roman" w:hAnsi="Times New Roman" w:eastAsia="宋体" w:cs="Times New Roman"/>
                <w:b/>
                <w:bCs w:val="0"/>
                <w:color w:val="auto"/>
                <w:spacing w:val="-10"/>
                <w:kern w:val="2"/>
                <w:sz w:val="24"/>
                <w:szCs w:val="24"/>
                <w:highlight w:val="none"/>
                <w:lang w:val="zh-CN" w:eastAsia="zh-CN" w:bidi="ar-SA"/>
              </w:rPr>
              <w:t>可行性分析</w:t>
            </w:r>
          </w:p>
          <w:p w14:paraId="0170E8D1">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rPr>
                <w:rFonts w:hint="default" w:ascii="Times New Roman" w:hAnsi="Times New Roman" w:eastAsia="宋体" w:cs="Times New Roman"/>
                <w:color w:val="auto"/>
                <w:sz w:val="24"/>
                <w:highlight w:val="none"/>
                <w:lang w:val="en-US" w:eastAsia="en-US"/>
              </w:rPr>
            </w:pPr>
            <w:r>
              <w:rPr>
                <w:rFonts w:hint="default" w:ascii="Times New Roman" w:hAnsi="Times New Roman" w:eastAsia="宋体" w:cs="Times New Roman"/>
                <w:color w:val="auto"/>
                <w:sz w:val="24"/>
                <w:highlight w:val="none"/>
                <w:lang w:val="en-US" w:eastAsia="zh-CN"/>
              </w:rPr>
              <w:t>根据工程分析，项目生产车间</w:t>
            </w:r>
            <w:r>
              <w:rPr>
                <w:rFonts w:hint="default" w:ascii="Times New Roman" w:hAnsi="Times New Roman" w:eastAsia="宋体" w:cs="Times New Roman"/>
                <w:color w:val="auto"/>
                <w:sz w:val="24"/>
                <w:highlight w:val="none"/>
                <w:lang w:val="en-US" w:eastAsia="en-US"/>
              </w:rPr>
              <w:t>废水</w:t>
            </w:r>
            <w:r>
              <w:rPr>
                <w:rFonts w:hint="default" w:ascii="Times New Roman" w:hAnsi="Times New Roman" w:eastAsia="宋体" w:cs="Times New Roman"/>
                <w:color w:val="auto"/>
                <w:sz w:val="24"/>
                <w:highlight w:val="none"/>
                <w:lang w:val="en-US" w:eastAsia="zh-CN"/>
              </w:rPr>
              <w:t>为</w:t>
            </w:r>
            <w:r>
              <w:rPr>
                <w:rFonts w:hint="eastAsia" w:ascii="Times New Roman" w:hAnsi="Times New Roman" w:cs="Times New Roman"/>
                <w:color w:val="auto"/>
                <w:sz w:val="24"/>
                <w:highlight w:val="none"/>
                <w:lang w:val="en-US"/>
              </w:rPr>
              <w:t>烘干机液压油站及大风机</w:t>
            </w:r>
            <w:r>
              <w:rPr>
                <w:rFonts w:hint="default" w:ascii="Times New Roman" w:hAnsi="Times New Roman" w:eastAsia="宋体" w:cs="Times New Roman"/>
                <w:color w:val="auto"/>
                <w:sz w:val="24"/>
                <w:highlight w:val="none"/>
                <w:lang w:val="en-US" w:eastAsia="en-US"/>
              </w:rPr>
              <w:t>冷却废水。</w:t>
            </w:r>
            <w:r>
              <w:rPr>
                <w:rFonts w:hint="eastAsia"/>
                <w:color w:val="auto"/>
                <w:sz w:val="24"/>
                <w:highlight w:val="none"/>
                <w:lang w:eastAsia="zh-CN"/>
              </w:rPr>
              <w:t>设备冷却为间接冷却，不与产品直接接触，</w:t>
            </w:r>
            <w:r>
              <w:rPr>
                <w:rFonts w:hint="default" w:ascii="Times New Roman" w:hAnsi="Times New Roman" w:eastAsia="宋体" w:cs="Times New Roman"/>
                <w:color w:val="auto"/>
                <w:sz w:val="24"/>
                <w:highlight w:val="none"/>
                <w:lang w:eastAsia="zh-CN"/>
              </w:rPr>
              <w:t>冷却水为高温清净水，水温约为</w:t>
            </w:r>
            <w:r>
              <w:rPr>
                <w:rFonts w:hint="eastAsia" w:cs="Times New Roman"/>
                <w:color w:val="auto"/>
                <w:sz w:val="24"/>
                <w:highlight w:val="none"/>
                <w:lang w:val="en-US" w:eastAsia="zh-CN"/>
              </w:rPr>
              <w:t>60</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，项目拟配套冷却系统，</w:t>
            </w:r>
            <w:r>
              <w:rPr>
                <w:rFonts w:hint="default" w:ascii="Times New Roman" w:hAnsi="Times New Roman" w:eastAsia="宋体" w:cs="Times New Roman"/>
                <w:color w:val="auto"/>
                <w:sz w:val="24"/>
                <w:highlight w:val="none"/>
                <w:lang w:val="en-US" w:eastAsia="zh-CN"/>
              </w:rPr>
              <w:t>包括</w:t>
            </w:r>
            <w:r>
              <w:rPr>
                <w:rFonts w:hint="default" w:ascii="Times New Roman" w:hAnsi="Times New Roman" w:eastAsia="宋体" w:cs="Times New Roman"/>
                <w:color w:val="auto"/>
                <w:sz w:val="24"/>
                <w:highlight w:val="none"/>
                <w:lang w:eastAsia="zh-CN"/>
              </w:rPr>
              <w:t>冷却水池</w:t>
            </w:r>
            <w:r>
              <w:rPr>
                <w:rFonts w:hint="default" w:ascii="Times New Roman" w:hAnsi="Times New Roman" w:eastAsia="宋体" w:cs="Times New Roman"/>
                <w:color w:val="auto"/>
                <w:sz w:val="24"/>
                <w:highlight w:val="none"/>
                <w:lang w:val="en-US" w:eastAsia="zh-CN"/>
              </w:rPr>
              <w:t>及1个冷却水塔</w:t>
            </w:r>
            <w:r>
              <w:rPr>
                <w:rFonts w:hint="default" w:ascii="Times New Roman" w:hAnsi="Times New Roman" w:eastAsia="宋体" w:cs="Times New Roman"/>
                <w:color w:val="auto"/>
                <w:sz w:val="24"/>
                <w:highlight w:val="none"/>
                <w:lang w:eastAsia="zh-CN"/>
              </w:rPr>
              <w:t>，冷却水经冷却</w:t>
            </w:r>
            <w:r>
              <w:rPr>
                <w:rFonts w:hint="default" w:ascii="Times New Roman" w:hAnsi="Times New Roman" w:eastAsia="宋体" w:cs="Times New Roman"/>
                <w:color w:val="auto"/>
                <w:sz w:val="24"/>
                <w:highlight w:val="none"/>
                <w:lang w:val="en-US" w:eastAsia="zh-CN"/>
              </w:rPr>
              <w:t>循环</w:t>
            </w:r>
            <w:r>
              <w:rPr>
                <w:rFonts w:hint="default" w:ascii="Times New Roman" w:hAnsi="Times New Roman" w:eastAsia="宋体" w:cs="Times New Roman"/>
                <w:color w:val="auto"/>
                <w:sz w:val="24"/>
                <w:highlight w:val="none"/>
                <w:lang w:eastAsia="zh-CN"/>
              </w:rPr>
              <w:t>系统冷却后温度可降低至</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，满足冷却用水温度</w:t>
            </w:r>
            <w:r>
              <w:rPr>
                <w:rFonts w:hint="default" w:ascii="Times New Roman" w:hAnsi="Times New Roman" w:eastAsia="宋体" w:cs="Times New Roman"/>
                <w:color w:val="auto"/>
                <w:sz w:val="24"/>
                <w:highlight w:val="none"/>
                <w:lang w:val="en-US" w:eastAsia="zh-CN"/>
              </w:rPr>
              <w:t>32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要求，故项目冷却水经冷却系统冷却后循环使用可行</w:t>
            </w:r>
            <w:r>
              <w:rPr>
                <w:rFonts w:hint="default" w:ascii="Times New Roman" w:hAnsi="Times New Roman" w:eastAsia="宋体" w:cs="Times New Roman"/>
                <w:color w:val="auto"/>
                <w:sz w:val="24"/>
                <w:highlight w:val="none"/>
                <w:lang w:val="en-US" w:eastAsia="en-US"/>
              </w:rPr>
              <w:t>。</w:t>
            </w:r>
          </w:p>
          <w:p w14:paraId="66E6C48D">
            <w:pPr>
              <w:keepNext w:val="0"/>
              <w:keepLines w:val="0"/>
              <w:pageBreakBefore w:val="0"/>
              <w:widowControl w:val="0"/>
              <w:kinsoku/>
              <w:wordWrap/>
              <w:overflowPunct/>
              <w:topLinePunct w:val="0"/>
              <w:autoSpaceDE/>
              <w:autoSpaceDN/>
              <w:bidi w:val="0"/>
              <w:adjustRightInd/>
              <w:spacing w:line="351"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因此，</w:t>
            </w:r>
            <w:r>
              <w:rPr>
                <w:rFonts w:hint="eastAsia" w:ascii="Times New Roman" w:hAnsi="Times New Roman" w:cs="Times New Roman"/>
                <w:color w:val="auto"/>
                <w:sz w:val="24"/>
                <w:highlight w:val="none"/>
                <w:lang w:val="en-US"/>
              </w:rPr>
              <w:t>烘干机液压油站及大风机</w:t>
            </w:r>
            <w:r>
              <w:rPr>
                <w:rFonts w:hint="default" w:ascii="Times New Roman" w:hAnsi="Times New Roman" w:eastAsia="宋体" w:cs="Times New Roman"/>
                <w:color w:val="auto"/>
                <w:sz w:val="24"/>
                <w:highlight w:val="none"/>
                <w:lang w:val="en-US" w:eastAsia="en-US"/>
              </w:rPr>
              <w:t>冷却废水</w:t>
            </w:r>
            <w:r>
              <w:rPr>
                <w:rFonts w:hint="default" w:ascii="Times New Roman" w:hAnsi="Times New Roman" w:eastAsia="宋体" w:cs="Times New Roman"/>
                <w:color w:val="auto"/>
                <w:sz w:val="24"/>
                <w:highlight w:val="none"/>
                <w:lang w:val="en-US" w:eastAsia="zh-CN"/>
              </w:rPr>
              <w:t>经收集处理后可全部回用，不外排，对周边地表水环境的影响较小。</w:t>
            </w:r>
          </w:p>
          <w:p w14:paraId="73FF23F1">
            <w:pPr>
              <w:keepNext w:val="0"/>
              <w:keepLines w:val="0"/>
              <w:pageBreakBefore w:val="0"/>
              <w:widowControl w:val="0"/>
              <w:numPr>
                <w:ilvl w:val="0"/>
                <w:numId w:val="0"/>
              </w:numPr>
              <w:kinsoku/>
              <w:wordWrap/>
              <w:overflowPunct/>
              <w:topLinePunct w:val="0"/>
              <w:autoSpaceDE/>
              <w:autoSpaceDN/>
              <w:bidi w:val="0"/>
              <w:adjustRightInd/>
              <w:snapToGrid/>
              <w:spacing w:line="351" w:lineRule="auto"/>
              <w:ind w:left="0" w:leftChars="0" w:firstLine="442" w:firstLineChars="200"/>
              <w:textAlignment w:val="auto"/>
              <w:rPr>
                <w:rFonts w:hint="default" w:ascii="Times New Roman" w:hAnsi="Times New Roman" w:eastAsia="宋体" w:cs="Times New Roman"/>
                <w:b/>
                <w:bCs w:val="0"/>
                <w:color w:val="auto"/>
                <w:spacing w:val="-10"/>
                <w:kern w:val="2"/>
                <w:sz w:val="24"/>
                <w:szCs w:val="24"/>
                <w:highlight w:val="none"/>
                <w:lang w:val="en-US" w:eastAsia="zh-CN" w:bidi="ar-SA"/>
              </w:rPr>
            </w:pPr>
            <w:r>
              <w:rPr>
                <w:rFonts w:hint="default" w:ascii="Times New Roman" w:hAnsi="Times New Roman" w:eastAsia="宋体" w:cs="Times New Roman"/>
                <w:b/>
                <w:bCs w:val="0"/>
                <w:color w:val="auto"/>
                <w:spacing w:val="-10"/>
                <w:kern w:val="2"/>
                <w:sz w:val="24"/>
                <w:szCs w:val="24"/>
                <w:highlight w:val="none"/>
                <w:lang w:val="en-US" w:eastAsia="zh-CN" w:bidi="ar-SA"/>
              </w:rPr>
              <w:t>5、生活废水</w:t>
            </w:r>
            <w:r>
              <w:rPr>
                <w:rFonts w:hint="eastAsia" w:ascii="Times New Roman" w:hAnsi="Times New Roman" w:cs="Times New Roman"/>
                <w:b/>
                <w:bCs w:val="0"/>
                <w:color w:val="auto"/>
                <w:spacing w:val="-10"/>
                <w:kern w:val="2"/>
                <w:sz w:val="24"/>
                <w:szCs w:val="24"/>
                <w:highlight w:val="none"/>
                <w:lang w:val="en-US" w:eastAsia="zh-CN" w:bidi="ar-SA"/>
              </w:rPr>
              <w:t>及</w:t>
            </w:r>
            <w:r>
              <w:rPr>
                <w:rFonts w:hint="eastAsia" w:ascii="Times New Roman" w:hAnsi="Times New Roman" w:eastAsia="宋体" w:cs="Times New Roman"/>
                <w:b/>
                <w:bCs w:val="0"/>
                <w:color w:val="auto"/>
                <w:spacing w:val="-10"/>
                <w:kern w:val="2"/>
                <w:sz w:val="24"/>
                <w:szCs w:val="24"/>
                <w:highlight w:val="none"/>
                <w:lang w:val="zh-CN" w:eastAsia="zh-CN" w:bidi="ar-SA"/>
              </w:rPr>
              <w:t>化验容器清洗废水</w:t>
            </w:r>
            <w:r>
              <w:rPr>
                <w:rFonts w:hint="default" w:ascii="Times New Roman" w:hAnsi="Times New Roman" w:eastAsia="宋体" w:cs="Times New Roman"/>
                <w:b/>
                <w:bCs w:val="0"/>
                <w:color w:val="auto"/>
                <w:spacing w:val="-10"/>
                <w:kern w:val="2"/>
                <w:sz w:val="24"/>
                <w:szCs w:val="24"/>
                <w:highlight w:val="none"/>
                <w:lang w:val="en-US" w:eastAsia="zh-CN" w:bidi="ar-SA"/>
              </w:rPr>
              <w:t>回用可行性分析</w:t>
            </w:r>
          </w:p>
          <w:p w14:paraId="0F989E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废水产生量为</w:t>
            </w:r>
            <w:r>
              <w:rPr>
                <w:rFonts w:hint="eastAsia" w:cs="Times New Roman"/>
                <w:color w:val="auto"/>
                <w:spacing w:val="11"/>
                <w:sz w:val="24"/>
                <w:highlight w:val="none"/>
                <w:lang w:val="en-US" w:eastAsia="zh-CN"/>
              </w:rPr>
              <w:t>2.04</w:t>
            </w:r>
            <w:r>
              <w:rPr>
                <w:rFonts w:hint="default" w:ascii="Times New Roman" w:hAnsi="Times New Roman" w:eastAsia="宋体" w:cs="Times New Roman"/>
                <w:color w:val="auto"/>
                <w:spacing w:val="11"/>
                <w:sz w:val="24"/>
                <w:highlight w:val="none"/>
              </w:rPr>
              <w:t>m</w:t>
            </w:r>
            <w:r>
              <w:rPr>
                <w:rFonts w:hint="default" w:ascii="Times New Roman" w:hAnsi="Times New Roman" w:eastAsia="宋体" w:cs="Times New Roman"/>
                <w:color w:val="auto"/>
                <w:spacing w:val="11"/>
                <w:sz w:val="24"/>
                <w:highlight w:val="none"/>
                <w:vertAlign w:val="superscript"/>
              </w:rPr>
              <w:t>3</w:t>
            </w:r>
            <w:r>
              <w:rPr>
                <w:rFonts w:hint="default" w:ascii="Times New Roman" w:hAnsi="Times New Roman" w:eastAsia="宋体" w:cs="Times New Roman"/>
                <w:color w:val="auto"/>
                <w:spacing w:val="11"/>
                <w:sz w:val="24"/>
                <w:highlight w:val="none"/>
              </w:rPr>
              <w:t>/d</w:t>
            </w:r>
            <w:r>
              <w:rPr>
                <w:rFonts w:hint="default" w:ascii="Times New Roman" w:hAnsi="Times New Roman" w:eastAsia="宋体" w:cs="Times New Roman"/>
                <w:color w:val="auto"/>
                <w:spacing w:val="11"/>
                <w:sz w:val="24"/>
                <w:highlight w:val="none"/>
                <w:lang w:eastAsia="zh-CN"/>
              </w:rPr>
              <w:t>、</w:t>
            </w:r>
            <w:r>
              <w:rPr>
                <w:rFonts w:hint="eastAsia" w:cs="Times New Roman"/>
                <w:color w:val="auto"/>
                <w:spacing w:val="11"/>
                <w:sz w:val="24"/>
                <w:highlight w:val="none"/>
                <w:lang w:val="en-US" w:eastAsia="zh-CN"/>
              </w:rPr>
              <w:t>571.2</w:t>
            </w:r>
            <w:r>
              <w:rPr>
                <w:rFonts w:hint="default" w:ascii="Times New Roman" w:hAnsi="Times New Roman" w:eastAsia="宋体" w:cs="Times New Roman"/>
                <w:color w:val="auto"/>
                <w:spacing w:val="11"/>
                <w:sz w:val="24"/>
                <w:highlight w:val="none"/>
              </w:rPr>
              <w:t>m</w:t>
            </w:r>
            <w:r>
              <w:rPr>
                <w:rFonts w:hint="default" w:ascii="Times New Roman" w:hAnsi="Times New Roman" w:eastAsia="宋体" w:cs="Times New Roman"/>
                <w:color w:val="auto"/>
                <w:spacing w:val="11"/>
                <w:sz w:val="24"/>
                <w:highlight w:val="none"/>
                <w:vertAlign w:val="superscript"/>
              </w:rPr>
              <w:t>3</w:t>
            </w:r>
            <w:r>
              <w:rPr>
                <w:rFonts w:hint="default" w:ascii="Times New Roman" w:hAnsi="Times New Roman" w:eastAsia="宋体" w:cs="Times New Roman"/>
                <w:color w:val="auto"/>
                <w:spacing w:val="11"/>
                <w:sz w:val="24"/>
                <w:highlight w:val="none"/>
              </w:rPr>
              <w:t>/</w:t>
            </w:r>
            <w:r>
              <w:rPr>
                <w:rFonts w:hint="default" w:ascii="Times New Roman" w:hAnsi="Times New Roman" w:eastAsia="宋体" w:cs="Times New Roman"/>
                <w:color w:val="auto"/>
                <w:spacing w:val="11"/>
                <w:sz w:val="24"/>
                <w:highlight w:val="none"/>
                <w:lang w:val="en-US" w:eastAsia="zh-CN"/>
              </w:rPr>
              <w:t>a，</w:t>
            </w:r>
            <w:r>
              <w:rPr>
                <w:rFonts w:hint="eastAsia"/>
                <w:color w:val="auto"/>
                <w:sz w:val="24"/>
                <w:highlight w:val="none"/>
              </w:rPr>
              <w:t>化验容器</w:t>
            </w:r>
            <w:r>
              <w:rPr>
                <w:rFonts w:hint="default" w:ascii="Times New Roman" w:hAnsi="Times New Roman" w:eastAsia="宋体" w:cs="Times New Roman"/>
                <w:color w:val="auto"/>
                <w:spacing w:val="11"/>
                <w:sz w:val="24"/>
                <w:highlight w:val="none"/>
                <w:lang w:val="en-US" w:eastAsia="zh-CN"/>
              </w:rPr>
              <w:t>清洗废水量为</w:t>
            </w:r>
            <w:r>
              <w:rPr>
                <w:rFonts w:hint="eastAsia"/>
                <w:color w:val="auto"/>
                <w:sz w:val="24"/>
                <w:highlight w:val="none"/>
              </w:rPr>
              <w:t>0.02</w:t>
            </w:r>
            <w:r>
              <w:rPr>
                <w:color w:val="auto"/>
                <w:sz w:val="24"/>
                <w:highlight w:val="none"/>
              </w:rPr>
              <w:t>m</w:t>
            </w:r>
            <w:r>
              <w:rPr>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5.6</w:t>
            </w:r>
            <w:r>
              <w:rPr>
                <w:color w:val="auto"/>
                <w:sz w:val="24"/>
                <w:highlight w:val="none"/>
              </w:rPr>
              <w:t>m</w:t>
            </w:r>
            <w:r>
              <w:rPr>
                <w:color w:val="auto"/>
                <w:sz w:val="24"/>
                <w:highlight w:val="none"/>
                <w:vertAlign w:val="superscript"/>
              </w:rPr>
              <w:t>3</w:t>
            </w:r>
            <w:r>
              <w:rPr>
                <w:color w:val="auto"/>
                <w:sz w:val="24"/>
                <w:highlight w:val="none"/>
              </w:rPr>
              <w: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lang w:val="en-US" w:eastAsia="zh-CN"/>
              </w:rPr>
              <w:t>水平衡分析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snapToGrid w:val="0"/>
                <w:color w:val="auto"/>
                <w:kern w:val="0"/>
                <w:sz w:val="24"/>
                <w:highlight w:val="none"/>
                <w:lang w:val="en-US" w:eastAsia="zh-CN"/>
              </w:rPr>
              <w:t>本项目</w:t>
            </w:r>
            <w:r>
              <w:rPr>
                <w:rFonts w:hint="default" w:ascii="Times New Roman" w:hAnsi="Times New Roman" w:eastAsia="宋体" w:cs="Times New Roman"/>
                <w:color w:val="auto"/>
                <w:sz w:val="24"/>
                <w:szCs w:val="24"/>
                <w:highlight w:val="none"/>
              </w:rPr>
              <w:t>非雨天</w:t>
            </w:r>
            <w:r>
              <w:rPr>
                <w:rFonts w:hint="default" w:ascii="Times New Roman" w:hAnsi="Times New Roman" w:eastAsia="宋体" w:cs="Times New Roman"/>
                <w:snapToGrid w:val="0"/>
                <w:color w:val="auto"/>
                <w:kern w:val="0"/>
                <w:sz w:val="24"/>
                <w:highlight w:val="none"/>
                <w:lang w:val="en-US" w:eastAsia="zh-CN"/>
              </w:rPr>
              <w:t>绿化及</w:t>
            </w:r>
            <w:r>
              <w:rPr>
                <w:rFonts w:hint="default" w:ascii="Times New Roman" w:hAnsi="Times New Roman" w:eastAsia="宋体" w:cs="Times New Roman"/>
                <w:color w:val="auto"/>
                <w:sz w:val="24"/>
                <w:szCs w:val="24"/>
                <w:highlight w:val="none"/>
                <w:lang w:val="en-US" w:eastAsia="zh-CN"/>
              </w:rPr>
              <w:t>道路场地洒水所需</w:t>
            </w:r>
            <w:r>
              <w:rPr>
                <w:rFonts w:hint="default" w:ascii="Times New Roman" w:hAnsi="Times New Roman" w:eastAsia="宋体" w:cs="Times New Roman"/>
                <w:b w:val="0"/>
                <w:bCs w:val="0"/>
                <w:color w:val="auto"/>
                <w:sz w:val="24"/>
                <w:szCs w:val="24"/>
                <w:highlight w:val="none"/>
                <w:lang w:val="en-US" w:eastAsia="zh-CN"/>
              </w:rPr>
              <w:t>量为</w:t>
            </w:r>
            <w:r>
              <w:rPr>
                <w:rFonts w:hint="eastAsia" w:cs="Times New Roman"/>
                <w:b w:val="0"/>
                <w:bCs w:val="0"/>
                <w:color w:val="auto"/>
                <w:sz w:val="24"/>
                <w:szCs w:val="24"/>
                <w:highlight w:val="none"/>
                <w:lang w:val="en-US" w:eastAsia="zh-CN"/>
              </w:rPr>
              <w:t>98.5798</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eastAsia" w:cs="Times New Roman"/>
                <w:color w:val="auto"/>
                <w:sz w:val="24"/>
                <w:szCs w:val="24"/>
                <w:highlight w:val="none"/>
                <w:lang w:val="en-US" w:eastAsia="zh-CN"/>
              </w:rPr>
              <w:t>20603.1782</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项目道路及绿化所需洒水量大于生活污水总量，</w:t>
            </w:r>
            <w:r>
              <w:rPr>
                <w:rFonts w:hint="default" w:ascii="Times New Roman" w:hAnsi="Times New Roman" w:eastAsia="宋体" w:cs="Times New Roman"/>
                <w:color w:val="auto"/>
                <w:sz w:val="24"/>
                <w:szCs w:val="24"/>
                <w:highlight w:val="none"/>
                <w:lang w:val="en-US" w:eastAsia="zh-CN"/>
              </w:rPr>
              <w:t>因此一体化生活污水处理站处理后废水可全部</w:t>
            </w:r>
            <w:r>
              <w:rPr>
                <w:rFonts w:hint="default" w:ascii="Times New Roman" w:hAnsi="Times New Roman" w:eastAsia="宋体" w:cs="Times New Roman"/>
                <w:color w:val="auto"/>
                <w:kern w:val="2"/>
                <w:sz w:val="24"/>
                <w:szCs w:val="24"/>
                <w:highlight w:val="none"/>
                <w:lang w:val="en-US" w:eastAsia="zh-CN" w:bidi="ar"/>
              </w:rPr>
              <w:t>回用于项目区内绿化、道路场地洒水，不外排。</w:t>
            </w:r>
          </w:p>
          <w:p w14:paraId="77B7FDF5">
            <w:pPr>
              <w:pStyle w:val="41"/>
              <w:keepNext w:val="0"/>
              <w:keepLines w:val="0"/>
              <w:pageBreakBefore w:val="0"/>
              <w:widowControl w:val="0"/>
              <w:numPr>
                <w:ilvl w:val="0"/>
                <w:numId w:val="0"/>
              </w:numPr>
              <w:kinsoku/>
              <w:wordWrap/>
              <w:overflowPunct/>
              <w:topLinePunct w:val="0"/>
              <w:autoSpaceDE/>
              <w:autoSpaceDN/>
              <w:bidi w:val="0"/>
              <w:adjustRightInd w:val="0"/>
              <w:snapToGrid w:val="0"/>
              <w:spacing w:line="351" w:lineRule="auto"/>
              <w:ind w:leftChars="0" w:right="0" w:rightChars="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lang w:val="en-US" w:eastAsia="zh-CN"/>
              </w:rPr>
              <w:t>上文</w:t>
            </w:r>
            <w:r>
              <w:rPr>
                <w:rFonts w:hint="default" w:ascii="Times New Roman" w:hAnsi="Times New Roman" w:eastAsia="宋体" w:cs="Times New Roman"/>
                <w:color w:val="auto"/>
                <w:spacing w:val="-4"/>
                <w:sz w:val="24"/>
                <w:szCs w:val="24"/>
                <w:highlight w:val="none"/>
                <w:lang w:eastAsia="zh-CN"/>
              </w:rPr>
              <w:t>分析，本项目</w:t>
            </w:r>
            <w:r>
              <w:rPr>
                <w:rFonts w:hint="default" w:ascii="Times New Roman" w:hAnsi="Times New Roman" w:eastAsia="宋体" w:cs="Times New Roman"/>
                <w:color w:val="auto"/>
                <w:spacing w:val="-4"/>
                <w:sz w:val="24"/>
                <w:szCs w:val="24"/>
                <w:highlight w:val="none"/>
                <w:lang w:val="en-US" w:eastAsia="zh-CN"/>
              </w:rPr>
              <w:t>的</w:t>
            </w:r>
            <w:r>
              <w:rPr>
                <w:rFonts w:hint="default" w:ascii="Times New Roman" w:hAnsi="Times New Roman" w:eastAsia="宋体" w:cs="Times New Roman"/>
                <w:color w:val="auto"/>
                <w:spacing w:val="-4"/>
                <w:sz w:val="24"/>
                <w:szCs w:val="24"/>
                <w:highlight w:val="none"/>
                <w:lang w:eastAsia="zh-CN"/>
              </w:rPr>
              <w:t>污水处理</w:t>
            </w:r>
            <w:r>
              <w:rPr>
                <w:rFonts w:hint="default" w:ascii="Times New Roman" w:hAnsi="Times New Roman" w:eastAsia="宋体" w:cs="Times New Roman"/>
                <w:color w:val="auto"/>
                <w:spacing w:val="-4"/>
                <w:sz w:val="24"/>
                <w:szCs w:val="24"/>
                <w:highlight w:val="none"/>
                <w:lang w:val="en-US" w:eastAsia="zh-CN"/>
              </w:rPr>
              <w:t>站</w:t>
            </w:r>
            <w:r>
              <w:rPr>
                <w:rFonts w:hint="default" w:ascii="Times New Roman" w:hAnsi="Times New Roman" w:eastAsia="宋体" w:cs="Times New Roman"/>
                <w:color w:val="auto"/>
                <w:spacing w:val="-4"/>
                <w:sz w:val="24"/>
                <w:szCs w:val="24"/>
                <w:highlight w:val="none"/>
                <w:lang w:eastAsia="zh-CN"/>
              </w:rPr>
              <w:t>处理后能够达</w:t>
            </w:r>
            <w:r>
              <w:rPr>
                <w:rFonts w:hint="default" w:ascii="Times New Roman" w:hAnsi="Times New Roman" w:eastAsia="宋体" w:cs="Times New Roman"/>
                <w:color w:val="auto"/>
                <w:sz w:val="24"/>
                <w:szCs w:val="24"/>
                <w:highlight w:val="none"/>
              </w:rPr>
              <w:t>《城市污水再生利用城市杂用水水质》（GB/T18920-20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）中绿化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道路清扫标准中的最严值。</w:t>
            </w:r>
          </w:p>
          <w:p w14:paraId="5075B884">
            <w:pPr>
              <w:keepNext w:val="0"/>
              <w:keepLines w:val="0"/>
              <w:pageBreakBefore w:val="0"/>
              <w:widowControl w:val="0"/>
              <w:kinsoku/>
              <w:wordWrap/>
              <w:overflowPunct/>
              <w:topLinePunct w:val="0"/>
              <w:autoSpaceDE/>
              <w:autoSpaceDN/>
              <w:bidi w:val="0"/>
              <w:adjustRightInd/>
              <w:snapToGrid/>
              <w:spacing w:line="336" w:lineRule="auto"/>
              <w:ind w:left="0" w:firstLine="464" w:firstLineChars="200"/>
              <w:textAlignment w:val="auto"/>
              <w:rPr>
                <w:rFonts w:hint="default"/>
                <w:color w:val="auto"/>
                <w:highlight w:val="none"/>
                <w:lang w:val="en-US" w:eastAsia="zh-CN"/>
              </w:rPr>
            </w:pPr>
            <w:r>
              <w:rPr>
                <w:rFonts w:hint="default" w:ascii="Times New Roman" w:hAnsi="Times New Roman" w:eastAsia="宋体" w:cs="Times New Roman"/>
                <w:b w:val="0"/>
                <w:bCs w:val="0"/>
                <w:color w:val="auto"/>
                <w:spacing w:val="-4"/>
                <w:w w:val="100"/>
                <w:position w:val="0"/>
                <w:sz w:val="24"/>
                <w:szCs w:val="24"/>
                <w:highlight w:val="none"/>
                <w:lang w:val="en-US" w:eastAsia="zh-CN"/>
              </w:rPr>
              <w:t>同时，</w:t>
            </w:r>
            <w:r>
              <w:rPr>
                <w:rFonts w:hint="default" w:ascii="Times New Roman" w:hAnsi="Times New Roman" w:eastAsia="宋体" w:cs="Times New Roman"/>
                <w:color w:val="auto"/>
                <w:spacing w:val="-4"/>
                <w:sz w:val="24"/>
                <w:szCs w:val="24"/>
                <w:highlight w:val="none"/>
              </w:rPr>
              <w:t>一体化生活污水处理设备</w:t>
            </w:r>
            <w:r>
              <w:rPr>
                <w:rFonts w:hint="default" w:ascii="Times New Roman" w:hAnsi="Times New Roman" w:eastAsia="宋体" w:cs="Times New Roman"/>
                <w:color w:val="auto"/>
                <w:spacing w:val="-4"/>
                <w:sz w:val="24"/>
                <w:szCs w:val="24"/>
                <w:highlight w:val="none"/>
                <w:lang w:val="en-US" w:eastAsia="zh-CN"/>
              </w:rPr>
              <w:t>旁设置1个事故应急池，用于暂存</w:t>
            </w:r>
            <w:r>
              <w:rPr>
                <w:rFonts w:hint="default" w:ascii="Times New Roman" w:hAnsi="Times New Roman" w:eastAsia="宋体" w:cs="Times New Roman"/>
                <w:color w:val="auto"/>
                <w:spacing w:val="-4"/>
                <w:sz w:val="24"/>
                <w:szCs w:val="24"/>
                <w:highlight w:val="none"/>
              </w:rPr>
              <w:t>一体化生活污水处理</w:t>
            </w:r>
            <w:r>
              <w:rPr>
                <w:rFonts w:hint="default" w:ascii="Times New Roman" w:hAnsi="Times New Roman" w:eastAsia="宋体" w:cs="Times New Roman"/>
                <w:color w:val="auto"/>
                <w:spacing w:val="-4"/>
                <w:sz w:val="24"/>
                <w:szCs w:val="24"/>
                <w:highlight w:val="none"/>
                <w:lang w:val="en-US" w:eastAsia="zh-CN"/>
              </w:rPr>
              <w:t>站故障时的废水，待生活污水处理站恢复正常运营时再将暂存于事故应急池内的废水进行处理达标后</w:t>
            </w:r>
            <w:r>
              <w:rPr>
                <w:rFonts w:hint="default" w:ascii="Times New Roman" w:hAnsi="Times New Roman" w:eastAsia="宋体" w:cs="Times New Roman"/>
                <w:color w:val="auto"/>
                <w:kern w:val="2"/>
                <w:sz w:val="24"/>
                <w:szCs w:val="24"/>
                <w:highlight w:val="none"/>
                <w:lang w:val="en-US" w:eastAsia="zh-CN" w:bidi="ar"/>
              </w:rPr>
              <w:t>回用于项目区内绿化、道路场地洒水，不外排。</w:t>
            </w:r>
            <w:r>
              <w:rPr>
                <w:rFonts w:hint="default" w:ascii="Times New Roman" w:hAnsi="Times New Roman" w:eastAsia="宋体" w:cs="Times New Roman"/>
                <w:color w:val="auto"/>
                <w:spacing w:val="-4"/>
                <w:sz w:val="24"/>
                <w:szCs w:val="24"/>
                <w:highlight w:val="none"/>
                <w:lang w:val="en-US" w:eastAsia="zh-CN"/>
              </w:rPr>
              <w:t>本项目</w:t>
            </w:r>
            <w:r>
              <w:rPr>
                <w:rFonts w:hint="default" w:ascii="Times New Roman" w:hAnsi="Times New Roman" w:eastAsia="宋体" w:cs="Times New Roman"/>
                <w:color w:val="auto"/>
                <w:spacing w:val="-4"/>
                <w:sz w:val="24"/>
                <w:szCs w:val="24"/>
                <w:highlight w:val="none"/>
                <w:lang w:eastAsia="zh-CN"/>
              </w:rPr>
              <w:t>污水处理</w:t>
            </w:r>
            <w:r>
              <w:rPr>
                <w:rFonts w:hint="default" w:ascii="Times New Roman" w:hAnsi="Times New Roman" w:eastAsia="宋体" w:cs="Times New Roman"/>
                <w:color w:val="auto"/>
                <w:spacing w:val="-4"/>
                <w:sz w:val="24"/>
                <w:szCs w:val="24"/>
                <w:highlight w:val="none"/>
                <w:lang w:val="en-US" w:eastAsia="zh-CN"/>
              </w:rPr>
              <w:t>站</w:t>
            </w:r>
            <w:r>
              <w:rPr>
                <w:rFonts w:hint="default" w:ascii="Times New Roman" w:hAnsi="Times New Roman" w:eastAsia="宋体" w:cs="Times New Roman"/>
                <w:snapToGrid w:val="0"/>
                <w:color w:val="auto"/>
                <w:sz w:val="24"/>
                <w:highlight w:val="none"/>
              </w:rPr>
              <w:t>废水量为</w:t>
            </w:r>
            <w:r>
              <w:rPr>
                <w:rFonts w:hint="eastAsia" w:cs="Times New Roman"/>
                <w:snapToGrid w:val="0"/>
                <w:color w:val="auto"/>
                <w:sz w:val="24"/>
                <w:highlight w:val="none"/>
                <w:lang w:val="en-US" w:eastAsia="zh-CN"/>
              </w:rPr>
              <w:t>2.04</w:t>
            </w:r>
            <w:r>
              <w:rPr>
                <w:rFonts w:hint="default" w:ascii="Times New Roman" w:hAnsi="Times New Roman" w:eastAsia="宋体" w:cs="Times New Roman"/>
                <w:snapToGrid w:val="0"/>
                <w:color w:val="auto"/>
                <w:sz w:val="24"/>
                <w:highlight w:val="none"/>
              </w:rPr>
              <w:t>m</w:t>
            </w:r>
            <w:r>
              <w:rPr>
                <w:rFonts w:hint="default" w:ascii="Times New Roman" w:hAnsi="Times New Roman" w:eastAsia="宋体" w:cs="Times New Roman"/>
                <w:snapToGrid w:val="0"/>
                <w:color w:val="auto"/>
                <w:sz w:val="24"/>
                <w:highlight w:val="none"/>
                <w:vertAlign w:val="superscript"/>
              </w:rPr>
              <w:t>3</w:t>
            </w:r>
            <w:r>
              <w:rPr>
                <w:rFonts w:hint="default" w:ascii="Times New Roman" w:hAnsi="Times New Roman" w:eastAsia="宋体" w:cs="Times New Roman"/>
                <w:snapToGrid w:val="0"/>
                <w:color w:val="auto"/>
                <w:sz w:val="24"/>
                <w:highlight w:val="none"/>
              </w:rPr>
              <w:t>/d</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按照最大废水量并考虑1.2的余量设置，则本项目</w:t>
            </w:r>
            <w:r>
              <w:rPr>
                <w:rFonts w:hint="default" w:ascii="Times New Roman" w:hAnsi="Times New Roman" w:eastAsia="宋体" w:cs="Times New Roman"/>
                <w:color w:val="auto"/>
                <w:spacing w:val="-4"/>
                <w:sz w:val="24"/>
                <w:szCs w:val="24"/>
                <w:highlight w:val="none"/>
                <w:lang w:val="en-US" w:eastAsia="zh-CN"/>
              </w:rPr>
              <w:t>事故应急池容积约为3m</w:t>
            </w:r>
            <w:r>
              <w:rPr>
                <w:rFonts w:hint="default" w:ascii="Times New Roman" w:hAnsi="Times New Roman" w:eastAsia="宋体" w:cs="Times New Roman"/>
                <w:color w:val="auto"/>
                <w:spacing w:val="-4"/>
                <w:sz w:val="24"/>
                <w:szCs w:val="24"/>
                <w:highlight w:val="none"/>
                <w:vertAlign w:val="superscript"/>
                <w:lang w:val="en-US" w:eastAsia="zh-CN"/>
              </w:rPr>
              <w:t>3</w:t>
            </w:r>
            <w:r>
              <w:rPr>
                <w:rFonts w:hint="default" w:ascii="Times New Roman" w:hAnsi="Times New Roman" w:eastAsia="宋体" w:cs="Times New Roman"/>
                <w:snapToGrid w:val="0"/>
                <w:color w:val="auto"/>
                <w:sz w:val="24"/>
                <w:highlight w:val="none"/>
                <w:lang w:eastAsia="zh-CN"/>
              </w:rPr>
              <w:t>。</w:t>
            </w:r>
          </w:p>
          <w:p w14:paraId="53954632">
            <w:pPr>
              <w:keepNext w:val="0"/>
              <w:keepLines w:val="0"/>
              <w:pageBreakBefore w:val="0"/>
              <w:widowControl w:val="0"/>
              <w:kinsoku/>
              <w:wordWrap/>
              <w:overflowPunct/>
              <w:topLinePunct w:val="0"/>
              <w:autoSpaceDE/>
              <w:autoSpaceDN/>
              <w:bidi w:val="0"/>
              <w:adjustRightInd/>
              <w:snapToGrid/>
              <w:spacing w:line="351" w:lineRule="auto"/>
              <w:ind w:lef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color w:val="auto"/>
                <w:spacing w:val="0"/>
                <w:w w:val="100"/>
                <w:position w:val="0"/>
                <w:sz w:val="24"/>
                <w:szCs w:val="24"/>
                <w:highlight w:val="none"/>
                <w:lang w:val="en-US" w:eastAsia="zh-CN"/>
              </w:rPr>
              <w:t>综上，项目生活废水回用可行，不外排，对周边地表水环境的影响较小。</w:t>
            </w:r>
          </w:p>
          <w:p w14:paraId="21919AA1">
            <w:pPr>
              <w:keepNext w:val="0"/>
              <w:keepLines w:val="0"/>
              <w:pageBreakBefore w:val="0"/>
              <w:widowControl w:val="0"/>
              <w:kinsoku/>
              <w:wordWrap/>
              <w:overflowPunct/>
              <w:topLinePunct w:val="0"/>
              <w:autoSpaceDE/>
              <w:autoSpaceDN/>
              <w:bidi w:val="0"/>
              <w:spacing w:line="351" w:lineRule="auto"/>
              <w:ind w:lef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、雨天废水不外排可行性分析</w:t>
            </w:r>
          </w:p>
          <w:p w14:paraId="72DE6682">
            <w:pPr>
              <w:keepNext w:val="0"/>
              <w:keepLines w:val="0"/>
              <w:pageBreakBefore w:val="0"/>
              <w:widowControl w:val="0"/>
              <w:kinsoku/>
              <w:wordWrap/>
              <w:overflowPunct/>
              <w:topLinePunct w:val="0"/>
              <w:autoSpaceDE/>
              <w:autoSpaceDN/>
              <w:bidi w:val="0"/>
              <w:spacing w:line="351"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项目雨季产生的</w:t>
            </w:r>
            <w:r>
              <w:rPr>
                <w:rFonts w:hint="default" w:ascii="Times New Roman" w:hAnsi="Times New Roman" w:eastAsia="宋体" w:cs="Times New Roman"/>
                <w:color w:val="auto"/>
                <w:sz w:val="24"/>
                <w:szCs w:val="24"/>
                <w:highlight w:val="none"/>
                <w:lang w:val="en-US" w:eastAsia="zh-CN"/>
              </w:rPr>
              <w:t>生活</w:t>
            </w:r>
            <w:r>
              <w:rPr>
                <w:rFonts w:hint="default" w:ascii="Times New Roman" w:hAnsi="Times New Roman" w:eastAsia="宋体" w:cs="Times New Roman"/>
                <w:color w:val="auto"/>
                <w:sz w:val="24"/>
                <w:szCs w:val="24"/>
                <w:highlight w:val="none"/>
              </w:rPr>
              <w:t>废水经一体化污水处理</w:t>
            </w:r>
            <w:r>
              <w:rPr>
                <w:rFonts w:hint="eastAsia" w:cs="Times New Roman"/>
                <w:color w:val="auto"/>
                <w:sz w:val="24"/>
                <w:szCs w:val="24"/>
                <w:highlight w:val="none"/>
                <w:lang w:eastAsia="zh-CN"/>
              </w:rPr>
              <w:t>站</w:t>
            </w:r>
            <w:r>
              <w:rPr>
                <w:rFonts w:hint="default" w:ascii="Times New Roman" w:hAnsi="Times New Roman" w:eastAsia="宋体" w:cs="Times New Roman"/>
                <w:color w:val="auto"/>
                <w:sz w:val="24"/>
                <w:szCs w:val="24"/>
                <w:highlight w:val="none"/>
              </w:rPr>
              <w:t>处理后，暂存于蓄水池中，本项目</w:t>
            </w:r>
            <w:r>
              <w:rPr>
                <w:rFonts w:hint="default" w:ascii="Times New Roman" w:hAnsi="Times New Roman" w:eastAsia="宋体" w:cs="Times New Roman"/>
                <w:color w:val="auto"/>
                <w:sz w:val="24"/>
                <w:szCs w:val="24"/>
                <w:highlight w:val="none"/>
                <w:lang w:val="en-US" w:eastAsia="zh-CN"/>
              </w:rPr>
              <w:t>拟建</w:t>
            </w:r>
            <w:r>
              <w:rPr>
                <w:rFonts w:hint="default" w:ascii="Times New Roman" w:hAnsi="Times New Roman" w:eastAsia="宋体" w:cs="Times New Roman"/>
                <w:color w:val="auto"/>
                <w:sz w:val="24"/>
                <w:szCs w:val="24"/>
                <w:highlight w:val="none"/>
                <w:lang w:eastAsia="zh-CN"/>
              </w:rPr>
              <w:t>蓄水池储存</w:t>
            </w:r>
            <w:r>
              <w:rPr>
                <w:rFonts w:hint="default" w:ascii="Times New Roman" w:hAnsi="Times New Roman" w:eastAsia="宋体" w:cs="Times New Roman"/>
                <w:color w:val="auto"/>
                <w:sz w:val="24"/>
                <w:szCs w:val="24"/>
                <w:highlight w:val="none"/>
              </w:rPr>
              <w:t>经一体化污水处理</w:t>
            </w:r>
            <w:r>
              <w:rPr>
                <w:rFonts w:hint="eastAsia" w:cs="Times New Roman"/>
                <w:color w:val="auto"/>
                <w:sz w:val="24"/>
                <w:szCs w:val="24"/>
                <w:highlight w:val="none"/>
                <w:lang w:eastAsia="zh-CN"/>
              </w:rPr>
              <w:t>站</w:t>
            </w:r>
            <w:r>
              <w:rPr>
                <w:rFonts w:hint="default" w:ascii="Times New Roman" w:hAnsi="Times New Roman" w:eastAsia="宋体" w:cs="Times New Roman"/>
                <w:color w:val="auto"/>
                <w:sz w:val="24"/>
                <w:szCs w:val="24"/>
                <w:highlight w:val="none"/>
              </w:rPr>
              <w:t>处理后</w:t>
            </w:r>
            <w:r>
              <w:rPr>
                <w:rFonts w:hint="default" w:ascii="Times New Roman" w:hAnsi="Times New Roman" w:eastAsia="宋体" w:cs="Times New Roman"/>
                <w:color w:val="auto"/>
                <w:sz w:val="24"/>
                <w:szCs w:val="24"/>
                <w:highlight w:val="none"/>
                <w:lang w:eastAsia="zh-CN"/>
              </w:rPr>
              <w:t>的废水，本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生活</w:t>
            </w:r>
            <w:r>
              <w:rPr>
                <w:rFonts w:hint="default" w:ascii="Times New Roman" w:hAnsi="Times New Roman" w:eastAsia="宋体" w:cs="Times New Roman"/>
                <w:color w:val="auto"/>
                <w:sz w:val="24"/>
                <w:szCs w:val="24"/>
                <w:highlight w:val="none"/>
                <w:lang w:eastAsia="zh-CN"/>
              </w:rPr>
              <w:t>废水总量为</w:t>
            </w:r>
            <w:r>
              <w:rPr>
                <w:rFonts w:hint="eastAsia" w:cs="Times New Roman"/>
                <w:b w:val="0"/>
                <w:bCs w:val="0"/>
                <w:color w:val="auto"/>
                <w:sz w:val="24"/>
                <w:szCs w:val="24"/>
                <w:highlight w:val="none"/>
                <w:lang w:val="en-US" w:eastAsia="zh-CN"/>
              </w:rPr>
              <w:t>2.04</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eastAsia="zh-CN"/>
              </w:rPr>
              <w:t>雨天</w:t>
            </w:r>
            <w:r>
              <w:rPr>
                <w:rFonts w:hint="default" w:ascii="Times New Roman" w:hAnsi="Times New Roman" w:eastAsia="宋体" w:cs="Times New Roman"/>
                <w:color w:val="auto"/>
                <w:sz w:val="24"/>
                <w:szCs w:val="24"/>
                <w:highlight w:val="none"/>
              </w:rPr>
              <w:t>容积按连续</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天降雨时废水排放量计算</w:t>
            </w:r>
            <w:r>
              <w:rPr>
                <w:rFonts w:hint="default"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20.4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vertAlign w:val="baseline"/>
                <w:lang w:eastAsia="zh-CN"/>
              </w:rPr>
              <w:t>项目</w:t>
            </w:r>
            <w:r>
              <w:rPr>
                <w:rFonts w:hint="default" w:ascii="Times New Roman" w:hAnsi="Times New Roman" w:eastAsia="宋体" w:cs="Times New Roman"/>
                <w:color w:val="auto"/>
                <w:sz w:val="24"/>
                <w:szCs w:val="24"/>
                <w:highlight w:val="none"/>
                <w:vertAlign w:val="baseline"/>
                <w:lang w:val="en-US" w:eastAsia="zh-CN"/>
              </w:rPr>
              <w:t>拟建</w:t>
            </w:r>
            <w:r>
              <w:rPr>
                <w:rFonts w:hint="default" w:ascii="Times New Roman" w:hAnsi="Times New Roman" w:eastAsia="宋体" w:cs="Times New Roman"/>
                <w:color w:val="auto"/>
                <w:sz w:val="24"/>
                <w:szCs w:val="24"/>
                <w:highlight w:val="none"/>
              </w:rPr>
              <w:t>蓄水池容积为</w:t>
            </w:r>
            <w:r>
              <w:rPr>
                <w:rFonts w:hint="eastAsia"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val="en-US" w:eastAsia="zh-CN"/>
              </w:rPr>
              <w:t>，可</w:t>
            </w:r>
            <w:r>
              <w:rPr>
                <w:rFonts w:hint="default" w:ascii="Times New Roman" w:hAnsi="Times New Roman" w:eastAsia="宋体" w:cs="Times New Roman"/>
                <w:color w:val="auto"/>
                <w:sz w:val="24"/>
                <w:szCs w:val="24"/>
                <w:highlight w:val="none"/>
                <w:vertAlign w:val="baseline"/>
                <w:lang w:eastAsia="zh-CN"/>
              </w:rPr>
              <w:t>足够存下雨天所产生的全部废水，</w:t>
            </w:r>
            <w:r>
              <w:rPr>
                <w:rFonts w:hint="default" w:ascii="Times New Roman" w:hAnsi="Times New Roman" w:eastAsia="宋体" w:cs="Times New Roman"/>
                <w:color w:val="auto"/>
                <w:sz w:val="24"/>
                <w:szCs w:val="24"/>
                <w:highlight w:val="none"/>
              </w:rPr>
              <w:t>待晴天回用于绿化。因此项目</w:t>
            </w:r>
            <w:r>
              <w:rPr>
                <w:rFonts w:hint="default"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eastAsia="zh-CN"/>
              </w:rPr>
              <w:t>建蓄水池暂存</w:t>
            </w:r>
            <w:r>
              <w:rPr>
                <w:rFonts w:hint="default" w:ascii="Times New Roman" w:hAnsi="Times New Roman" w:eastAsia="宋体" w:cs="Times New Roman"/>
                <w:color w:val="auto"/>
                <w:sz w:val="24"/>
                <w:szCs w:val="24"/>
                <w:highlight w:val="none"/>
              </w:rPr>
              <w:t>废水回用于绿化</w:t>
            </w:r>
            <w:r>
              <w:rPr>
                <w:rFonts w:hint="default" w:ascii="Times New Roman" w:hAnsi="Times New Roman" w:eastAsia="宋体" w:cs="Times New Roman"/>
                <w:color w:val="auto"/>
                <w:sz w:val="24"/>
                <w:szCs w:val="24"/>
                <w:highlight w:val="none"/>
                <w:lang w:val="en-US" w:eastAsia="zh-CN"/>
              </w:rPr>
              <w:t>及道路洒水降尘</w:t>
            </w:r>
            <w:r>
              <w:rPr>
                <w:rFonts w:hint="default" w:ascii="Times New Roman" w:hAnsi="Times New Roman" w:eastAsia="宋体" w:cs="Times New Roman"/>
                <w:color w:val="auto"/>
                <w:sz w:val="24"/>
                <w:szCs w:val="24"/>
                <w:highlight w:val="none"/>
              </w:rPr>
              <w:t>是可行的。</w:t>
            </w:r>
          </w:p>
          <w:p w14:paraId="70338BB5">
            <w:pPr>
              <w:keepNext w:val="0"/>
              <w:keepLines w:val="0"/>
              <w:pageBreakBefore w:val="0"/>
              <w:widowControl w:val="0"/>
              <w:kinsoku/>
              <w:wordWrap/>
              <w:overflowPunct/>
              <w:topLinePunct w:val="0"/>
              <w:autoSpaceDE/>
              <w:autoSpaceDN/>
              <w:bidi w:val="0"/>
              <w:spacing w:line="351" w:lineRule="auto"/>
              <w:ind w:lef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因此，</w:t>
            </w:r>
            <w:r>
              <w:rPr>
                <w:rFonts w:hint="default" w:ascii="Times New Roman" w:hAnsi="Times New Roman" w:eastAsia="宋体" w:cs="Times New Roman"/>
                <w:color w:val="auto"/>
                <w:sz w:val="24"/>
                <w:szCs w:val="24"/>
                <w:highlight w:val="none"/>
              </w:rPr>
              <w:t>项目运营期产生的废水不外排，对周边地表水环境影响较小。</w:t>
            </w:r>
          </w:p>
          <w:p w14:paraId="07798010">
            <w:pPr>
              <w:keepNext w:val="0"/>
              <w:keepLines w:val="0"/>
              <w:pageBreakBefore w:val="0"/>
              <w:widowControl w:val="0"/>
              <w:kinsoku/>
              <w:wordWrap/>
              <w:overflowPunct/>
              <w:topLinePunct w:val="0"/>
              <w:autoSpaceDE/>
              <w:autoSpaceDN/>
              <w:bidi w:val="0"/>
              <w:spacing w:line="360" w:lineRule="auto"/>
              <w:ind w:left="0" w:firstLine="482" w:firstLineChars="200"/>
              <w:textAlignment w:val="auto"/>
              <w:rPr>
                <w:rFonts w:hint="default" w:ascii="Times New Roman" w:hAnsi="Times New Roman" w:eastAsia="宋体" w:cs="Times New Roman"/>
                <w:b/>
                <w:bCs w:val="0"/>
                <w:color w:val="auto"/>
                <w:sz w:val="24"/>
                <w:szCs w:val="24"/>
                <w:highlight w:val="none"/>
              </w:rPr>
            </w:pPr>
            <w:r>
              <w:rPr>
                <w:rFonts w:hint="eastAsia" w:cs="Times New Roman"/>
                <w:b/>
                <w:bCs w:val="0"/>
                <w:color w:val="auto"/>
                <w:sz w:val="24"/>
                <w:szCs w:val="24"/>
                <w:highlight w:val="none"/>
                <w:lang w:val="en-US" w:eastAsia="zh-CN" w:bidi="ar"/>
              </w:rPr>
              <w:t>7</w:t>
            </w:r>
            <w:r>
              <w:rPr>
                <w:rFonts w:hint="default" w:ascii="Times New Roman" w:hAnsi="Times New Roman" w:eastAsia="宋体" w:cs="Times New Roman"/>
                <w:b/>
                <w:bCs w:val="0"/>
                <w:color w:val="auto"/>
                <w:sz w:val="24"/>
                <w:szCs w:val="24"/>
                <w:highlight w:val="none"/>
                <w:lang w:bidi="ar"/>
              </w:rPr>
              <w:t>、</w:t>
            </w:r>
            <w:r>
              <w:rPr>
                <w:rFonts w:hint="default" w:ascii="Times New Roman" w:hAnsi="Times New Roman" w:eastAsia="宋体" w:cs="Times New Roman"/>
                <w:b/>
                <w:bCs w:val="0"/>
                <w:color w:val="auto"/>
                <w:sz w:val="24"/>
                <w:szCs w:val="24"/>
                <w:highlight w:val="none"/>
              </w:rPr>
              <w:t>监测要求</w:t>
            </w:r>
          </w:p>
          <w:p w14:paraId="450BD2C7">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sz w:val="24"/>
                <w:szCs w:val="24"/>
                <w:highlight w:val="none"/>
              </w:rPr>
              <w:t>根据排污许可技术</w:t>
            </w:r>
            <w:r>
              <w:rPr>
                <w:rFonts w:hint="default" w:ascii="Times New Roman" w:hAnsi="Times New Roman" w:eastAsia="宋体" w:cs="Times New Roman"/>
                <w:bCs/>
                <w:color w:val="auto"/>
                <w:sz w:val="24"/>
                <w:highlight w:val="none"/>
              </w:rPr>
              <w:t>规范可知，项目的废水监测计划如表</w:t>
            </w:r>
            <w:r>
              <w:rPr>
                <w:rFonts w:hint="default" w:ascii="Times New Roman" w:hAnsi="Times New Roman" w:eastAsia="宋体" w:cs="Times New Roman"/>
                <w:bCs/>
                <w:color w:val="auto"/>
                <w:sz w:val="24"/>
                <w:highlight w:val="none"/>
                <w:lang w:val="en-US" w:eastAsia="zh-CN"/>
              </w:rPr>
              <w:t>4-</w:t>
            </w:r>
            <w:r>
              <w:rPr>
                <w:rFonts w:hint="eastAsia" w:cs="Times New Roman"/>
                <w:bCs/>
                <w:color w:val="auto"/>
                <w:sz w:val="24"/>
                <w:highlight w:val="none"/>
                <w:lang w:val="en-US" w:eastAsia="zh-CN"/>
              </w:rPr>
              <w:t>31</w:t>
            </w:r>
            <w:r>
              <w:rPr>
                <w:rFonts w:hint="default" w:ascii="Times New Roman" w:hAnsi="Times New Roman" w:eastAsia="宋体" w:cs="Times New Roman"/>
                <w:bCs/>
                <w:color w:val="auto"/>
                <w:highlight w:val="none"/>
              </w:rPr>
              <w:t>。</w:t>
            </w:r>
          </w:p>
          <w:p w14:paraId="206422C3">
            <w:pPr>
              <w:ind w:firstLine="2471" w:firstLineChars="1172"/>
              <w:rPr>
                <w:rFonts w:hint="default" w:ascii="Times New Roman" w:hAnsi="Times New Roman" w:eastAsia="宋体" w:cs="Times New Roman"/>
                <w:b/>
                <w:bCs w:val="0"/>
                <w:color w:val="auto"/>
                <w:highlight w:val="none"/>
              </w:rPr>
            </w:pPr>
          </w:p>
          <w:p w14:paraId="0CB57465">
            <w:pPr>
              <w:ind w:firstLine="2471" w:firstLineChars="1172"/>
              <w:rPr>
                <w:rFonts w:hint="default" w:ascii="Times New Roman" w:hAnsi="Times New Roman" w:eastAsia="宋体" w:cs="Times New Roman"/>
                <w:b/>
                <w:bCs w:val="0"/>
                <w:color w:val="auto"/>
                <w:highlight w:val="none"/>
              </w:rPr>
            </w:pPr>
          </w:p>
          <w:p w14:paraId="69EDEEF7">
            <w:pPr>
              <w:ind w:firstLine="2471" w:firstLineChars="1172"/>
              <w:rPr>
                <w:rFonts w:hint="default" w:ascii="Times New Roman" w:hAnsi="Times New Roman" w:eastAsia="宋体" w:cs="Times New Roman"/>
                <w:b/>
                <w:bCs w:val="0"/>
                <w:color w:val="auto"/>
                <w:highlight w:val="none"/>
              </w:rPr>
            </w:pPr>
          </w:p>
          <w:p w14:paraId="532500D2">
            <w:pPr>
              <w:ind w:firstLine="2471" w:firstLineChars="1172"/>
              <w:rPr>
                <w:rFonts w:hint="default" w:ascii="Times New Roman" w:hAnsi="Times New Roman" w:eastAsia="宋体" w:cs="Times New Roman"/>
                <w:b/>
                <w:bCs w:val="0"/>
                <w:color w:val="auto"/>
                <w:highlight w:val="none"/>
              </w:rPr>
            </w:pPr>
          </w:p>
          <w:p w14:paraId="69F2CCF3">
            <w:pPr>
              <w:ind w:firstLine="2471" w:firstLineChars="1172"/>
              <w:rPr>
                <w:rFonts w:hint="default" w:ascii="Times New Roman" w:hAnsi="Times New Roman" w:eastAsia="宋体" w:cs="Times New Roman"/>
                <w:b/>
                <w:bCs w:val="0"/>
                <w:color w:val="auto"/>
                <w:highlight w:val="none"/>
              </w:rPr>
            </w:pPr>
          </w:p>
          <w:p w14:paraId="1FA0B857">
            <w:pPr>
              <w:ind w:firstLine="2471" w:firstLineChars="1172"/>
              <w:rPr>
                <w:rFonts w:hint="default" w:ascii="Times New Roman" w:hAnsi="Times New Roman" w:eastAsia="宋体" w:cs="Times New Roman"/>
                <w:b/>
                <w:bCs w:val="0"/>
                <w:color w:val="auto"/>
                <w:highlight w:val="none"/>
              </w:rPr>
            </w:pPr>
          </w:p>
          <w:p w14:paraId="7EC0587C">
            <w:pPr>
              <w:ind w:firstLine="2471" w:firstLineChars="1172"/>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表4-</w:t>
            </w:r>
            <w:r>
              <w:rPr>
                <w:rFonts w:hint="eastAsia" w:cs="Times New Roman"/>
                <w:b/>
                <w:bCs w:val="0"/>
                <w:color w:val="auto"/>
                <w:highlight w:val="none"/>
                <w:lang w:val="en-US" w:eastAsia="zh-CN"/>
              </w:rPr>
              <w:t>31</w:t>
            </w:r>
            <w:r>
              <w:rPr>
                <w:rFonts w:hint="default" w:ascii="Times New Roman" w:hAnsi="Times New Roman" w:eastAsia="宋体" w:cs="Times New Roman"/>
                <w:b/>
                <w:bCs w:val="0"/>
                <w:color w:val="auto"/>
                <w:highlight w:val="none"/>
                <w:lang w:val="en-US" w:eastAsia="zh-CN"/>
              </w:rPr>
              <w:t xml:space="preserve"> </w:t>
            </w:r>
            <w:r>
              <w:rPr>
                <w:rFonts w:hint="default" w:ascii="Times New Roman" w:hAnsi="Times New Roman" w:eastAsia="宋体" w:cs="Times New Roman"/>
                <w:b/>
                <w:bCs w:val="0"/>
                <w:color w:val="auto"/>
                <w:highlight w:val="none"/>
              </w:rPr>
              <w:t xml:space="preserve"> 环境监测计划一览表</w:t>
            </w:r>
          </w:p>
          <w:tbl>
            <w:tblPr>
              <w:tblStyle w:val="27"/>
              <w:tblW w:w="829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7"/>
              <w:gridCol w:w="1066"/>
              <w:gridCol w:w="1792"/>
              <w:gridCol w:w="3359"/>
              <w:gridCol w:w="1508"/>
            </w:tblGrid>
            <w:tr w14:paraId="45C4F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567" w:type="dxa"/>
                  <w:vAlign w:val="center"/>
                </w:tcPr>
                <w:p w14:paraId="750511C8">
                  <w:pPr>
                    <w:pStyle w:val="105"/>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类别</w:t>
                  </w:r>
                </w:p>
              </w:tc>
              <w:tc>
                <w:tcPr>
                  <w:tcW w:w="1066" w:type="dxa"/>
                  <w:vAlign w:val="center"/>
                </w:tcPr>
                <w:p w14:paraId="11D0E094">
                  <w:pPr>
                    <w:pStyle w:val="105"/>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监测点位</w:t>
                  </w:r>
                </w:p>
              </w:tc>
              <w:tc>
                <w:tcPr>
                  <w:tcW w:w="1792" w:type="dxa"/>
                  <w:vAlign w:val="center"/>
                </w:tcPr>
                <w:p w14:paraId="564845EB">
                  <w:pPr>
                    <w:pStyle w:val="105"/>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监测项目</w:t>
                  </w:r>
                </w:p>
              </w:tc>
              <w:tc>
                <w:tcPr>
                  <w:tcW w:w="3359" w:type="dxa"/>
                  <w:vAlign w:val="center"/>
                </w:tcPr>
                <w:p w14:paraId="36A77D46">
                  <w:pPr>
                    <w:pStyle w:val="105"/>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w:t>
                  </w:r>
                </w:p>
              </w:tc>
              <w:tc>
                <w:tcPr>
                  <w:tcW w:w="1508" w:type="dxa"/>
                  <w:vAlign w:val="center"/>
                </w:tcPr>
                <w:p w14:paraId="1E3A0C32">
                  <w:pPr>
                    <w:pStyle w:val="105"/>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监测时间及频率</w:t>
                  </w:r>
                </w:p>
              </w:tc>
            </w:tr>
            <w:tr w14:paraId="5A6F6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7" w:type="dxa"/>
                  <w:vAlign w:val="center"/>
                </w:tcPr>
                <w:p w14:paraId="1D0C30C7">
                  <w:pPr>
                    <w:pStyle w:val="105"/>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066" w:type="dxa"/>
                  <w:vAlign w:val="center"/>
                </w:tcPr>
                <w:p w14:paraId="06F5A192">
                  <w:pPr>
                    <w:pStyle w:val="105"/>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一体化污水处理站</w:t>
                  </w:r>
                  <w:r>
                    <w:rPr>
                      <w:rFonts w:hint="default" w:ascii="Times New Roman" w:hAnsi="Times New Roman" w:eastAsia="宋体" w:cs="Times New Roman"/>
                      <w:color w:val="auto"/>
                      <w:sz w:val="21"/>
                      <w:szCs w:val="21"/>
                      <w:highlight w:val="none"/>
                    </w:rPr>
                    <w:t>出口</w:t>
                  </w:r>
                </w:p>
              </w:tc>
              <w:tc>
                <w:tcPr>
                  <w:tcW w:w="1792" w:type="dxa"/>
                  <w:vAlign w:val="center"/>
                </w:tcPr>
                <w:p w14:paraId="0006C913">
                  <w:pPr>
                    <w:pStyle w:val="105"/>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pH、COD、BOD、SS、NH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-N、TP</w:t>
                  </w:r>
                </w:p>
              </w:tc>
              <w:tc>
                <w:tcPr>
                  <w:tcW w:w="3359" w:type="dxa"/>
                  <w:vAlign w:val="center"/>
                </w:tcPr>
                <w:p w14:paraId="6ACB1A1B">
                  <w:pPr>
                    <w:pStyle w:val="82"/>
                    <w:spacing w:before="5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《城市污水再生利用 城市杂用水水质》（GB/T18920-2020）中的城市绿化、道路清扫、消防、建筑施工标准</w:t>
                  </w:r>
                </w:p>
              </w:tc>
              <w:tc>
                <w:tcPr>
                  <w:tcW w:w="1508" w:type="dxa"/>
                  <w:vAlign w:val="center"/>
                </w:tcPr>
                <w:p w14:paraId="4B2AD026">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pacing w:val="-10"/>
                      <w:szCs w:val="21"/>
                      <w:highlight w:val="none"/>
                    </w:rPr>
                    <w:t>验收时监测一次，后根据国家相关技术规范进行</w:t>
                  </w:r>
                </w:p>
              </w:tc>
            </w:tr>
          </w:tbl>
          <w:p w14:paraId="0F574C7E">
            <w:pPr>
              <w:keepNext w:val="0"/>
              <w:keepLines w:val="0"/>
              <w:pageBreakBefore w:val="0"/>
              <w:numPr>
                <w:ilvl w:val="0"/>
                <w:numId w:val="0"/>
              </w:numPr>
              <w:kinsoku/>
              <w:wordWrap/>
              <w:overflowPunct/>
              <w:topLinePunct w:val="0"/>
              <w:autoSpaceDE/>
              <w:autoSpaceDN/>
              <w:bidi w:val="0"/>
              <w:adjustRightInd w:val="0"/>
              <w:snapToGrid w:val="0"/>
              <w:spacing w:line="348" w:lineRule="auto"/>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三</w:t>
            </w:r>
            <w:r>
              <w:rPr>
                <w:rFonts w:hint="default" w:ascii="Times New Roman" w:hAnsi="Times New Roman" w:eastAsia="宋体" w:cs="Times New Roman"/>
                <w:b/>
                <w:color w:val="auto"/>
                <w:sz w:val="24"/>
                <w:szCs w:val="24"/>
                <w:highlight w:val="none"/>
              </w:rPr>
              <w:t>、噪声影响分析</w:t>
            </w:r>
          </w:p>
          <w:p w14:paraId="5ED6E082">
            <w:pPr>
              <w:pStyle w:val="26"/>
              <w:keepNext w:val="0"/>
              <w:keepLines w:val="0"/>
              <w:pageBreakBefore w:val="0"/>
              <w:widowControl w:val="0"/>
              <w:numPr>
                <w:ilvl w:val="0"/>
                <w:numId w:val="0"/>
              </w:numPr>
              <w:kinsoku/>
              <w:wordWrap/>
              <w:overflowPunct/>
              <w:topLinePunct w:val="0"/>
              <w:autoSpaceDE/>
              <w:autoSpaceDN/>
              <w:bidi w:val="0"/>
              <w:adjustRightInd/>
              <w:snapToGrid w:val="0"/>
              <w:spacing w:after="0" w:afterLines="0"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交通噪声</w:t>
            </w:r>
          </w:p>
          <w:p w14:paraId="59EB2E88">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项目运营期，车辆产生的噪声值在</w:t>
            </w:r>
            <w:r>
              <w:rPr>
                <w:rFonts w:hint="default"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eastAsia="zh-CN"/>
              </w:rPr>
              <w:t>dB（A）之间，属于间歇性噪声，</w:t>
            </w:r>
            <w:r>
              <w:rPr>
                <w:rFonts w:hint="default" w:ascii="Times New Roman" w:hAnsi="Times New Roman" w:eastAsia="宋体" w:cs="Times New Roman"/>
                <w:color w:val="auto"/>
                <w:sz w:val="24"/>
                <w:highlight w:val="none"/>
                <w:lang w:val="zh-CN"/>
              </w:rPr>
              <w:t>会对周围环境造成一定影响。因车辆在项目区内为低速行驶状态，通过加强管理、禁止鸣笛等措施后，交通噪声对周围环境的影响是可以接受的。</w:t>
            </w:r>
          </w:p>
          <w:p w14:paraId="33C99895">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szCs w:val="24"/>
                <w:highlight w:val="none"/>
                <w:lang w:val="en-US" w:eastAsia="zh-CN"/>
              </w:rPr>
              <w:t>2、固定噪声源</w:t>
            </w:r>
          </w:p>
          <w:p w14:paraId="4198263C">
            <w:pPr>
              <w:keepNext w:val="0"/>
              <w:keepLines w:val="0"/>
              <w:pageBreakBefore w:val="0"/>
              <w:kinsoku/>
              <w:wordWrap/>
              <w:overflowPunct/>
              <w:topLinePunct w:val="0"/>
              <w:autoSpaceDE/>
              <w:autoSpaceDN/>
              <w:bidi w:val="0"/>
              <w:adjustRightInd w:val="0"/>
              <w:snapToGrid w:val="0"/>
              <w:spacing w:line="348" w:lineRule="auto"/>
              <w:ind w:firstLine="480" w:firstLineChars="200"/>
              <w:rPr>
                <w:rFonts w:hint="eastAsia" w:cs="Times New Roman"/>
                <w:color w:val="auto"/>
                <w:sz w:val="24"/>
                <w:highlight w:val="none"/>
                <w:lang w:eastAsia="zh-CN"/>
              </w:rPr>
            </w:pPr>
            <w:r>
              <w:rPr>
                <w:rFonts w:hint="default" w:ascii="Times New Roman" w:hAnsi="Times New Roman" w:eastAsia="宋体" w:cs="Times New Roman"/>
                <w:color w:val="auto"/>
                <w:sz w:val="24"/>
                <w:highlight w:val="none"/>
                <w:lang w:val="zh-CN" w:bidi="ar"/>
              </w:rPr>
              <w:t>项目主要噪声源</w:t>
            </w:r>
            <w:r>
              <w:rPr>
                <w:rFonts w:hint="default" w:ascii="Times New Roman" w:hAnsi="Times New Roman" w:eastAsia="宋体" w:cs="Times New Roman"/>
                <w:color w:val="auto"/>
                <w:sz w:val="24"/>
                <w:highlight w:val="none"/>
                <w:lang w:bidi="ar"/>
              </w:rPr>
              <w:t>为</w:t>
            </w:r>
            <w:r>
              <w:rPr>
                <w:rFonts w:hint="default" w:ascii="Times New Roman" w:hAnsi="Times New Roman" w:eastAsia="宋体" w:cs="Times New Roman"/>
                <w:color w:val="auto"/>
                <w:sz w:val="24"/>
                <w:highlight w:val="none"/>
                <w:lang w:val="zh-CN" w:bidi="ar"/>
              </w:rPr>
              <w:t>机械设备</w:t>
            </w:r>
            <w:r>
              <w:rPr>
                <w:rFonts w:hint="default" w:ascii="Times New Roman" w:hAnsi="Times New Roman" w:eastAsia="宋体" w:cs="Times New Roman"/>
                <w:color w:val="auto"/>
                <w:sz w:val="24"/>
                <w:highlight w:val="none"/>
                <w:lang w:bidi="ar"/>
              </w:rPr>
              <w:t>噪声</w:t>
            </w:r>
            <w:r>
              <w:rPr>
                <w:rFonts w:hint="default" w:ascii="Times New Roman" w:hAnsi="Times New Roman" w:eastAsia="宋体" w:cs="Times New Roman"/>
                <w:color w:val="auto"/>
                <w:sz w:val="24"/>
                <w:highlight w:val="none"/>
                <w:lang w:val="zh-CN" w:bidi="ar"/>
              </w:rPr>
              <w:t>。各类机械噪声值在</w:t>
            </w:r>
            <w:r>
              <w:rPr>
                <w:rFonts w:hint="eastAsia" w:cs="Times New Roman"/>
                <w:color w:val="auto"/>
                <w:sz w:val="24"/>
                <w:highlight w:val="none"/>
                <w:lang w:val="en-US" w:eastAsia="zh-CN" w:bidi="ar"/>
              </w:rPr>
              <w:t>75</w:t>
            </w:r>
            <w:r>
              <w:rPr>
                <w:rFonts w:hint="default" w:ascii="Times New Roman" w:hAnsi="Times New Roman" w:eastAsia="宋体" w:cs="Times New Roman"/>
                <w:color w:val="auto"/>
                <w:sz w:val="24"/>
                <w:highlight w:val="none"/>
                <w:lang w:val="zh-CN" w:bidi="ar"/>
              </w:rPr>
              <w:t>～</w:t>
            </w:r>
            <w:r>
              <w:rPr>
                <w:rFonts w:hint="default" w:ascii="Times New Roman" w:hAnsi="Times New Roman" w:eastAsia="宋体" w:cs="Times New Roman"/>
                <w:color w:val="auto"/>
                <w:sz w:val="24"/>
                <w:highlight w:val="none"/>
                <w:lang w:val="en-US" w:eastAsia="zh-CN" w:bidi="ar"/>
              </w:rPr>
              <w:t>9</w:t>
            </w:r>
            <w:r>
              <w:rPr>
                <w:rFonts w:hint="eastAsia" w:cs="Times New Roman"/>
                <w:color w:val="auto"/>
                <w:sz w:val="24"/>
                <w:highlight w:val="none"/>
                <w:lang w:val="en-US" w:eastAsia="zh-CN" w:bidi="ar"/>
              </w:rPr>
              <w:t>0</w:t>
            </w:r>
            <w:r>
              <w:rPr>
                <w:rFonts w:hint="default" w:ascii="Times New Roman" w:hAnsi="Times New Roman" w:eastAsia="宋体" w:cs="Times New Roman"/>
                <w:color w:val="auto"/>
                <w:sz w:val="24"/>
                <w:highlight w:val="none"/>
                <w:lang w:val="zh-CN" w:bidi="ar"/>
              </w:rPr>
              <w:t>dB（A）之间。项目优先选用低噪声设备，采取厂房隔声、基础减振、安装消声器</w:t>
            </w:r>
            <w:r>
              <w:rPr>
                <w:rFonts w:hint="default" w:ascii="Times New Roman" w:hAnsi="Times New Roman" w:eastAsia="宋体" w:cs="Times New Roman"/>
                <w:color w:val="auto"/>
                <w:sz w:val="24"/>
                <w:highlight w:val="none"/>
                <w:lang w:val="en-US" w:eastAsia="zh-CN" w:bidi="ar"/>
              </w:rPr>
              <w:t>及</w:t>
            </w:r>
            <w:r>
              <w:rPr>
                <w:rFonts w:hint="default" w:ascii="Times New Roman" w:hAnsi="Times New Roman" w:eastAsia="宋体" w:cs="Times New Roman"/>
                <w:color w:val="auto"/>
                <w:sz w:val="24"/>
                <w:highlight w:val="none"/>
              </w:rPr>
              <w:t>加强对生产设备的管理和维护</w:t>
            </w:r>
            <w:r>
              <w:rPr>
                <w:rFonts w:hint="default" w:ascii="Times New Roman" w:hAnsi="Times New Roman" w:eastAsia="宋体" w:cs="Times New Roman"/>
                <w:color w:val="auto"/>
                <w:sz w:val="24"/>
                <w:highlight w:val="none"/>
                <w:lang w:val="zh-CN" w:bidi="ar"/>
              </w:rPr>
              <w:t>等措施。噪声在传播过程中容易衰减，且易受厂房、墙体、植被的吸收和阻隔。</w:t>
            </w:r>
            <w:r>
              <w:rPr>
                <w:rFonts w:hint="default" w:ascii="Times New Roman" w:hAnsi="Times New Roman" w:eastAsia="宋体" w:cs="Times New Roman"/>
                <w:color w:val="auto"/>
                <w:sz w:val="24"/>
                <w:highlight w:val="none"/>
                <w:lang w:eastAsia="zh-CN"/>
              </w:rPr>
              <w:t>具体</w:t>
            </w:r>
            <w:r>
              <w:rPr>
                <w:rFonts w:hint="default" w:ascii="Times New Roman" w:hAnsi="Times New Roman" w:eastAsia="宋体" w:cs="Times New Roman"/>
                <w:color w:val="auto"/>
                <w:sz w:val="24"/>
                <w:highlight w:val="none"/>
              </w:rPr>
              <w:t>噪声源强见表</w:t>
            </w:r>
            <w:r>
              <w:rPr>
                <w:rFonts w:hint="default"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32</w:t>
            </w:r>
            <w:r>
              <w:rPr>
                <w:rFonts w:hint="default" w:ascii="Times New Roman" w:hAnsi="Times New Roman" w:eastAsia="宋体" w:cs="Times New Roman"/>
                <w:color w:val="auto"/>
                <w:sz w:val="24"/>
                <w:highlight w:val="none"/>
              </w:rPr>
              <w:t>。</w:t>
            </w:r>
          </w:p>
          <w:p w14:paraId="7C95E0DF">
            <w:pPr>
              <w:keepNext w:val="0"/>
              <w:keepLines w:val="0"/>
              <w:pageBreakBefore w:val="0"/>
              <w:kinsoku/>
              <w:wordWrap/>
              <w:overflowPunct/>
              <w:topLinePunct w:val="0"/>
              <w:autoSpaceDE/>
              <w:autoSpaceDN/>
              <w:bidi w:val="0"/>
              <w:adjustRightInd w:val="0"/>
              <w:snapToGrid w:val="0"/>
              <w:spacing w:line="348" w:lineRule="auto"/>
              <w:ind w:firstLine="480" w:firstLineChars="200"/>
              <w:rPr>
                <w:rFonts w:hint="eastAsia" w:cs="Times New Roman"/>
                <w:color w:val="auto"/>
                <w:sz w:val="24"/>
                <w:highlight w:val="none"/>
                <w:lang w:eastAsia="zh-CN"/>
              </w:rPr>
            </w:pPr>
          </w:p>
          <w:p w14:paraId="18ECA89E">
            <w:pPr>
              <w:keepNext w:val="0"/>
              <w:keepLines w:val="0"/>
              <w:pageBreakBefore w:val="0"/>
              <w:kinsoku/>
              <w:wordWrap/>
              <w:overflowPunct/>
              <w:topLinePunct w:val="0"/>
              <w:autoSpaceDE/>
              <w:autoSpaceDN/>
              <w:bidi w:val="0"/>
              <w:adjustRightInd w:val="0"/>
              <w:snapToGrid w:val="0"/>
              <w:spacing w:line="348" w:lineRule="auto"/>
              <w:ind w:firstLine="480" w:firstLineChars="200"/>
              <w:rPr>
                <w:rFonts w:hint="eastAsia" w:cs="Times New Roman"/>
                <w:color w:val="auto"/>
                <w:sz w:val="24"/>
                <w:highlight w:val="none"/>
                <w:lang w:eastAsia="zh-CN"/>
              </w:rPr>
            </w:pPr>
          </w:p>
          <w:p w14:paraId="20A6088A">
            <w:pPr>
              <w:keepNext w:val="0"/>
              <w:keepLines w:val="0"/>
              <w:pageBreakBefore w:val="0"/>
              <w:kinsoku/>
              <w:wordWrap/>
              <w:overflowPunct/>
              <w:topLinePunct w:val="0"/>
              <w:autoSpaceDE/>
              <w:autoSpaceDN/>
              <w:bidi w:val="0"/>
              <w:adjustRightInd w:val="0"/>
              <w:snapToGrid w:val="0"/>
              <w:spacing w:line="348" w:lineRule="auto"/>
              <w:ind w:firstLine="480" w:firstLineChars="200"/>
              <w:rPr>
                <w:rFonts w:hint="eastAsia" w:cs="Times New Roman"/>
                <w:color w:val="auto"/>
                <w:sz w:val="24"/>
                <w:highlight w:val="none"/>
                <w:lang w:eastAsia="zh-CN"/>
              </w:rPr>
            </w:pPr>
          </w:p>
          <w:p w14:paraId="659FEEAA">
            <w:pPr>
              <w:keepNext w:val="0"/>
              <w:keepLines w:val="0"/>
              <w:pageBreakBefore w:val="0"/>
              <w:kinsoku/>
              <w:wordWrap/>
              <w:overflowPunct/>
              <w:topLinePunct w:val="0"/>
              <w:autoSpaceDE/>
              <w:autoSpaceDN/>
              <w:bidi w:val="0"/>
              <w:adjustRightInd w:val="0"/>
              <w:snapToGrid w:val="0"/>
              <w:spacing w:line="348" w:lineRule="auto"/>
              <w:ind w:firstLine="480" w:firstLineChars="200"/>
              <w:rPr>
                <w:rFonts w:hint="eastAsia" w:cs="Times New Roman"/>
                <w:color w:val="auto"/>
                <w:sz w:val="24"/>
                <w:highlight w:val="none"/>
                <w:lang w:eastAsia="zh-CN"/>
              </w:rPr>
            </w:pPr>
          </w:p>
          <w:p w14:paraId="3DDB83CF">
            <w:pPr>
              <w:keepNext w:val="0"/>
              <w:keepLines w:val="0"/>
              <w:pageBreakBefore w:val="0"/>
              <w:kinsoku/>
              <w:wordWrap/>
              <w:overflowPunct/>
              <w:topLinePunct w:val="0"/>
              <w:autoSpaceDE/>
              <w:autoSpaceDN/>
              <w:bidi w:val="0"/>
              <w:adjustRightInd w:val="0"/>
              <w:snapToGrid w:val="0"/>
              <w:spacing w:line="348" w:lineRule="auto"/>
              <w:ind w:firstLine="480" w:firstLineChars="200"/>
              <w:rPr>
                <w:rFonts w:hint="eastAsia" w:cs="Times New Roman"/>
                <w:color w:val="auto"/>
                <w:sz w:val="24"/>
                <w:highlight w:val="none"/>
                <w:lang w:eastAsia="zh-CN"/>
              </w:rPr>
            </w:pPr>
          </w:p>
          <w:p w14:paraId="373D00BA">
            <w:pPr>
              <w:keepNext w:val="0"/>
              <w:keepLines w:val="0"/>
              <w:pageBreakBefore w:val="0"/>
              <w:kinsoku/>
              <w:wordWrap/>
              <w:overflowPunct/>
              <w:topLinePunct w:val="0"/>
              <w:autoSpaceDE/>
              <w:autoSpaceDN/>
              <w:bidi w:val="0"/>
              <w:adjustRightInd w:val="0"/>
              <w:snapToGrid w:val="0"/>
              <w:spacing w:line="348" w:lineRule="auto"/>
              <w:ind w:firstLine="480" w:firstLineChars="200"/>
              <w:rPr>
                <w:rFonts w:hint="eastAsia" w:cs="Times New Roman"/>
                <w:color w:val="auto"/>
                <w:sz w:val="24"/>
                <w:highlight w:val="none"/>
                <w:lang w:eastAsia="zh-CN"/>
              </w:rPr>
            </w:pPr>
          </w:p>
          <w:p w14:paraId="7F3D5705">
            <w:pPr>
              <w:keepNext w:val="0"/>
              <w:keepLines w:val="0"/>
              <w:pageBreakBefore w:val="0"/>
              <w:kinsoku/>
              <w:wordWrap/>
              <w:overflowPunct/>
              <w:topLinePunct w:val="0"/>
              <w:autoSpaceDE/>
              <w:autoSpaceDN/>
              <w:bidi w:val="0"/>
              <w:adjustRightInd w:val="0"/>
              <w:snapToGrid w:val="0"/>
              <w:spacing w:line="348" w:lineRule="auto"/>
              <w:ind w:firstLine="480" w:firstLineChars="200"/>
              <w:rPr>
                <w:rFonts w:hint="eastAsia" w:cs="Times New Roman"/>
                <w:color w:val="auto"/>
                <w:sz w:val="24"/>
                <w:highlight w:val="none"/>
                <w:lang w:eastAsia="zh-CN"/>
              </w:rPr>
            </w:pPr>
          </w:p>
          <w:p w14:paraId="4E26CCCB">
            <w:pPr>
              <w:keepNext w:val="0"/>
              <w:keepLines w:val="0"/>
              <w:pageBreakBefore w:val="0"/>
              <w:kinsoku/>
              <w:wordWrap/>
              <w:overflowPunct/>
              <w:topLinePunct w:val="0"/>
              <w:autoSpaceDE/>
              <w:autoSpaceDN/>
              <w:bidi w:val="0"/>
              <w:adjustRightInd w:val="0"/>
              <w:snapToGrid w:val="0"/>
              <w:spacing w:line="348" w:lineRule="auto"/>
              <w:ind w:firstLine="480" w:firstLineChars="200"/>
              <w:rPr>
                <w:rFonts w:hint="eastAsia" w:cs="Times New Roman"/>
                <w:color w:val="auto"/>
                <w:sz w:val="24"/>
                <w:highlight w:val="none"/>
                <w:lang w:eastAsia="zh-CN"/>
              </w:rPr>
            </w:pPr>
          </w:p>
          <w:p w14:paraId="2F472B83">
            <w:pPr>
              <w:keepNext w:val="0"/>
              <w:keepLines w:val="0"/>
              <w:pageBreakBefore w:val="0"/>
              <w:kinsoku/>
              <w:wordWrap/>
              <w:overflowPunct/>
              <w:topLinePunct w:val="0"/>
              <w:autoSpaceDE/>
              <w:autoSpaceDN/>
              <w:bidi w:val="0"/>
              <w:adjustRightInd w:val="0"/>
              <w:snapToGrid w:val="0"/>
              <w:spacing w:line="348" w:lineRule="auto"/>
              <w:ind w:firstLine="480" w:firstLineChars="200"/>
              <w:rPr>
                <w:rFonts w:hint="eastAsia" w:cs="Times New Roman"/>
                <w:color w:val="auto"/>
                <w:sz w:val="24"/>
                <w:highlight w:val="none"/>
                <w:lang w:eastAsia="zh-CN"/>
              </w:rPr>
            </w:pPr>
          </w:p>
          <w:p w14:paraId="6904DC46">
            <w:pPr>
              <w:keepNext w:val="0"/>
              <w:keepLines w:val="0"/>
              <w:pageBreakBefore w:val="0"/>
              <w:kinsoku/>
              <w:wordWrap/>
              <w:overflowPunct/>
              <w:topLinePunct w:val="0"/>
              <w:autoSpaceDE/>
              <w:autoSpaceDN/>
              <w:bidi w:val="0"/>
              <w:adjustRightInd w:val="0"/>
              <w:snapToGrid w:val="0"/>
              <w:spacing w:line="348" w:lineRule="auto"/>
              <w:ind w:firstLine="480" w:firstLineChars="200"/>
              <w:rPr>
                <w:rFonts w:hint="eastAsia" w:cs="Times New Roman"/>
                <w:color w:val="auto"/>
                <w:sz w:val="24"/>
                <w:highlight w:val="none"/>
                <w:lang w:eastAsia="zh-CN"/>
              </w:rPr>
            </w:pPr>
          </w:p>
          <w:p w14:paraId="0C7FF701">
            <w:pPr>
              <w:keepNext w:val="0"/>
              <w:keepLines w:val="0"/>
              <w:pageBreakBefore w:val="0"/>
              <w:kinsoku/>
              <w:wordWrap/>
              <w:overflowPunct/>
              <w:topLinePunct w:val="0"/>
              <w:autoSpaceDE/>
              <w:autoSpaceDN/>
              <w:bidi w:val="0"/>
              <w:adjustRightInd w:val="0"/>
              <w:snapToGrid w:val="0"/>
              <w:spacing w:line="348" w:lineRule="auto"/>
              <w:ind w:firstLine="480" w:firstLineChars="200"/>
              <w:rPr>
                <w:rFonts w:hint="eastAsia" w:cs="Times New Roman"/>
                <w:color w:val="auto"/>
                <w:sz w:val="24"/>
                <w:highlight w:val="none"/>
                <w:lang w:eastAsia="zh-CN"/>
              </w:rPr>
            </w:pPr>
          </w:p>
          <w:p w14:paraId="15382A35">
            <w:pPr>
              <w:keepNext w:val="0"/>
              <w:keepLines w:val="0"/>
              <w:pageBreakBefore w:val="0"/>
              <w:kinsoku/>
              <w:wordWrap/>
              <w:overflowPunct/>
              <w:topLinePunct w:val="0"/>
              <w:autoSpaceDE/>
              <w:autoSpaceDN/>
              <w:bidi w:val="0"/>
              <w:adjustRightInd w:val="0"/>
              <w:snapToGrid w:val="0"/>
              <w:spacing w:line="348" w:lineRule="auto"/>
              <w:ind w:firstLine="480" w:firstLineChars="200"/>
              <w:rPr>
                <w:rFonts w:hint="eastAsia" w:cs="Times New Roman"/>
                <w:color w:val="auto"/>
                <w:sz w:val="24"/>
                <w:highlight w:val="none"/>
                <w:lang w:eastAsia="zh-CN"/>
              </w:rPr>
            </w:pPr>
          </w:p>
          <w:p w14:paraId="2FB62C34">
            <w:pPr>
              <w:keepNext w:val="0"/>
              <w:keepLines w:val="0"/>
              <w:pageBreakBefore w:val="0"/>
              <w:kinsoku/>
              <w:wordWrap/>
              <w:overflowPunct/>
              <w:topLinePunct w:val="0"/>
              <w:autoSpaceDE/>
              <w:autoSpaceDN/>
              <w:bidi w:val="0"/>
              <w:adjustRightInd w:val="0"/>
              <w:snapToGrid w:val="0"/>
              <w:spacing w:line="348" w:lineRule="auto"/>
              <w:ind w:firstLine="480" w:firstLineChars="200"/>
              <w:rPr>
                <w:rFonts w:hint="eastAsia" w:cs="Times New Roman"/>
                <w:color w:val="auto"/>
                <w:sz w:val="24"/>
                <w:highlight w:val="none"/>
                <w:lang w:eastAsia="zh-CN"/>
              </w:rPr>
            </w:pPr>
          </w:p>
          <w:p w14:paraId="48B42671">
            <w:pPr>
              <w:keepNext w:val="0"/>
              <w:keepLines w:val="0"/>
              <w:pageBreakBefore w:val="0"/>
              <w:kinsoku/>
              <w:wordWrap/>
              <w:overflowPunct/>
              <w:topLinePunct w:val="0"/>
              <w:autoSpaceDE/>
              <w:autoSpaceDN/>
              <w:bidi w:val="0"/>
              <w:adjustRightInd w:val="0"/>
              <w:snapToGrid w:val="0"/>
              <w:spacing w:line="348" w:lineRule="auto"/>
              <w:ind w:firstLine="480" w:firstLineChars="200"/>
              <w:rPr>
                <w:rFonts w:hint="eastAsia" w:cs="Times New Roman"/>
                <w:color w:val="auto"/>
                <w:sz w:val="24"/>
                <w:highlight w:val="none"/>
                <w:lang w:eastAsia="zh-CN"/>
              </w:rPr>
            </w:pPr>
          </w:p>
          <w:p w14:paraId="7BC8FAF7">
            <w:pPr>
              <w:keepNext w:val="0"/>
              <w:keepLines w:val="0"/>
              <w:pageBreakBefore w:val="0"/>
              <w:kinsoku/>
              <w:wordWrap/>
              <w:overflowPunct/>
              <w:topLinePunct w:val="0"/>
              <w:autoSpaceDE/>
              <w:autoSpaceDN/>
              <w:bidi w:val="0"/>
              <w:adjustRightInd w:val="0"/>
              <w:snapToGrid w:val="0"/>
              <w:spacing w:line="348" w:lineRule="auto"/>
              <w:rPr>
                <w:rFonts w:hint="eastAsia" w:ascii="Times New Roman" w:hAnsi="Times New Roman" w:eastAsia="宋体" w:cs="Times New Roman"/>
                <w:bCs/>
                <w:color w:val="auto"/>
                <w:spacing w:val="-10"/>
                <w:sz w:val="24"/>
                <w:szCs w:val="24"/>
                <w:highlight w:val="none"/>
                <w:lang w:val="en-US" w:eastAsia="zh-CN"/>
              </w:rPr>
            </w:pPr>
          </w:p>
        </w:tc>
      </w:tr>
    </w:tbl>
    <w:p w14:paraId="1D72B6B1">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3758A3E">
      <w:pPr>
        <w:pStyle w:val="43"/>
        <w:rPr>
          <w:rFonts w:hint="default" w:ascii="Times New Roman" w:hAnsi="Times New Roman" w:eastAsia="宋体" w:cs="Times New Roman"/>
          <w:color w:val="auto"/>
          <w:highlight w:val="none"/>
        </w:rPr>
      </w:pPr>
    </w:p>
    <w:p w14:paraId="0B0C5E1D">
      <w:pPr>
        <w:pStyle w:val="41"/>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eastAsia="宋体" w:cs="Times New Roman"/>
          <w:b/>
          <w:bCs/>
          <w:color w:val="auto"/>
          <w:sz w:val="21"/>
          <w:szCs w:val="21"/>
          <w:highlight w:val="none"/>
          <w:lang w:val="en-US" w:eastAsia="zh-CN"/>
        </w:rPr>
        <w:t>32</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w:t>
      </w:r>
      <w:r>
        <w:rPr>
          <w:rFonts w:hint="eastAsia" w:eastAsia="宋体" w:cs="Times New Roman"/>
          <w:b/>
          <w:bCs/>
          <w:color w:val="auto"/>
          <w:sz w:val="21"/>
          <w:szCs w:val="21"/>
          <w:highlight w:val="none"/>
          <w:lang w:eastAsia="zh-CN"/>
        </w:rPr>
        <w:t>项目</w:t>
      </w:r>
      <w:r>
        <w:rPr>
          <w:rFonts w:hint="default" w:ascii="Times New Roman" w:hAnsi="Times New Roman" w:eastAsia="宋体" w:cs="Times New Roman"/>
          <w:b/>
          <w:bCs/>
          <w:color w:val="auto"/>
          <w:sz w:val="21"/>
          <w:szCs w:val="21"/>
          <w:highlight w:val="none"/>
        </w:rPr>
        <w:t>工业企业噪声源强调查清单（室内声源）</w:t>
      </w:r>
    </w:p>
    <w:tbl>
      <w:tblPr>
        <w:tblStyle w:val="27"/>
        <w:tblpPr w:leftFromText="180" w:rightFromText="180" w:vertAnchor="text" w:horzAnchor="page" w:tblpXSpec="center" w:tblpY="41"/>
        <w:tblOverlap w:val="never"/>
        <w:tblW w:w="14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03"/>
        <w:gridCol w:w="1058"/>
        <w:gridCol w:w="1650"/>
        <w:gridCol w:w="655"/>
        <w:gridCol w:w="612"/>
        <w:gridCol w:w="455"/>
        <w:gridCol w:w="455"/>
        <w:gridCol w:w="403"/>
        <w:gridCol w:w="507"/>
        <w:gridCol w:w="393"/>
        <w:gridCol w:w="517"/>
        <w:gridCol w:w="455"/>
        <w:gridCol w:w="455"/>
        <w:gridCol w:w="455"/>
        <w:gridCol w:w="455"/>
        <w:gridCol w:w="455"/>
        <w:gridCol w:w="455"/>
        <w:gridCol w:w="443"/>
        <w:gridCol w:w="450"/>
        <w:gridCol w:w="465"/>
        <w:gridCol w:w="420"/>
        <w:gridCol w:w="435"/>
        <w:gridCol w:w="495"/>
        <w:gridCol w:w="435"/>
        <w:gridCol w:w="499"/>
        <w:gridCol w:w="547"/>
      </w:tblGrid>
      <w:tr w14:paraId="7C43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exact"/>
          <w:jc w:val="center"/>
        </w:trPr>
        <w:tc>
          <w:tcPr>
            <w:tcW w:w="403" w:type="dxa"/>
            <w:vMerge w:val="restart"/>
            <w:shd w:val="clear" w:color="auto" w:fill="auto"/>
            <w:vAlign w:val="center"/>
          </w:tcPr>
          <w:p w14:paraId="0B736D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058" w:type="dxa"/>
            <w:vMerge w:val="restart"/>
            <w:shd w:val="clear" w:color="auto" w:fill="auto"/>
            <w:vAlign w:val="center"/>
          </w:tcPr>
          <w:p w14:paraId="3BEE1F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建筑物名称</w:t>
            </w:r>
          </w:p>
        </w:tc>
        <w:tc>
          <w:tcPr>
            <w:tcW w:w="1650" w:type="dxa"/>
            <w:vMerge w:val="restart"/>
            <w:shd w:val="clear" w:color="auto" w:fill="auto"/>
            <w:vAlign w:val="center"/>
          </w:tcPr>
          <w:p w14:paraId="0EFF2D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声源名称</w:t>
            </w:r>
          </w:p>
        </w:tc>
        <w:tc>
          <w:tcPr>
            <w:tcW w:w="655" w:type="dxa"/>
            <w:shd w:val="clear" w:color="auto" w:fill="auto"/>
            <w:vAlign w:val="center"/>
          </w:tcPr>
          <w:p w14:paraId="46D296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声</w:t>
            </w:r>
            <w:r>
              <w:rPr>
                <w:rFonts w:hint="eastAsia" w:cs="Times New Roman"/>
                <w:b/>
                <w:color w:val="auto"/>
                <w:sz w:val="21"/>
                <w:szCs w:val="21"/>
                <w:highlight w:val="none"/>
                <w:lang w:eastAsia="zh-CN"/>
              </w:rPr>
              <w:t>源</w:t>
            </w:r>
            <w:r>
              <w:rPr>
                <w:rFonts w:hint="default" w:ascii="Times New Roman" w:hAnsi="Times New Roman" w:eastAsia="宋体" w:cs="Times New Roman"/>
                <w:b/>
                <w:color w:val="auto"/>
                <w:sz w:val="21"/>
                <w:szCs w:val="21"/>
                <w:highlight w:val="none"/>
                <w:lang w:eastAsia="zh-CN"/>
              </w:rPr>
              <w:t>强</w:t>
            </w:r>
          </w:p>
        </w:tc>
        <w:tc>
          <w:tcPr>
            <w:tcW w:w="612" w:type="dxa"/>
            <w:vMerge w:val="restart"/>
            <w:shd w:val="clear" w:color="auto" w:fill="auto"/>
            <w:vAlign w:val="center"/>
          </w:tcPr>
          <w:p w14:paraId="5E9F23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声源控制措施</w:t>
            </w:r>
          </w:p>
        </w:tc>
        <w:tc>
          <w:tcPr>
            <w:tcW w:w="1313" w:type="dxa"/>
            <w:gridSpan w:val="3"/>
            <w:shd w:val="clear" w:color="auto" w:fill="auto"/>
            <w:vAlign w:val="center"/>
          </w:tcPr>
          <w:p w14:paraId="6C3CE4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空间相对位置/m</w:t>
            </w:r>
          </w:p>
        </w:tc>
        <w:tc>
          <w:tcPr>
            <w:tcW w:w="1872" w:type="dxa"/>
            <w:gridSpan w:val="4"/>
            <w:shd w:val="clear" w:color="auto" w:fill="auto"/>
            <w:vAlign w:val="center"/>
          </w:tcPr>
          <w:p w14:paraId="0D4708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距室内边界距离/m</w:t>
            </w:r>
          </w:p>
        </w:tc>
        <w:tc>
          <w:tcPr>
            <w:tcW w:w="1820" w:type="dxa"/>
            <w:gridSpan w:val="4"/>
            <w:shd w:val="clear" w:color="auto" w:fill="auto"/>
            <w:vAlign w:val="center"/>
          </w:tcPr>
          <w:p w14:paraId="17933F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室内边界声级/dB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p>
        </w:tc>
        <w:tc>
          <w:tcPr>
            <w:tcW w:w="455" w:type="dxa"/>
            <w:vMerge w:val="restart"/>
            <w:shd w:val="clear" w:color="auto" w:fill="auto"/>
            <w:vAlign w:val="center"/>
          </w:tcPr>
          <w:p w14:paraId="65E5E5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运行时段</w:t>
            </w:r>
          </w:p>
        </w:tc>
        <w:tc>
          <w:tcPr>
            <w:tcW w:w="1778" w:type="dxa"/>
            <w:gridSpan w:val="4"/>
            <w:shd w:val="clear" w:color="auto" w:fill="auto"/>
            <w:vAlign w:val="center"/>
          </w:tcPr>
          <w:p w14:paraId="72E20E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建筑物插入损失 / 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p>
        </w:tc>
        <w:tc>
          <w:tcPr>
            <w:tcW w:w="2411" w:type="dxa"/>
            <w:gridSpan w:val="5"/>
            <w:shd w:val="clear" w:color="auto" w:fill="auto"/>
            <w:vAlign w:val="center"/>
          </w:tcPr>
          <w:p w14:paraId="454239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rPr>
              <w:t>建筑物外噪声声压级/dB</w:t>
            </w:r>
            <w:r>
              <w:rPr>
                <w:rFonts w:hint="default" w:ascii="Times New Roman" w:hAnsi="Times New Roman" w:eastAsia="宋体" w:cs="Times New Roman"/>
                <w:b/>
                <w:bCs w:val="0"/>
                <w:color w:val="auto"/>
                <w:sz w:val="21"/>
                <w:szCs w:val="21"/>
                <w:highlight w:val="none"/>
                <w:lang w:eastAsia="zh-CN"/>
              </w:rPr>
              <w:t>（</w:t>
            </w:r>
            <w:r>
              <w:rPr>
                <w:rFonts w:hint="default" w:ascii="Times New Roman" w:hAnsi="Times New Roman" w:eastAsia="宋体" w:cs="Times New Roman"/>
                <w:b/>
                <w:bCs w:val="0"/>
                <w:color w:val="auto"/>
                <w:sz w:val="21"/>
                <w:szCs w:val="21"/>
                <w:highlight w:val="none"/>
              </w:rPr>
              <w:t>A</w:t>
            </w:r>
            <w:r>
              <w:rPr>
                <w:rFonts w:hint="default" w:ascii="Times New Roman" w:hAnsi="Times New Roman" w:eastAsia="宋体" w:cs="Times New Roman"/>
                <w:b/>
                <w:bCs w:val="0"/>
                <w:color w:val="auto"/>
                <w:sz w:val="21"/>
                <w:szCs w:val="21"/>
                <w:highlight w:val="none"/>
                <w:lang w:eastAsia="zh-CN"/>
              </w:rPr>
              <w:t>）</w:t>
            </w:r>
          </w:p>
        </w:tc>
      </w:tr>
      <w:tr w14:paraId="7E21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vMerge w:val="continue"/>
            <w:shd w:val="clear" w:color="auto" w:fill="auto"/>
            <w:tcMar>
              <w:top w:w="0" w:type="dxa"/>
              <w:left w:w="0" w:type="dxa"/>
              <w:bottom w:w="0" w:type="dxa"/>
              <w:right w:w="0" w:type="dxa"/>
            </w:tcMar>
            <w:vAlign w:val="center"/>
          </w:tcPr>
          <w:p w14:paraId="3A5A40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1058" w:type="dxa"/>
            <w:vMerge w:val="continue"/>
            <w:shd w:val="clear" w:color="auto" w:fill="auto"/>
            <w:tcMar>
              <w:top w:w="0" w:type="dxa"/>
              <w:left w:w="0" w:type="dxa"/>
              <w:bottom w:w="0" w:type="dxa"/>
              <w:right w:w="0" w:type="dxa"/>
            </w:tcMar>
            <w:vAlign w:val="center"/>
          </w:tcPr>
          <w:p w14:paraId="48FF90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650" w:type="dxa"/>
            <w:vMerge w:val="continue"/>
            <w:shd w:val="clear" w:color="auto" w:fill="auto"/>
            <w:tcMar>
              <w:top w:w="0" w:type="dxa"/>
              <w:left w:w="0" w:type="dxa"/>
              <w:bottom w:w="0" w:type="dxa"/>
              <w:right w:w="0" w:type="dxa"/>
            </w:tcMar>
            <w:vAlign w:val="center"/>
          </w:tcPr>
          <w:p w14:paraId="77086D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655" w:type="dxa"/>
            <w:shd w:val="clear" w:color="auto" w:fill="auto"/>
            <w:tcMar>
              <w:top w:w="0" w:type="dxa"/>
              <w:left w:w="0" w:type="dxa"/>
              <w:bottom w:w="0" w:type="dxa"/>
              <w:right w:w="0" w:type="dxa"/>
            </w:tcMar>
            <w:vAlign w:val="center"/>
          </w:tcPr>
          <w:p w14:paraId="2770AD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声功率级/dB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c>
          <w:tcPr>
            <w:tcW w:w="612" w:type="dxa"/>
            <w:vMerge w:val="continue"/>
            <w:shd w:val="clear" w:color="auto" w:fill="auto"/>
            <w:tcMar>
              <w:top w:w="0" w:type="dxa"/>
              <w:left w:w="0" w:type="dxa"/>
              <w:bottom w:w="0" w:type="dxa"/>
              <w:right w:w="0" w:type="dxa"/>
            </w:tcMar>
            <w:vAlign w:val="center"/>
          </w:tcPr>
          <w:p w14:paraId="707F59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441DC4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455" w:type="dxa"/>
            <w:shd w:val="clear" w:color="auto" w:fill="auto"/>
            <w:tcMar>
              <w:top w:w="0" w:type="dxa"/>
              <w:left w:w="0" w:type="dxa"/>
              <w:bottom w:w="0" w:type="dxa"/>
              <w:right w:w="0" w:type="dxa"/>
            </w:tcMar>
            <w:vAlign w:val="center"/>
          </w:tcPr>
          <w:p w14:paraId="50664F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403" w:type="dxa"/>
            <w:shd w:val="clear" w:color="auto" w:fill="auto"/>
            <w:tcMar>
              <w:top w:w="0" w:type="dxa"/>
              <w:left w:w="0" w:type="dxa"/>
              <w:bottom w:w="0" w:type="dxa"/>
              <w:right w:w="0" w:type="dxa"/>
            </w:tcMar>
            <w:vAlign w:val="center"/>
          </w:tcPr>
          <w:p w14:paraId="605980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507" w:type="dxa"/>
            <w:shd w:val="clear" w:color="auto" w:fill="auto"/>
            <w:tcMar>
              <w:top w:w="0" w:type="dxa"/>
              <w:left w:w="0" w:type="dxa"/>
              <w:bottom w:w="0" w:type="dxa"/>
              <w:right w:w="0" w:type="dxa"/>
            </w:tcMar>
            <w:vAlign w:val="center"/>
          </w:tcPr>
          <w:p w14:paraId="165936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393" w:type="dxa"/>
            <w:shd w:val="clear" w:color="auto" w:fill="auto"/>
            <w:tcMar>
              <w:top w:w="0" w:type="dxa"/>
              <w:left w:w="0" w:type="dxa"/>
              <w:bottom w:w="0" w:type="dxa"/>
              <w:right w:w="0" w:type="dxa"/>
            </w:tcMar>
            <w:vAlign w:val="center"/>
          </w:tcPr>
          <w:p w14:paraId="2266D5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517" w:type="dxa"/>
            <w:shd w:val="clear" w:color="auto" w:fill="auto"/>
            <w:tcMar>
              <w:top w:w="0" w:type="dxa"/>
              <w:left w:w="0" w:type="dxa"/>
              <w:bottom w:w="0" w:type="dxa"/>
              <w:right w:w="0" w:type="dxa"/>
            </w:tcMar>
            <w:vAlign w:val="center"/>
          </w:tcPr>
          <w:p w14:paraId="44D984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455" w:type="dxa"/>
            <w:shd w:val="clear" w:color="auto" w:fill="auto"/>
            <w:tcMar>
              <w:top w:w="0" w:type="dxa"/>
              <w:left w:w="0" w:type="dxa"/>
              <w:bottom w:w="0" w:type="dxa"/>
              <w:right w:w="0" w:type="dxa"/>
            </w:tcMar>
            <w:vAlign w:val="center"/>
          </w:tcPr>
          <w:p w14:paraId="62B1ED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455" w:type="dxa"/>
            <w:shd w:val="clear" w:color="auto" w:fill="auto"/>
            <w:tcMar>
              <w:top w:w="0" w:type="dxa"/>
              <w:left w:w="0" w:type="dxa"/>
              <w:bottom w:w="0" w:type="dxa"/>
              <w:right w:w="0" w:type="dxa"/>
            </w:tcMar>
            <w:vAlign w:val="center"/>
          </w:tcPr>
          <w:p w14:paraId="1ADED4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455" w:type="dxa"/>
            <w:shd w:val="clear" w:color="auto" w:fill="auto"/>
            <w:tcMar>
              <w:top w:w="0" w:type="dxa"/>
              <w:left w:w="0" w:type="dxa"/>
              <w:bottom w:w="0" w:type="dxa"/>
              <w:right w:w="0" w:type="dxa"/>
            </w:tcMar>
            <w:vAlign w:val="center"/>
          </w:tcPr>
          <w:p w14:paraId="2624AD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455" w:type="dxa"/>
            <w:shd w:val="clear" w:color="auto" w:fill="auto"/>
            <w:tcMar>
              <w:top w:w="0" w:type="dxa"/>
              <w:left w:w="0" w:type="dxa"/>
              <w:bottom w:w="0" w:type="dxa"/>
              <w:right w:w="0" w:type="dxa"/>
            </w:tcMar>
            <w:vAlign w:val="center"/>
          </w:tcPr>
          <w:p w14:paraId="30499F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455" w:type="dxa"/>
            <w:shd w:val="clear" w:color="auto" w:fill="auto"/>
            <w:tcMar>
              <w:top w:w="0" w:type="dxa"/>
              <w:left w:w="0" w:type="dxa"/>
              <w:bottom w:w="0" w:type="dxa"/>
              <w:right w:w="0" w:type="dxa"/>
            </w:tcMar>
            <w:vAlign w:val="center"/>
          </w:tcPr>
          <w:p w14:paraId="7BC0BA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455" w:type="dxa"/>
            <w:vMerge w:val="continue"/>
            <w:shd w:val="clear" w:color="auto" w:fill="auto"/>
            <w:tcMar>
              <w:top w:w="0" w:type="dxa"/>
              <w:left w:w="0" w:type="dxa"/>
              <w:bottom w:w="0" w:type="dxa"/>
              <w:right w:w="0" w:type="dxa"/>
            </w:tcMar>
            <w:vAlign w:val="center"/>
          </w:tcPr>
          <w:p w14:paraId="199EDC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43" w:type="dxa"/>
            <w:shd w:val="clear" w:color="auto" w:fill="auto"/>
            <w:tcMar>
              <w:top w:w="0" w:type="dxa"/>
              <w:left w:w="0" w:type="dxa"/>
              <w:bottom w:w="0" w:type="dxa"/>
              <w:right w:w="0" w:type="dxa"/>
            </w:tcMar>
            <w:vAlign w:val="center"/>
          </w:tcPr>
          <w:p w14:paraId="7D3E98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450" w:type="dxa"/>
            <w:shd w:val="clear" w:color="auto" w:fill="auto"/>
            <w:tcMar>
              <w:top w:w="0" w:type="dxa"/>
              <w:left w:w="0" w:type="dxa"/>
              <w:bottom w:w="0" w:type="dxa"/>
              <w:right w:w="0" w:type="dxa"/>
            </w:tcMar>
            <w:vAlign w:val="center"/>
          </w:tcPr>
          <w:p w14:paraId="6BF4EF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465" w:type="dxa"/>
            <w:shd w:val="clear" w:color="auto" w:fill="auto"/>
            <w:tcMar>
              <w:top w:w="0" w:type="dxa"/>
              <w:left w:w="0" w:type="dxa"/>
              <w:bottom w:w="0" w:type="dxa"/>
              <w:right w:w="0" w:type="dxa"/>
            </w:tcMar>
            <w:vAlign w:val="center"/>
          </w:tcPr>
          <w:p w14:paraId="21C314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420" w:type="dxa"/>
            <w:shd w:val="clear" w:color="auto" w:fill="auto"/>
            <w:tcMar>
              <w:top w:w="0" w:type="dxa"/>
              <w:left w:w="0" w:type="dxa"/>
              <w:bottom w:w="0" w:type="dxa"/>
              <w:right w:w="0" w:type="dxa"/>
            </w:tcMar>
            <w:vAlign w:val="center"/>
          </w:tcPr>
          <w:p w14:paraId="3A64EF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435" w:type="dxa"/>
            <w:shd w:val="clear" w:color="auto" w:fill="auto"/>
            <w:tcMar>
              <w:top w:w="0" w:type="dxa"/>
              <w:left w:w="0" w:type="dxa"/>
              <w:bottom w:w="0" w:type="dxa"/>
              <w:right w:w="0" w:type="dxa"/>
            </w:tcMar>
            <w:vAlign w:val="center"/>
          </w:tcPr>
          <w:p w14:paraId="4C736B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495" w:type="dxa"/>
            <w:shd w:val="clear" w:color="auto" w:fill="auto"/>
            <w:tcMar>
              <w:top w:w="0" w:type="dxa"/>
              <w:left w:w="0" w:type="dxa"/>
              <w:bottom w:w="0" w:type="dxa"/>
              <w:right w:w="0" w:type="dxa"/>
            </w:tcMar>
            <w:vAlign w:val="center"/>
          </w:tcPr>
          <w:p w14:paraId="7D1DFF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435" w:type="dxa"/>
            <w:shd w:val="clear" w:color="auto" w:fill="auto"/>
            <w:tcMar>
              <w:top w:w="0" w:type="dxa"/>
              <w:left w:w="0" w:type="dxa"/>
              <w:bottom w:w="0" w:type="dxa"/>
              <w:right w:w="0" w:type="dxa"/>
            </w:tcMar>
            <w:vAlign w:val="center"/>
          </w:tcPr>
          <w:p w14:paraId="607F2A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499" w:type="dxa"/>
            <w:shd w:val="clear" w:color="auto" w:fill="auto"/>
            <w:tcMar>
              <w:top w:w="0" w:type="dxa"/>
              <w:left w:w="0" w:type="dxa"/>
              <w:bottom w:w="0" w:type="dxa"/>
              <w:right w:w="0" w:type="dxa"/>
            </w:tcMar>
            <w:vAlign w:val="center"/>
          </w:tcPr>
          <w:p w14:paraId="427CE5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547" w:type="dxa"/>
            <w:shd w:val="clear" w:color="auto" w:fill="auto"/>
            <w:tcMar>
              <w:top w:w="0" w:type="dxa"/>
              <w:left w:w="0" w:type="dxa"/>
              <w:bottom w:w="0" w:type="dxa"/>
              <w:right w:w="0" w:type="dxa"/>
            </w:tcMar>
            <w:vAlign w:val="center"/>
          </w:tcPr>
          <w:p w14:paraId="65364A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建筑物外距离</w:t>
            </w:r>
          </w:p>
        </w:tc>
      </w:tr>
      <w:tr w14:paraId="4C10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33F179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058" w:type="dxa"/>
            <w:shd w:val="clear" w:color="auto" w:fill="auto"/>
            <w:tcMar>
              <w:top w:w="0" w:type="dxa"/>
              <w:left w:w="0" w:type="dxa"/>
              <w:bottom w:w="0" w:type="dxa"/>
              <w:right w:w="0" w:type="dxa"/>
            </w:tcMar>
            <w:vAlign w:val="center"/>
          </w:tcPr>
          <w:p w14:paraId="26B8BE09">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 原料区-声屏障</w:t>
            </w:r>
          </w:p>
        </w:tc>
        <w:tc>
          <w:tcPr>
            <w:tcW w:w="1650" w:type="dxa"/>
            <w:shd w:val="clear" w:color="auto" w:fill="auto"/>
            <w:tcMar>
              <w:top w:w="0" w:type="dxa"/>
              <w:left w:w="0" w:type="dxa"/>
              <w:bottom w:w="0" w:type="dxa"/>
              <w:right w:w="0" w:type="dxa"/>
            </w:tcMar>
            <w:vAlign w:val="center"/>
          </w:tcPr>
          <w:p w14:paraId="0BB17D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板式喂料机</w:t>
            </w:r>
          </w:p>
        </w:tc>
        <w:tc>
          <w:tcPr>
            <w:tcW w:w="655" w:type="dxa"/>
            <w:shd w:val="clear" w:color="auto" w:fill="auto"/>
            <w:tcMar>
              <w:top w:w="0" w:type="dxa"/>
              <w:left w:w="0" w:type="dxa"/>
              <w:bottom w:w="0" w:type="dxa"/>
              <w:right w:w="0" w:type="dxa"/>
            </w:tcMar>
            <w:vAlign w:val="center"/>
          </w:tcPr>
          <w:p w14:paraId="31A76F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612" w:type="dxa"/>
            <w:vMerge w:val="restart"/>
            <w:shd w:val="clear" w:color="auto" w:fill="auto"/>
            <w:tcMar>
              <w:top w:w="0" w:type="dxa"/>
              <w:left w:w="0" w:type="dxa"/>
              <w:bottom w:w="0" w:type="dxa"/>
              <w:right w:w="0" w:type="dxa"/>
            </w:tcMar>
            <w:vAlign w:val="center"/>
          </w:tcPr>
          <w:p w14:paraId="40416F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eastAsia="zh-CN"/>
              </w:rPr>
              <w:t>消声</w:t>
            </w:r>
            <w:r>
              <w:rPr>
                <w:rFonts w:hint="default" w:ascii="Times New Roman" w:hAnsi="Times New Roman" w:eastAsia="宋体" w:cs="Times New Roman"/>
                <w:bCs/>
                <w:color w:val="auto"/>
                <w:sz w:val="21"/>
                <w:szCs w:val="21"/>
                <w:highlight w:val="none"/>
              </w:rPr>
              <w:t>减振</w:t>
            </w:r>
            <w:r>
              <w:rPr>
                <w:rFonts w:hint="default" w:ascii="Times New Roman" w:hAnsi="Times New Roman" w:eastAsia="宋体" w:cs="Times New Roman"/>
                <w:bCs/>
                <w:color w:val="auto"/>
                <w:sz w:val="21"/>
                <w:szCs w:val="21"/>
                <w:highlight w:val="none"/>
                <w:lang w:eastAsia="zh-CN"/>
              </w:rPr>
              <w:t>装置</w:t>
            </w:r>
            <w:r>
              <w:rPr>
                <w:rFonts w:hint="default" w:ascii="Times New Roman" w:hAnsi="Times New Roman" w:eastAsia="宋体" w:cs="Times New Roman"/>
                <w:bCs/>
                <w:color w:val="auto"/>
                <w:sz w:val="21"/>
                <w:szCs w:val="21"/>
                <w:highlight w:val="none"/>
              </w:rPr>
              <w:t>、厂房隔声、距离衰减</w:t>
            </w:r>
          </w:p>
        </w:tc>
        <w:tc>
          <w:tcPr>
            <w:tcW w:w="455" w:type="dxa"/>
            <w:shd w:val="clear" w:color="auto" w:fill="auto"/>
            <w:tcMar>
              <w:top w:w="0" w:type="dxa"/>
              <w:left w:w="0" w:type="dxa"/>
              <w:bottom w:w="0" w:type="dxa"/>
              <w:right w:w="0" w:type="dxa"/>
            </w:tcMar>
            <w:vAlign w:val="center"/>
          </w:tcPr>
          <w:p w14:paraId="1EBC79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-64.1</w:t>
            </w:r>
          </w:p>
        </w:tc>
        <w:tc>
          <w:tcPr>
            <w:tcW w:w="455" w:type="dxa"/>
            <w:shd w:val="clear" w:color="auto" w:fill="auto"/>
            <w:tcMar>
              <w:top w:w="0" w:type="dxa"/>
              <w:left w:w="0" w:type="dxa"/>
              <w:bottom w:w="0" w:type="dxa"/>
              <w:right w:w="0" w:type="dxa"/>
            </w:tcMar>
            <w:vAlign w:val="center"/>
          </w:tcPr>
          <w:p w14:paraId="766FC3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95.5</w:t>
            </w:r>
          </w:p>
        </w:tc>
        <w:tc>
          <w:tcPr>
            <w:tcW w:w="403" w:type="dxa"/>
            <w:shd w:val="clear" w:color="auto" w:fill="auto"/>
            <w:tcMar>
              <w:top w:w="0" w:type="dxa"/>
              <w:left w:w="0" w:type="dxa"/>
              <w:bottom w:w="0" w:type="dxa"/>
              <w:right w:w="0" w:type="dxa"/>
            </w:tcMar>
            <w:vAlign w:val="center"/>
          </w:tcPr>
          <w:p w14:paraId="5C9A0F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4F424D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208.0</w:t>
            </w:r>
          </w:p>
        </w:tc>
        <w:tc>
          <w:tcPr>
            <w:tcW w:w="393" w:type="dxa"/>
            <w:shd w:val="clear" w:color="auto" w:fill="auto"/>
            <w:tcMar>
              <w:top w:w="0" w:type="dxa"/>
              <w:left w:w="0" w:type="dxa"/>
              <w:bottom w:w="0" w:type="dxa"/>
              <w:right w:w="0" w:type="dxa"/>
            </w:tcMar>
            <w:vAlign w:val="center"/>
          </w:tcPr>
          <w:p w14:paraId="1A05B7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26.4</w:t>
            </w:r>
          </w:p>
        </w:tc>
        <w:tc>
          <w:tcPr>
            <w:tcW w:w="517" w:type="dxa"/>
            <w:shd w:val="clear" w:color="auto" w:fill="auto"/>
            <w:tcMar>
              <w:top w:w="0" w:type="dxa"/>
              <w:left w:w="0" w:type="dxa"/>
              <w:bottom w:w="0" w:type="dxa"/>
              <w:right w:w="0" w:type="dxa"/>
            </w:tcMar>
            <w:vAlign w:val="center"/>
          </w:tcPr>
          <w:p w14:paraId="0E699B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c>
          <w:tcPr>
            <w:tcW w:w="455" w:type="dxa"/>
            <w:shd w:val="clear" w:color="auto" w:fill="auto"/>
            <w:tcMar>
              <w:top w:w="0" w:type="dxa"/>
              <w:left w:w="0" w:type="dxa"/>
              <w:bottom w:w="0" w:type="dxa"/>
              <w:right w:w="0" w:type="dxa"/>
            </w:tcMar>
            <w:vAlign w:val="center"/>
          </w:tcPr>
          <w:p w14:paraId="6069ED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26.3</w:t>
            </w:r>
          </w:p>
        </w:tc>
        <w:tc>
          <w:tcPr>
            <w:tcW w:w="455" w:type="dxa"/>
            <w:shd w:val="clear" w:color="auto" w:fill="auto"/>
            <w:tcMar>
              <w:top w:w="0" w:type="dxa"/>
              <w:left w:w="0" w:type="dxa"/>
              <w:bottom w:w="0" w:type="dxa"/>
              <w:right w:w="0" w:type="dxa"/>
            </w:tcMar>
            <w:vAlign w:val="center"/>
          </w:tcPr>
          <w:p w14:paraId="43ED18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59.9</w:t>
            </w:r>
          </w:p>
        </w:tc>
        <w:tc>
          <w:tcPr>
            <w:tcW w:w="455" w:type="dxa"/>
            <w:shd w:val="clear" w:color="auto" w:fill="auto"/>
            <w:tcMar>
              <w:top w:w="0" w:type="dxa"/>
              <w:left w:w="0" w:type="dxa"/>
              <w:bottom w:w="0" w:type="dxa"/>
              <w:right w:w="0" w:type="dxa"/>
            </w:tcMar>
            <w:vAlign w:val="center"/>
          </w:tcPr>
          <w:p w14:paraId="192486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w:t>
            </w:r>
          </w:p>
        </w:tc>
        <w:tc>
          <w:tcPr>
            <w:tcW w:w="455" w:type="dxa"/>
            <w:shd w:val="clear" w:color="auto" w:fill="auto"/>
            <w:tcMar>
              <w:top w:w="0" w:type="dxa"/>
              <w:left w:w="0" w:type="dxa"/>
              <w:bottom w:w="0" w:type="dxa"/>
              <w:right w:w="0" w:type="dxa"/>
            </w:tcMar>
            <w:vAlign w:val="center"/>
          </w:tcPr>
          <w:p w14:paraId="1F04C7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61.4</w:t>
            </w:r>
          </w:p>
        </w:tc>
        <w:tc>
          <w:tcPr>
            <w:tcW w:w="455" w:type="dxa"/>
            <w:shd w:val="clear" w:color="auto" w:fill="auto"/>
            <w:tcMar>
              <w:top w:w="0" w:type="dxa"/>
              <w:left w:w="0" w:type="dxa"/>
              <w:bottom w:w="0" w:type="dxa"/>
              <w:right w:w="0" w:type="dxa"/>
            </w:tcMar>
            <w:vAlign w:val="center"/>
          </w:tcPr>
          <w:p w14:paraId="121CBA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w:t>
            </w:r>
          </w:p>
        </w:tc>
        <w:tc>
          <w:tcPr>
            <w:tcW w:w="455" w:type="dxa"/>
            <w:vMerge w:val="restart"/>
            <w:shd w:val="clear" w:color="auto" w:fill="auto"/>
            <w:tcMar>
              <w:top w:w="0" w:type="dxa"/>
              <w:left w:w="0" w:type="dxa"/>
              <w:bottom w:w="0" w:type="dxa"/>
              <w:right w:w="0" w:type="dxa"/>
            </w:tcMar>
            <w:vAlign w:val="center"/>
          </w:tcPr>
          <w:p w14:paraId="446E3B8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全天24小时运行</w:t>
            </w:r>
          </w:p>
          <w:p w14:paraId="1AAB0D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2E135F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676E3A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719FC6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1C262F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036917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33.4</w:t>
            </w:r>
          </w:p>
        </w:tc>
        <w:tc>
          <w:tcPr>
            <w:tcW w:w="495" w:type="dxa"/>
            <w:shd w:val="clear" w:color="auto" w:fill="auto"/>
            <w:tcMar>
              <w:top w:w="0" w:type="dxa"/>
              <w:left w:w="0" w:type="dxa"/>
              <w:bottom w:w="0" w:type="dxa"/>
              <w:right w:w="0" w:type="dxa"/>
            </w:tcMar>
            <w:vAlign w:val="center"/>
          </w:tcPr>
          <w:p w14:paraId="4D34C9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33.5</w:t>
            </w:r>
          </w:p>
        </w:tc>
        <w:tc>
          <w:tcPr>
            <w:tcW w:w="435" w:type="dxa"/>
            <w:shd w:val="clear" w:color="auto" w:fill="auto"/>
            <w:tcMar>
              <w:top w:w="0" w:type="dxa"/>
              <w:left w:w="0" w:type="dxa"/>
              <w:bottom w:w="0" w:type="dxa"/>
              <w:right w:w="0" w:type="dxa"/>
            </w:tcMar>
            <w:vAlign w:val="center"/>
          </w:tcPr>
          <w:p w14:paraId="2D8D1E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34.9</w:t>
            </w:r>
          </w:p>
        </w:tc>
        <w:tc>
          <w:tcPr>
            <w:tcW w:w="499" w:type="dxa"/>
            <w:shd w:val="clear" w:color="auto" w:fill="auto"/>
            <w:tcMar>
              <w:top w:w="0" w:type="dxa"/>
              <w:left w:w="0" w:type="dxa"/>
              <w:bottom w:w="0" w:type="dxa"/>
              <w:right w:w="0" w:type="dxa"/>
            </w:tcMar>
            <w:vAlign w:val="center"/>
          </w:tcPr>
          <w:p w14:paraId="150444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33.5</w:t>
            </w:r>
          </w:p>
        </w:tc>
        <w:tc>
          <w:tcPr>
            <w:tcW w:w="547" w:type="dxa"/>
            <w:shd w:val="clear" w:color="auto" w:fill="auto"/>
            <w:tcMar>
              <w:top w:w="0" w:type="dxa"/>
              <w:left w:w="0" w:type="dxa"/>
              <w:bottom w:w="0" w:type="dxa"/>
              <w:right w:w="0" w:type="dxa"/>
            </w:tcMar>
            <w:vAlign w:val="center"/>
          </w:tcPr>
          <w:p w14:paraId="1B63D0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4BA7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4D3FE2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058" w:type="dxa"/>
            <w:shd w:val="clear" w:color="auto" w:fill="auto"/>
            <w:tcMar>
              <w:top w:w="0" w:type="dxa"/>
              <w:left w:w="0" w:type="dxa"/>
              <w:bottom w:w="0" w:type="dxa"/>
              <w:right w:w="0" w:type="dxa"/>
            </w:tcMar>
            <w:vAlign w:val="center"/>
          </w:tcPr>
          <w:p w14:paraId="7E3242A9">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 原料区-声屏障</w:t>
            </w:r>
          </w:p>
        </w:tc>
        <w:tc>
          <w:tcPr>
            <w:tcW w:w="1650" w:type="dxa"/>
            <w:shd w:val="clear" w:color="auto" w:fill="auto"/>
            <w:tcMar>
              <w:top w:w="0" w:type="dxa"/>
              <w:left w:w="0" w:type="dxa"/>
              <w:bottom w:w="0" w:type="dxa"/>
              <w:right w:w="0" w:type="dxa"/>
            </w:tcMar>
            <w:vAlign w:val="center"/>
          </w:tcPr>
          <w:p w14:paraId="15ED72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胶带输送机</w:t>
            </w:r>
          </w:p>
        </w:tc>
        <w:tc>
          <w:tcPr>
            <w:tcW w:w="655" w:type="dxa"/>
            <w:shd w:val="clear" w:color="auto" w:fill="auto"/>
            <w:tcMar>
              <w:top w:w="0" w:type="dxa"/>
              <w:left w:w="0" w:type="dxa"/>
              <w:bottom w:w="0" w:type="dxa"/>
              <w:right w:w="0" w:type="dxa"/>
            </w:tcMar>
            <w:vAlign w:val="center"/>
          </w:tcPr>
          <w:p w14:paraId="60E046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1B84B7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392246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w:t>
            </w:r>
          </w:p>
        </w:tc>
        <w:tc>
          <w:tcPr>
            <w:tcW w:w="455" w:type="dxa"/>
            <w:shd w:val="clear" w:color="auto" w:fill="auto"/>
            <w:tcMar>
              <w:top w:w="0" w:type="dxa"/>
              <w:left w:w="0" w:type="dxa"/>
              <w:bottom w:w="0" w:type="dxa"/>
              <w:right w:w="0" w:type="dxa"/>
            </w:tcMar>
            <w:vAlign w:val="center"/>
          </w:tcPr>
          <w:p w14:paraId="6F1F87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94.7</w:t>
            </w:r>
          </w:p>
        </w:tc>
        <w:tc>
          <w:tcPr>
            <w:tcW w:w="403" w:type="dxa"/>
            <w:shd w:val="clear" w:color="auto" w:fill="auto"/>
            <w:tcMar>
              <w:top w:w="0" w:type="dxa"/>
              <w:left w:w="0" w:type="dxa"/>
              <w:bottom w:w="0" w:type="dxa"/>
              <w:right w:w="0" w:type="dxa"/>
            </w:tcMar>
            <w:vAlign w:val="center"/>
          </w:tcPr>
          <w:p w14:paraId="26C3A2F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4280A0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202.8</w:t>
            </w:r>
          </w:p>
        </w:tc>
        <w:tc>
          <w:tcPr>
            <w:tcW w:w="393" w:type="dxa"/>
            <w:shd w:val="clear" w:color="auto" w:fill="auto"/>
            <w:tcMar>
              <w:top w:w="0" w:type="dxa"/>
              <w:left w:w="0" w:type="dxa"/>
              <w:bottom w:w="0" w:type="dxa"/>
              <w:right w:w="0" w:type="dxa"/>
            </w:tcMar>
            <w:vAlign w:val="center"/>
          </w:tcPr>
          <w:p w14:paraId="7692AD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26.8</w:t>
            </w:r>
          </w:p>
        </w:tc>
        <w:tc>
          <w:tcPr>
            <w:tcW w:w="517" w:type="dxa"/>
            <w:shd w:val="clear" w:color="auto" w:fill="auto"/>
            <w:tcMar>
              <w:top w:w="0" w:type="dxa"/>
              <w:left w:w="0" w:type="dxa"/>
              <w:bottom w:w="0" w:type="dxa"/>
              <w:right w:w="0" w:type="dxa"/>
            </w:tcMar>
            <w:vAlign w:val="center"/>
          </w:tcPr>
          <w:p w14:paraId="76B666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9.7</w:t>
            </w:r>
          </w:p>
        </w:tc>
        <w:tc>
          <w:tcPr>
            <w:tcW w:w="455" w:type="dxa"/>
            <w:shd w:val="clear" w:color="auto" w:fill="auto"/>
            <w:tcMar>
              <w:top w:w="0" w:type="dxa"/>
              <w:left w:w="0" w:type="dxa"/>
              <w:bottom w:w="0" w:type="dxa"/>
              <w:right w:w="0" w:type="dxa"/>
            </w:tcMar>
            <w:vAlign w:val="center"/>
          </w:tcPr>
          <w:p w14:paraId="254B1E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25.8</w:t>
            </w:r>
          </w:p>
        </w:tc>
        <w:tc>
          <w:tcPr>
            <w:tcW w:w="455" w:type="dxa"/>
            <w:shd w:val="clear" w:color="auto" w:fill="auto"/>
            <w:tcMar>
              <w:top w:w="0" w:type="dxa"/>
              <w:left w:w="0" w:type="dxa"/>
              <w:bottom w:w="0" w:type="dxa"/>
              <w:right w:w="0" w:type="dxa"/>
            </w:tcMar>
            <w:vAlign w:val="center"/>
          </w:tcPr>
          <w:p w14:paraId="735A96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54.9</w:t>
            </w:r>
          </w:p>
        </w:tc>
        <w:tc>
          <w:tcPr>
            <w:tcW w:w="455" w:type="dxa"/>
            <w:shd w:val="clear" w:color="auto" w:fill="auto"/>
            <w:tcMar>
              <w:top w:w="0" w:type="dxa"/>
              <w:left w:w="0" w:type="dxa"/>
              <w:bottom w:w="0" w:type="dxa"/>
              <w:right w:w="0" w:type="dxa"/>
            </w:tcMar>
            <w:vAlign w:val="center"/>
          </w:tcPr>
          <w:p w14:paraId="30E21E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55.0</w:t>
            </w:r>
          </w:p>
        </w:tc>
        <w:tc>
          <w:tcPr>
            <w:tcW w:w="455" w:type="dxa"/>
            <w:shd w:val="clear" w:color="auto" w:fill="auto"/>
            <w:tcMar>
              <w:top w:w="0" w:type="dxa"/>
              <w:left w:w="0" w:type="dxa"/>
              <w:bottom w:w="0" w:type="dxa"/>
              <w:right w:w="0" w:type="dxa"/>
            </w:tcMar>
            <w:vAlign w:val="center"/>
          </w:tcPr>
          <w:p w14:paraId="4FAAC7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55.3</w:t>
            </w:r>
          </w:p>
        </w:tc>
        <w:tc>
          <w:tcPr>
            <w:tcW w:w="455" w:type="dxa"/>
            <w:shd w:val="clear" w:color="auto" w:fill="auto"/>
            <w:tcMar>
              <w:top w:w="0" w:type="dxa"/>
              <w:left w:w="0" w:type="dxa"/>
              <w:bottom w:w="0" w:type="dxa"/>
              <w:right w:w="0" w:type="dxa"/>
            </w:tcMar>
            <w:vAlign w:val="center"/>
          </w:tcPr>
          <w:p w14:paraId="61DC6E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55.0</w:t>
            </w:r>
          </w:p>
        </w:tc>
        <w:tc>
          <w:tcPr>
            <w:tcW w:w="455" w:type="dxa"/>
            <w:vMerge w:val="continue"/>
            <w:shd w:val="clear" w:color="auto" w:fill="auto"/>
            <w:tcMar>
              <w:top w:w="0" w:type="dxa"/>
              <w:left w:w="0" w:type="dxa"/>
              <w:bottom w:w="0" w:type="dxa"/>
              <w:right w:w="0" w:type="dxa"/>
            </w:tcMar>
            <w:vAlign w:val="center"/>
          </w:tcPr>
          <w:p w14:paraId="6C1FBD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0A0D94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104A9B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79EC3D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36DDC1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6AD565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28.4</w:t>
            </w:r>
          </w:p>
        </w:tc>
        <w:tc>
          <w:tcPr>
            <w:tcW w:w="495" w:type="dxa"/>
            <w:shd w:val="clear" w:color="auto" w:fill="auto"/>
            <w:tcMar>
              <w:top w:w="0" w:type="dxa"/>
              <w:left w:w="0" w:type="dxa"/>
              <w:bottom w:w="0" w:type="dxa"/>
              <w:right w:w="0" w:type="dxa"/>
            </w:tcMar>
            <w:vAlign w:val="center"/>
          </w:tcPr>
          <w:p w14:paraId="5870ED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28.5</w:t>
            </w:r>
          </w:p>
        </w:tc>
        <w:tc>
          <w:tcPr>
            <w:tcW w:w="435" w:type="dxa"/>
            <w:shd w:val="clear" w:color="auto" w:fill="auto"/>
            <w:tcMar>
              <w:top w:w="0" w:type="dxa"/>
              <w:left w:w="0" w:type="dxa"/>
              <w:bottom w:w="0" w:type="dxa"/>
              <w:right w:w="0" w:type="dxa"/>
            </w:tcMar>
            <w:vAlign w:val="center"/>
          </w:tcPr>
          <w:p w14:paraId="492B22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28.8</w:t>
            </w:r>
          </w:p>
        </w:tc>
        <w:tc>
          <w:tcPr>
            <w:tcW w:w="499" w:type="dxa"/>
            <w:shd w:val="clear" w:color="auto" w:fill="auto"/>
            <w:tcMar>
              <w:top w:w="0" w:type="dxa"/>
              <w:left w:w="0" w:type="dxa"/>
              <w:bottom w:w="0" w:type="dxa"/>
              <w:right w:w="0" w:type="dxa"/>
            </w:tcMar>
            <w:vAlign w:val="center"/>
          </w:tcPr>
          <w:p w14:paraId="1F3DCC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28.5</w:t>
            </w:r>
          </w:p>
        </w:tc>
        <w:tc>
          <w:tcPr>
            <w:tcW w:w="547" w:type="dxa"/>
            <w:shd w:val="clear" w:color="auto" w:fill="auto"/>
            <w:tcMar>
              <w:top w:w="0" w:type="dxa"/>
              <w:left w:w="0" w:type="dxa"/>
              <w:bottom w:w="0" w:type="dxa"/>
              <w:right w:w="0" w:type="dxa"/>
            </w:tcMar>
            <w:vAlign w:val="center"/>
          </w:tcPr>
          <w:p w14:paraId="6958C3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1FCC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3" w:type="dxa"/>
            <w:shd w:val="clear" w:color="auto" w:fill="auto"/>
            <w:tcMar>
              <w:top w:w="0" w:type="dxa"/>
              <w:left w:w="0" w:type="dxa"/>
              <w:bottom w:w="0" w:type="dxa"/>
              <w:right w:w="0" w:type="dxa"/>
            </w:tcMar>
            <w:vAlign w:val="center"/>
          </w:tcPr>
          <w:p w14:paraId="2E1FC5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058" w:type="dxa"/>
            <w:shd w:val="clear" w:color="auto" w:fill="auto"/>
            <w:tcMar>
              <w:top w:w="0" w:type="dxa"/>
              <w:left w:w="0" w:type="dxa"/>
              <w:bottom w:w="0" w:type="dxa"/>
              <w:right w:w="0" w:type="dxa"/>
            </w:tcMar>
            <w:vAlign w:val="center"/>
          </w:tcPr>
          <w:p w14:paraId="0B7D86F7">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 原料区-声屏障</w:t>
            </w:r>
          </w:p>
        </w:tc>
        <w:tc>
          <w:tcPr>
            <w:tcW w:w="1650" w:type="dxa"/>
            <w:shd w:val="clear" w:color="auto" w:fill="auto"/>
            <w:tcMar>
              <w:top w:w="0" w:type="dxa"/>
              <w:left w:w="0" w:type="dxa"/>
              <w:bottom w:w="0" w:type="dxa"/>
              <w:right w:w="0" w:type="dxa"/>
            </w:tcMar>
            <w:vAlign w:val="top"/>
          </w:tcPr>
          <w:p w14:paraId="0A304A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双齿辊式破碎机</w:t>
            </w:r>
          </w:p>
        </w:tc>
        <w:tc>
          <w:tcPr>
            <w:tcW w:w="655" w:type="dxa"/>
            <w:shd w:val="clear" w:color="auto" w:fill="auto"/>
            <w:tcMar>
              <w:top w:w="0" w:type="dxa"/>
              <w:left w:w="0" w:type="dxa"/>
              <w:bottom w:w="0" w:type="dxa"/>
              <w:right w:w="0" w:type="dxa"/>
            </w:tcMar>
            <w:vAlign w:val="center"/>
          </w:tcPr>
          <w:p w14:paraId="0D1168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w:t>
            </w:r>
          </w:p>
        </w:tc>
        <w:tc>
          <w:tcPr>
            <w:tcW w:w="612" w:type="dxa"/>
            <w:vMerge w:val="continue"/>
            <w:shd w:val="clear" w:color="auto" w:fill="auto"/>
            <w:tcMar>
              <w:top w:w="0" w:type="dxa"/>
              <w:left w:w="0" w:type="dxa"/>
              <w:bottom w:w="0" w:type="dxa"/>
              <w:right w:w="0" w:type="dxa"/>
            </w:tcMar>
            <w:vAlign w:val="center"/>
          </w:tcPr>
          <w:p w14:paraId="1DF8E4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7A7048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-43.4</w:t>
            </w:r>
          </w:p>
        </w:tc>
        <w:tc>
          <w:tcPr>
            <w:tcW w:w="455" w:type="dxa"/>
            <w:shd w:val="clear" w:color="auto" w:fill="auto"/>
            <w:tcMar>
              <w:top w:w="0" w:type="dxa"/>
              <w:left w:w="0" w:type="dxa"/>
              <w:bottom w:w="0" w:type="dxa"/>
              <w:right w:w="0" w:type="dxa"/>
            </w:tcMar>
            <w:vAlign w:val="center"/>
          </w:tcPr>
          <w:p w14:paraId="0EFAAB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91.2</w:t>
            </w:r>
          </w:p>
        </w:tc>
        <w:tc>
          <w:tcPr>
            <w:tcW w:w="403" w:type="dxa"/>
            <w:shd w:val="clear" w:color="auto" w:fill="auto"/>
            <w:tcMar>
              <w:top w:w="0" w:type="dxa"/>
              <w:left w:w="0" w:type="dxa"/>
              <w:bottom w:w="0" w:type="dxa"/>
              <w:right w:w="0" w:type="dxa"/>
            </w:tcMar>
            <w:vAlign w:val="center"/>
          </w:tcPr>
          <w:p w14:paraId="640E96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719D5D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186.8</w:t>
            </w:r>
          </w:p>
        </w:tc>
        <w:tc>
          <w:tcPr>
            <w:tcW w:w="393" w:type="dxa"/>
            <w:shd w:val="clear" w:color="auto" w:fill="auto"/>
            <w:tcMar>
              <w:top w:w="0" w:type="dxa"/>
              <w:left w:w="0" w:type="dxa"/>
              <w:bottom w:w="0" w:type="dxa"/>
              <w:right w:w="0" w:type="dxa"/>
            </w:tcMar>
            <w:vAlign w:val="center"/>
          </w:tcPr>
          <w:p w14:paraId="39BEB2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27.2</w:t>
            </w:r>
          </w:p>
        </w:tc>
        <w:tc>
          <w:tcPr>
            <w:tcW w:w="517" w:type="dxa"/>
            <w:shd w:val="clear" w:color="auto" w:fill="auto"/>
            <w:tcMar>
              <w:top w:w="0" w:type="dxa"/>
              <w:left w:w="0" w:type="dxa"/>
              <w:bottom w:w="0" w:type="dxa"/>
              <w:right w:w="0" w:type="dxa"/>
            </w:tcMar>
            <w:vAlign w:val="center"/>
          </w:tcPr>
          <w:p w14:paraId="582A6B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25.6</w:t>
            </w:r>
          </w:p>
        </w:tc>
        <w:tc>
          <w:tcPr>
            <w:tcW w:w="455" w:type="dxa"/>
            <w:shd w:val="clear" w:color="auto" w:fill="auto"/>
            <w:tcMar>
              <w:top w:w="0" w:type="dxa"/>
              <w:left w:w="0" w:type="dxa"/>
              <w:bottom w:w="0" w:type="dxa"/>
              <w:right w:w="0" w:type="dxa"/>
            </w:tcMar>
            <w:vAlign w:val="center"/>
          </w:tcPr>
          <w:p w14:paraId="299CEB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25.3</w:t>
            </w:r>
          </w:p>
        </w:tc>
        <w:tc>
          <w:tcPr>
            <w:tcW w:w="455" w:type="dxa"/>
            <w:shd w:val="clear" w:color="auto" w:fill="auto"/>
            <w:tcMar>
              <w:top w:w="0" w:type="dxa"/>
              <w:left w:w="0" w:type="dxa"/>
              <w:bottom w:w="0" w:type="dxa"/>
              <w:right w:w="0" w:type="dxa"/>
            </w:tcMar>
            <w:vAlign w:val="center"/>
          </w:tcPr>
          <w:p w14:paraId="40201B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69.9</w:t>
            </w:r>
          </w:p>
        </w:tc>
        <w:tc>
          <w:tcPr>
            <w:tcW w:w="455" w:type="dxa"/>
            <w:shd w:val="clear" w:color="auto" w:fill="auto"/>
            <w:tcMar>
              <w:top w:w="0" w:type="dxa"/>
              <w:left w:w="0" w:type="dxa"/>
              <w:bottom w:w="0" w:type="dxa"/>
              <w:right w:w="0" w:type="dxa"/>
            </w:tcMar>
            <w:vAlign w:val="center"/>
          </w:tcPr>
          <w:p w14:paraId="6B58C7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70.0</w:t>
            </w:r>
          </w:p>
        </w:tc>
        <w:tc>
          <w:tcPr>
            <w:tcW w:w="455" w:type="dxa"/>
            <w:shd w:val="clear" w:color="auto" w:fill="auto"/>
            <w:tcMar>
              <w:top w:w="0" w:type="dxa"/>
              <w:left w:w="0" w:type="dxa"/>
              <w:bottom w:w="0" w:type="dxa"/>
              <w:right w:w="0" w:type="dxa"/>
            </w:tcMar>
            <w:vAlign w:val="center"/>
          </w:tcPr>
          <w:p w14:paraId="4AC49B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70.0</w:t>
            </w:r>
          </w:p>
        </w:tc>
        <w:tc>
          <w:tcPr>
            <w:tcW w:w="455" w:type="dxa"/>
            <w:shd w:val="clear" w:color="auto" w:fill="auto"/>
            <w:tcMar>
              <w:top w:w="0" w:type="dxa"/>
              <w:left w:w="0" w:type="dxa"/>
              <w:bottom w:w="0" w:type="dxa"/>
              <w:right w:w="0" w:type="dxa"/>
            </w:tcMar>
            <w:vAlign w:val="center"/>
          </w:tcPr>
          <w:p w14:paraId="49E365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70.0</w:t>
            </w:r>
          </w:p>
        </w:tc>
        <w:tc>
          <w:tcPr>
            <w:tcW w:w="455" w:type="dxa"/>
            <w:vMerge w:val="continue"/>
            <w:shd w:val="clear" w:color="auto" w:fill="auto"/>
            <w:tcMar>
              <w:top w:w="0" w:type="dxa"/>
              <w:left w:w="0" w:type="dxa"/>
              <w:bottom w:w="0" w:type="dxa"/>
              <w:right w:w="0" w:type="dxa"/>
            </w:tcMar>
            <w:vAlign w:val="center"/>
          </w:tcPr>
          <w:p w14:paraId="2B4491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63BD32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4E1178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62A772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241FD8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72F0F7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43.4</w:t>
            </w:r>
          </w:p>
        </w:tc>
        <w:tc>
          <w:tcPr>
            <w:tcW w:w="495" w:type="dxa"/>
            <w:shd w:val="clear" w:color="auto" w:fill="auto"/>
            <w:tcMar>
              <w:top w:w="0" w:type="dxa"/>
              <w:left w:w="0" w:type="dxa"/>
              <w:bottom w:w="0" w:type="dxa"/>
              <w:right w:w="0" w:type="dxa"/>
            </w:tcMar>
            <w:vAlign w:val="center"/>
          </w:tcPr>
          <w:p w14:paraId="031DBB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43.5</w:t>
            </w:r>
          </w:p>
        </w:tc>
        <w:tc>
          <w:tcPr>
            <w:tcW w:w="435" w:type="dxa"/>
            <w:shd w:val="clear" w:color="auto" w:fill="auto"/>
            <w:tcMar>
              <w:top w:w="0" w:type="dxa"/>
              <w:left w:w="0" w:type="dxa"/>
              <w:bottom w:w="0" w:type="dxa"/>
              <w:right w:w="0" w:type="dxa"/>
            </w:tcMar>
            <w:vAlign w:val="center"/>
          </w:tcPr>
          <w:p w14:paraId="48D859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43.5</w:t>
            </w:r>
          </w:p>
        </w:tc>
        <w:tc>
          <w:tcPr>
            <w:tcW w:w="499" w:type="dxa"/>
            <w:shd w:val="clear" w:color="auto" w:fill="auto"/>
            <w:tcMar>
              <w:top w:w="0" w:type="dxa"/>
              <w:left w:w="0" w:type="dxa"/>
              <w:bottom w:w="0" w:type="dxa"/>
              <w:right w:w="0" w:type="dxa"/>
            </w:tcMar>
            <w:vAlign w:val="center"/>
          </w:tcPr>
          <w:p w14:paraId="435434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43.5</w:t>
            </w:r>
          </w:p>
        </w:tc>
        <w:tc>
          <w:tcPr>
            <w:tcW w:w="547" w:type="dxa"/>
            <w:shd w:val="clear" w:color="auto" w:fill="auto"/>
            <w:tcMar>
              <w:top w:w="0" w:type="dxa"/>
              <w:left w:w="0" w:type="dxa"/>
              <w:bottom w:w="0" w:type="dxa"/>
              <w:right w:w="0" w:type="dxa"/>
            </w:tcMar>
            <w:vAlign w:val="center"/>
          </w:tcPr>
          <w:p w14:paraId="4D82D7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438F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645286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058" w:type="dxa"/>
            <w:shd w:val="clear" w:color="auto" w:fill="auto"/>
            <w:tcMar>
              <w:top w:w="0" w:type="dxa"/>
              <w:left w:w="0" w:type="dxa"/>
              <w:bottom w:w="0" w:type="dxa"/>
              <w:right w:w="0" w:type="dxa"/>
            </w:tcMar>
            <w:vAlign w:val="center"/>
          </w:tcPr>
          <w:p w14:paraId="22A273E2">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 原料区-声屏障</w:t>
            </w:r>
          </w:p>
        </w:tc>
        <w:tc>
          <w:tcPr>
            <w:tcW w:w="1650" w:type="dxa"/>
            <w:shd w:val="clear" w:color="auto" w:fill="auto"/>
            <w:tcMar>
              <w:top w:w="0" w:type="dxa"/>
              <w:left w:w="0" w:type="dxa"/>
              <w:bottom w:w="0" w:type="dxa"/>
              <w:right w:w="0" w:type="dxa"/>
            </w:tcMar>
            <w:vAlign w:val="top"/>
          </w:tcPr>
          <w:p w14:paraId="0FD319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侧式悬臂堆料机</w:t>
            </w:r>
          </w:p>
        </w:tc>
        <w:tc>
          <w:tcPr>
            <w:tcW w:w="655" w:type="dxa"/>
            <w:shd w:val="clear" w:color="auto" w:fill="auto"/>
            <w:tcMar>
              <w:top w:w="0" w:type="dxa"/>
              <w:left w:w="0" w:type="dxa"/>
              <w:bottom w:w="0" w:type="dxa"/>
              <w:right w:w="0" w:type="dxa"/>
            </w:tcMar>
            <w:vAlign w:val="center"/>
          </w:tcPr>
          <w:p w14:paraId="5BDEF4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612" w:type="dxa"/>
            <w:vMerge w:val="continue"/>
            <w:shd w:val="clear" w:color="auto" w:fill="auto"/>
            <w:tcMar>
              <w:top w:w="0" w:type="dxa"/>
              <w:left w:w="0" w:type="dxa"/>
              <w:bottom w:w="0" w:type="dxa"/>
              <w:right w:w="0" w:type="dxa"/>
            </w:tcMar>
            <w:vAlign w:val="center"/>
          </w:tcPr>
          <w:p w14:paraId="14CA81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4779BC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w:t>
            </w:r>
          </w:p>
        </w:tc>
        <w:tc>
          <w:tcPr>
            <w:tcW w:w="455" w:type="dxa"/>
            <w:shd w:val="clear" w:color="auto" w:fill="auto"/>
            <w:tcMar>
              <w:top w:w="0" w:type="dxa"/>
              <w:left w:w="0" w:type="dxa"/>
              <w:bottom w:w="0" w:type="dxa"/>
              <w:right w:w="0" w:type="dxa"/>
            </w:tcMar>
            <w:vAlign w:val="center"/>
          </w:tcPr>
          <w:p w14:paraId="0BFC2A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82.8</w:t>
            </w:r>
          </w:p>
        </w:tc>
        <w:tc>
          <w:tcPr>
            <w:tcW w:w="403" w:type="dxa"/>
            <w:shd w:val="clear" w:color="auto" w:fill="auto"/>
            <w:tcMar>
              <w:top w:w="0" w:type="dxa"/>
              <w:left w:w="0" w:type="dxa"/>
              <w:bottom w:w="0" w:type="dxa"/>
              <w:right w:w="0" w:type="dxa"/>
            </w:tcMar>
            <w:vAlign w:val="center"/>
          </w:tcPr>
          <w:p w14:paraId="136867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56EF70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147.9</w:t>
            </w:r>
          </w:p>
        </w:tc>
        <w:tc>
          <w:tcPr>
            <w:tcW w:w="393" w:type="dxa"/>
            <w:shd w:val="clear" w:color="auto" w:fill="auto"/>
            <w:tcMar>
              <w:top w:w="0" w:type="dxa"/>
              <w:left w:w="0" w:type="dxa"/>
              <w:bottom w:w="0" w:type="dxa"/>
              <w:right w:w="0" w:type="dxa"/>
            </w:tcMar>
            <w:vAlign w:val="center"/>
          </w:tcPr>
          <w:p w14:paraId="6C9602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28.2</w:t>
            </w:r>
          </w:p>
        </w:tc>
        <w:tc>
          <w:tcPr>
            <w:tcW w:w="517" w:type="dxa"/>
            <w:shd w:val="clear" w:color="auto" w:fill="auto"/>
            <w:tcMar>
              <w:top w:w="0" w:type="dxa"/>
              <w:left w:w="0" w:type="dxa"/>
              <w:bottom w:w="0" w:type="dxa"/>
              <w:right w:w="0" w:type="dxa"/>
            </w:tcMar>
            <w:vAlign w:val="center"/>
          </w:tcPr>
          <w:p w14:paraId="43253B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64.3</w:t>
            </w:r>
          </w:p>
        </w:tc>
        <w:tc>
          <w:tcPr>
            <w:tcW w:w="455" w:type="dxa"/>
            <w:shd w:val="clear" w:color="auto" w:fill="auto"/>
            <w:tcMar>
              <w:top w:w="0" w:type="dxa"/>
              <w:left w:w="0" w:type="dxa"/>
              <w:bottom w:w="0" w:type="dxa"/>
              <w:right w:w="0" w:type="dxa"/>
            </w:tcMar>
            <w:vAlign w:val="center"/>
          </w:tcPr>
          <w:p w14:paraId="4873EA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24.0</w:t>
            </w:r>
          </w:p>
        </w:tc>
        <w:tc>
          <w:tcPr>
            <w:tcW w:w="455" w:type="dxa"/>
            <w:shd w:val="clear" w:color="auto" w:fill="auto"/>
            <w:tcMar>
              <w:top w:w="0" w:type="dxa"/>
              <w:left w:w="0" w:type="dxa"/>
              <w:bottom w:w="0" w:type="dxa"/>
              <w:right w:w="0" w:type="dxa"/>
            </w:tcMar>
            <w:vAlign w:val="center"/>
          </w:tcPr>
          <w:p w14:paraId="73C39D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59.9</w:t>
            </w:r>
          </w:p>
        </w:tc>
        <w:tc>
          <w:tcPr>
            <w:tcW w:w="455" w:type="dxa"/>
            <w:shd w:val="clear" w:color="auto" w:fill="auto"/>
            <w:tcMar>
              <w:top w:w="0" w:type="dxa"/>
              <w:left w:w="0" w:type="dxa"/>
              <w:bottom w:w="0" w:type="dxa"/>
              <w:right w:w="0" w:type="dxa"/>
            </w:tcMar>
            <w:vAlign w:val="center"/>
          </w:tcPr>
          <w:p w14:paraId="027DD2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w:t>
            </w:r>
          </w:p>
        </w:tc>
        <w:tc>
          <w:tcPr>
            <w:tcW w:w="455" w:type="dxa"/>
            <w:shd w:val="clear" w:color="auto" w:fill="auto"/>
            <w:tcMar>
              <w:top w:w="0" w:type="dxa"/>
              <w:left w:w="0" w:type="dxa"/>
              <w:bottom w:w="0" w:type="dxa"/>
              <w:right w:w="0" w:type="dxa"/>
            </w:tcMar>
            <w:vAlign w:val="center"/>
          </w:tcPr>
          <w:p w14:paraId="0EAE0E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59.9</w:t>
            </w:r>
          </w:p>
        </w:tc>
        <w:tc>
          <w:tcPr>
            <w:tcW w:w="455" w:type="dxa"/>
            <w:shd w:val="clear" w:color="auto" w:fill="auto"/>
            <w:tcMar>
              <w:top w:w="0" w:type="dxa"/>
              <w:left w:w="0" w:type="dxa"/>
              <w:bottom w:w="0" w:type="dxa"/>
              <w:right w:w="0" w:type="dxa"/>
            </w:tcMar>
            <w:vAlign w:val="center"/>
          </w:tcPr>
          <w:p w14:paraId="3A8EB8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w:t>
            </w:r>
          </w:p>
        </w:tc>
        <w:tc>
          <w:tcPr>
            <w:tcW w:w="455" w:type="dxa"/>
            <w:vMerge w:val="continue"/>
            <w:shd w:val="clear" w:color="auto" w:fill="auto"/>
            <w:tcMar>
              <w:top w:w="0" w:type="dxa"/>
              <w:left w:w="0" w:type="dxa"/>
              <w:bottom w:w="0" w:type="dxa"/>
              <w:right w:w="0" w:type="dxa"/>
            </w:tcMar>
            <w:vAlign w:val="center"/>
          </w:tcPr>
          <w:p w14:paraId="168A28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03AAEF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1070DE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122A36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30A7BF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01113B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33.4</w:t>
            </w:r>
          </w:p>
        </w:tc>
        <w:tc>
          <w:tcPr>
            <w:tcW w:w="495" w:type="dxa"/>
            <w:shd w:val="clear" w:color="auto" w:fill="auto"/>
            <w:tcMar>
              <w:top w:w="0" w:type="dxa"/>
              <w:left w:w="0" w:type="dxa"/>
              <w:bottom w:w="0" w:type="dxa"/>
              <w:right w:w="0" w:type="dxa"/>
            </w:tcMar>
            <w:vAlign w:val="center"/>
          </w:tcPr>
          <w:p w14:paraId="04F0EA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33.5</w:t>
            </w:r>
          </w:p>
        </w:tc>
        <w:tc>
          <w:tcPr>
            <w:tcW w:w="435" w:type="dxa"/>
            <w:shd w:val="clear" w:color="auto" w:fill="auto"/>
            <w:tcMar>
              <w:top w:w="0" w:type="dxa"/>
              <w:left w:w="0" w:type="dxa"/>
              <w:bottom w:w="0" w:type="dxa"/>
              <w:right w:w="0" w:type="dxa"/>
            </w:tcMar>
            <w:vAlign w:val="center"/>
          </w:tcPr>
          <w:p w14:paraId="3C1089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33.4</w:t>
            </w:r>
          </w:p>
        </w:tc>
        <w:tc>
          <w:tcPr>
            <w:tcW w:w="499" w:type="dxa"/>
            <w:shd w:val="clear" w:color="auto" w:fill="auto"/>
            <w:tcMar>
              <w:top w:w="0" w:type="dxa"/>
              <w:left w:w="0" w:type="dxa"/>
              <w:bottom w:w="0" w:type="dxa"/>
              <w:right w:w="0" w:type="dxa"/>
            </w:tcMar>
            <w:vAlign w:val="center"/>
          </w:tcPr>
          <w:p w14:paraId="463D5F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33.5</w:t>
            </w:r>
          </w:p>
        </w:tc>
        <w:tc>
          <w:tcPr>
            <w:tcW w:w="547" w:type="dxa"/>
            <w:shd w:val="clear" w:color="auto" w:fill="auto"/>
            <w:tcMar>
              <w:top w:w="0" w:type="dxa"/>
              <w:left w:w="0" w:type="dxa"/>
              <w:bottom w:w="0" w:type="dxa"/>
              <w:right w:w="0" w:type="dxa"/>
            </w:tcMar>
            <w:vAlign w:val="center"/>
          </w:tcPr>
          <w:p w14:paraId="6640F9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3B6A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459E8D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058" w:type="dxa"/>
            <w:shd w:val="clear" w:color="auto" w:fill="auto"/>
            <w:tcMar>
              <w:top w:w="0" w:type="dxa"/>
              <w:left w:w="0" w:type="dxa"/>
              <w:bottom w:w="0" w:type="dxa"/>
              <w:right w:w="0" w:type="dxa"/>
            </w:tcMar>
            <w:vAlign w:val="center"/>
          </w:tcPr>
          <w:p w14:paraId="7E080056">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 原料区-声屏障</w:t>
            </w:r>
          </w:p>
        </w:tc>
        <w:tc>
          <w:tcPr>
            <w:tcW w:w="1650" w:type="dxa"/>
            <w:shd w:val="clear" w:color="auto" w:fill="auto"/>
            <w:tcMar>
              <w:top w:w="0" w:type="dxa"/>
              <w:left w:w="0" w:type="dxa"/>
              <w:bottom w:w="0" w:type="dxa"/>
              <w:right w:w="0" w:type="dxa"/>
            </w:tcMar>
            <w:vAlign w:val="top"/>
          </w:tcPr>
          <w:p w14:paraId="04EECB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桥式刮板取料机</w:t>
            </w:r>
          </w:p>
        </w:tc>
        <w:tc>
          <w:tcPr>
            <w:tcW w:w="655" w:type="dxa"/>
            <w:shd w:val="clear" w:color="auto" w:fill="auto"/>
            <w:tcMar>
              <w:top w:w="0" w:type="dxa"/>
              <w:left w:w="0" w:type="dxa"/>
              <w:bottom w:w="0" w:type="dxa"/>
              <w:right w:w="0" w:type="dxa"/>
            </w:tcMar>
            <w:vAlign w:val="center"/>
          </w:tcPr>
          <w:p w14:paraId="76EDA1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612" w:type="dxa"/>
            <w:vMerge w:val="continue"/>
            <w:shd w:val="clear" w:color="auto" w:fill="auto"/>
            <w:tcMar>
              <w:top w:w="0" w:type="dxa"/>
              <w:left w:w="0" w:type="dxa"/>
              <w:bottom w:w="0" w:type="dxa"/>
              <w:right w:w="0" w:type="dxa"/>
            </w:tcMar>
            <w:vAlign w:val="center"/>
          </w:tcPr>
          <w:p w14:paraId="55CF08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6465C8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72.7</w:t>
            </w:r>
          </w:p>
        </w:tc>
        <w:tc>
          <w:tcPr>
            <w:tcW w:w="455" w:type="dxa"/>
            <w:shd w:val="clear" w:color="auto" w:fill="auto"/>
            <w:tcMar>
              <w:top w:w="0" w:type="dxa"/>
              <w:left w:w="0" w:type="dxa"/>
              <w:bottom w:w="0" w:type="dxa"/>
              <w:right w:w="0" w:type="dxa"/>
            </w:tcMar>
            <w:vAlign w:val="center"/>
          </w:tcPr>
          <w:p w14:paraId="27ADCE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63.2</w:t>
            </w:r>
          </w:p>
        </w:tc>
        <w:tc>
          <w:tcPr>
            <w:tcW w:w="403" w:type="dxa"/>
            <w:shd w:val="clear" w:color="auto" w:fill="auto"/>
            <w:tcMar>
              <w:top w:w="0" w:type="dxa"/>
              <w:left w:w="0" w:type="dxa"/>
              <w:bottom w:w="0" w:type="dxa"/>
              <w:right w:w="0" w:type="dxa"/>
            </w:tcMar>
            <w:vAlign w:val="center"/>
          </w:tcPr>
          <w:p w14:paraId="34BB4F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5DAFF2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67.5</w:t>
            </w:r>
          </w:p>
        </w:tc>
        <w:tc>
          <w:tcPr>
            <w:tcW w:w="393" w:type="dxa"/>
            <w:shd w:val="clear" w:color="auto" w:fill="auto"/>
            <w:tcMar>
              <w:top w:w="0" w:type="dxa"/>
              <w:left w:w="0" w:type="dxa"/>
              <w:bottom w:w="0" w:type="dxa"/>
              <w:right w:w="0" w:type="dxa"/>
            </w:tcMar>
            <w:vAlign w:val="center"/>
          </w:tcPr>
          <w:p w14:paraId="4F2343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28.0</w:t>
            </w:r>
          </w:p>
        </w:tc>
        <w:tc>
          <w:tcPr>
            <w:tcW w:w="517" w:type="dxa"/>
            <w:shd w:val="clear" w:color="auto" w:fill="auto"/>
            <w:tcMar>
              <w:top w:w="0" w:type="dxa"/>
              <w:left w:w="0" w:type="dxa"/>
              <w:bottom w:w="0" w:type="dxa"/>
              <w:right w:w="0" w:type="dxa"/>
            </w:tcMar>
            <w:vAlign w:val="center"/>
          </w:tcPr>
          <w:p w14:paraId="41E349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144.0</w:t>
            </w:r>
          </w:p>
        </w:tc>
        <w:tc>
          <w:tcPr>
            <w:tcW w:w="455" w:type="dxa"/>
            <w:shd w:val="clear" w:color="auto" w:fill="auto"/>
            <w:tcMar>
              <w:top w:w="0" w:type="dxa"/>
              <w:left w:w="0" w:type="dxa"/>
              <w:bottom w:w="0" w:type="dxa"/>
              <w:right w:w="0" w:type="dxa"/>
            </w:tcMar>
            <w:vAlign w:val="center"/>
          </w:tcPr>
          <w:p w14:paraId="080491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23.6</w:t>
            </w:r>
          </w:p>
        </w:tc>
        <w:tc>
          <w:tcPr>
            <w:tcW w:w="455" w:type="dxa"/>
            <w:shd w:val="clear" w:color="auto" w:fill="auto"/>
            <w:tcMar>
              <w:top w:w="0" w:type="dxa"/>
              <w:left w:w="0" w:type="dxa"/>
              <w:bottom w:w="0" w:type="dxa"/>
              <w:right w:w="0" w:type="dxa"/>
            </w:tcMar>
            <w:vAlign w:val="center"/>
          </w:tcPr>
          <w:p w14:paraId="6B5841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59.9</w:t>
            </w:r>
          </w:p>
        </w:tc>
        <w:tc>
          <w:tcPr>
            <w:tcW w:w="455" w:type="dxa"/>
            <w:shd w:val="clear" w:color="auto" w:fill="auto"/>
            <w:tcMar>
              <w:top w:w="0" w:type="dxa"/>
              <w:left w:w="0" w:type="dxa"/>
              <w:bottom w:w="0" w:type="dxa"/>
              <w:right w:w="0" w:type="dxa"/>
            </w:tcMar>
            <w:vAlign w:val="center"/>
          </w:tcPr>
          <w:p w14:paraId="232F2D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w:t>
            </w:r>
          </w:p>
        </w:tc>
        <w:tc>
          <w:tcPr>
            <w:tcW w:w="455" w:type="dxa"/>
            <w:shd w:val="clear" w:color="auto" w:fill="auto"/>
            <w:tcMar>
              <w:top w:w="0" w:type="dxa"/>
              <w:left w:w="0" w:type="dxa"/>
              <w:bottom w:w="0" w:type="dxa"/>
              <w:right w:w="0" w:type="dxa"/>
            </w:tcMar>
            <w:vAlign w:val="center"/>
          </w:tcPr>
          <w:p w14:paraId="1E5939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59.9</w:t>
            </w:r>
          </w:p>
        </w:tc>
        <w:tc>
          <w:tcPr>
            <w:tcW w:w="455" w:type="dxa"/>
            <w:shd w:val="clear" w:color="auto" w:fill="auto"/>
            <w:tcMar>
              <w:top w:w="0" w:type="dxa"/>
              <w:left w:w="0" w:type="dxa"/>
              <w:bottom w:w="0" w:type="dxa"/>
              <w:right w:w="0" w:type="dxa"/>
            </w:tcMar>
            <w:vAlign w:val="center"/>
          </w:tcPr>
          <w:p w14:paraId="609011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w:t>
            </w:r>
          </w:p>
        </w:tc>
        <w:tc>
          <w:tcPr>
            <w:tcW w:w="455" w:type="dxa"/>
            <w:vMerge w:val="continue"/>
            <w:shd w:val="clear" w:color="auto" w:fill="auto"/>
            <w:tcMar>
              <w:top w:w="0" w:type="dxa"/>
              <w:left w:w="0" w:type="dxa"/>
              <w:bottom w:w="0" w:type="dxa"/>
              <w:right w:w="0" w:type="dxa"/>
            </w:tcMar>
            <w:vAlign w:val="center"/>
          </w:tcPr>
          <w:p w14:paraId="38D0DC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3EF472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643637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1D3933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02DD75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18F521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33.4</w:t>
            </w:r>
          </w:p>
        </w:tc>
        <w:tc>
          <w:tcPr>
            <w:tcW w:w="495" w:type="dxa"/>
            <w:shd w:val="clear" w:color="auto" w:fill="auto"/>
            <w:tcMar>
              <w:top w:w="0" w:type="dxa"/>
              <w:left w:w="0" w:type="dxa"/>
              <w:bottom w:w="0" w:type="dxa"/>
              <w:right w:w="0" w:type="dxa"/>
            </w:tcMar>
            <w:vAlign w:val="center"/>
          </w:tcPr>
          <w:p w14:paraId="5046B0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33.5</w:t>
            </w:r>
          </w:p>
        </w:tc>
        <w:tc>
          <w:tcPr>
            <w:tcW w:w="435" w:type="dxa"/>
            <w:shd w:val="clear" w:color="auto" w:fill="auto"/>
            <w:tcMar>
              <w:top w:w="0" w:type="dxa"/>
              <w:left w:w="0" w:type="dxa"/>
              <w:bottom w:w="0" w:type="dxa"/>
              <w:right w:w="0" w:type="dxa"/>
            </w:tcMar>
            <w:vAlign w:val="center"/>
          </w:tcPr>
          <w:p w14:paraId="4DBA12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33.4</w:t>
            </w:r>
          </w:p>
        </w:tc>
        <w:tc>
          <w:tcPr>
            <w:tcW w:w="499" w:type="dxa"/>
            <w:shd w:val="clear" w:color="auto" w:fill="auto"/>
            <w:tcMar>
              <w:top w:w="0" w:type="dxa"/>
              <w:left w:w="0" w:type="dxa"/>
              <w:bottom w:w="0" w:type="dxa"/>
              <w:right w:w="0" w:type="dxa"/>
            </w:tcMar>
            <w:vAlign w:val="center"/>
          </w:tcPr>
          <w:p w14:paraId="5EDB8B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33.5</w:t>
            </w:r>
          </w:p>
        </w:tc>
        <w:tc>
          <w:tcPr>
            <w:tcW w:w="547" w:type="dxa"/>
            <w:shd w:val="clear" w:color="auto" w:fill="auto"/>
            <w:tcMar>
              <w:top w:w="0" w:type="dxa"/>
              <w:left w:w="0" w:type="dxa"/>
              <w:bottom w:w="0" w:type="dxa"/>
              <w:right w:w="0" w:type="dxa"/>
            </w:tcMar>
            <w:vAlign w:val="center"/>
          </w:tcPr>
          <w:p w14:paraId="7BA30E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6E22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43AB45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058" w:type="dxa"/>
            <w:shd w:val="clear" w:color="auto" w:fill="auto"/>
            <w:tcMar>
              <w:top w:w="0" w:type="dxa"/>
              <w:left w:w="0" w:type="dxa"/>
              <w:bottom w:w="0" w:type="dxa"/>
              <w:right w:w="0" w:type="dxa"/>
            </w:tcMar>
            <w:vAlign w:val="center"/>
          </w:tcPr>
          <w:p w14:paraId="513A3601">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 原料区-声屏障</w:t>
            </w:r>
          </w:p>
        </w:tc>
        <w:tc>
          <w:tcPr>
            <w:tcW w:w="1650" w:type="dxa"/>
            <w:shd w:val="clear" w:color="auto" w:fill="auto"/>
            <w:tcMar>
              <w:top w:w="0" w:type="dxa"/>
              <w:left w:w="0" w:type="dxa"/>
              <w:bottom w:w="0" w:type="dxa"/>
              <w:right w:w="0" w:type="dxa"/>
            </w:tcMar>
            <w:vAlign w:val="center"/>
          </w:tcPr>
          <w:p w14:paraId="1FAA036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胶带输送机</w:t>
            </w:r>
            <w:r>
              <w:rPr>
                <w:rFonts w:hint="eastAsia" w:ascii="Times New Roman" w:hAnsi="Times New Roman" w:eastAsia="宋体" w:cs="Times New Roman"/>
                <w:color w:val="auto"/>
                <w:sz w:val="21"/>
                <w:szCs w:val="21"/>
                <w:highlight w:val="none"/>
                <w:lang w:val="en-US" w:eastAsia="zh-CN"/>
              </w:rPr>
              <w:t>1</w:t>
            </w:r>
          </w:p>
        </w:tc>
        <w:tc>
          <w:tcPr>
            <w:tcW w:w="655" w:type="dxa"/>
            <w:shd w:val="clear" w:color="auto" w:fill="auto"/>
            <w:tcMar>
              <w:top w:w="0" w:type="dxa"/>
              <w:left w:w="0" w:type="dxa"/>
              <w:bottom w:w="0" w:type="dxa"/>
              <w:right w:w="0" w:type="dxa"/>
            </w:tcMar>
            <w:vAlign w:val="center"/>
          </w:tcPr>
          <w:p w14:paraId="18F821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5DFBF7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37B894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43.1</w:t>
            </w:r>
          </w:p>
        </w:tc>
        <w:tc>
          <w:tcPr>
            <w:tcW w:w="455" w:type="dxa"/>
            <w:shd w:val="clear" w:color="auto" w:fill="auto"/>
            <w:tcMar>
              <w:top w:w="0" w:type="dxa"/>
              <w:left w:w="0" w:type="dxa"/>
              <w:bottom w:w="0" w:type="dxa"/>
              <w:right w:w="0" w:type="dxa"/>
            </w:tcMar>
            <w:vAlign w:val="center"/>
          </w:tcPr>
          <w:p w14:paraId="050079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71.5</w:t>
            </w:r>
          </w:p>
        </w:tc>
        <w:tc>
          <w:tcPr>
            <w:tcW w:w="403" w:type="dxa"/>
            <w:shd w:val="clear" w:color="auto" w:fill="auto"/>
            <w:tcMar>
              <w:top w:w="0" w:type="dxa"/>
              <w:left w:w="0" w:type="dxa"/>
              <w:bottom w:w="0" w:type="dxa"/>
              <w:right w:w="0" w:type="dxa"/>
            </w:tcMar>
            <w:vAlign w:val="center"/>
          </w:tcPr>
          <w:p w14:paraId="51541E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26A502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98.1</w:t>
            </w:r>
          </w:p>
        </w:tc>
        <w:tc>
          <w:tcPr>
            <w:tcW w:w="393" w:type="dxa"/>
            <w:shd w:val="clear" w:color="auto" w:fill="auto"/>
            <w:tcMar>
              <w:top w:w="0" w:type="dxa"/>
              <w:left w:w="0" w:type="dxa"/>
              <w:bottom w:w="0" w:type="dxa"/>
              <w:right w:w="0" w:type="dxa"/>
            </w:tcMar>
            <w:vAlign w:val="center"/>
          </w:tcPr>
          <w:p w14:paraId="69D177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28.9</w:t>
            </w:r>
          </w:p>
        </w:tc>
        <w:tc>
          <w:tcPr>
            <w:tcW w:w="517" w:type="dxa"/>
            <w:shd w:val="clear" w:color="auto" w:fill="auto"/>
            <w:tcMar>
              <w:top w:w="0" w:type="dxa"/>
              <w:left w:w="0" w:type="dxa"/>
              <w:bottom w:w="0" w:type="dxa"/>
              <w:right w:w="0" w:type="dxa"/>
            </w:tcMar>
            <w:vAlign w:val="center"/>
          </w:tcPr>
          <w:p w14:paraId="67FB9F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113.7</w:t>
            </w:r>
          </w:p>
        </w:tc>
        <w:tc>
          <w:tcPr>
            <w:tcW w:w="455" w:type="dxa"/>
            <w:shd w:val="clear" w:color="auto" w:fill="auto"/>
            <w:tcMar>
              <w:top w:w="0" w:type="dxa"/>
              <w:left w:w="0" w:type="dxa"/>
              <w:bottom w:w="0" w:type="dxa"/>
              <w:right w:w="0" w:type="dxa"/>
            </w:tcMar>
            <w:vAlign w:val="center"/>
          </w:tcPr>
          <w:p w14:paraId="335C84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22.9</w:t>
            </w:r>
          </w:p>
        </w:tc>
        <w:tc>
          <w:tcPr>
            <w:tcW w:w="455" w:type="dxa"/>
            <w:shd w:val="clear" w:color="auto" w:fill="auto"/>
            <w:tcMar>
              <w:top w:w="0" w:type="dxa"/>
              <w:left w:w="0" w:type="dxa"/>
              <w:bottom w:w="0" w:type="dxa"/>
              <w:right w:w="0" w:type="dxa"/>
            </w:tcMar>
            <w:vAlign w:val="center"/>
          </w:tcPr>
          <w:p w14:paraId="6DA9BC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54.9</w:t>
            </w:r>
          </w:p>
        </w:tc>
        <w:tc>
          <w:tcPr>
            <w:tcW w:w="455" w:type="dxa"/>
            <w:shd w:val="clear" w:color="auto" w:fill="auto"/>
            <w:tcMar>
              <w:top w:w="0" w:type="dxa"/>
              <w:left w:w="0" w:type="dxa"/>
              <w:bottom w:w="0" w:type="dxa"/>
              <w:right w:w="0" w:type="dxa"/>
            </w:tcMar>
            <w:vAlign w:val="center"/>
          </w:tcPr>
          <w:p w14:paraId="6D53D1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55.0</w:t>
            </w:r>
          </w:p>
        </w:tc>
        <w:tc>
          <w:tcPr>
            <w:tcW w:w="455" w:type="dxa"/>
            <w:shd w:val="clear" w:color="auto" w:fill="auto"/>
            <w:tcMar>
              <w:top w:w="0" w:type="dxa"/>
              <w:left w:w="0" w:type="dxa"/>
              <w:bottom w:w="0" w:type="dxa"/>
              <w:right w:w="0" w:type="dxa"/>
            </w:tcMar>
            <w:vAlign w:val="center"/>
          </w:tcPr>
          <w:p w14:paraId="080BAA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54.9</w:t>
            </w:r>
          </w:p>
        </w:tc>
        <w:tc>
          <w:tcPr>
            <w:tcW w:w="455" w:type="dxa"/>
            <w:shd w:val="clear" w:color="auto" w:fill="auto"/>
            <w:tcMar>
              <w:top w:w="0" w:type="dxa"/>
              <w:left w:w="0" w:type="dxa"/>
              <w:bottom w:w="0" w:type="dxa"/>
              <w:right w:w="0" w:type="dxa"/>
            </w:tcMar>
            <w:vAlign w:val="center"/>
          </w:tcPr>
          <w:p w14:paraId="5EFE7F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55.0</w:t>
            </w:r>
          </w:p>
        </w:tc>
        <w:tc>
          <w:tcPr>
            <w:tcW w:w="455" w:type="dxa"/>
            <w:vMerge w:val="continue"/>
            <w:shd w:val="clear" w:color="auto" w:fill="auto"/>
            <w:tcMar>
              <w:top w:w="0" w:type="dxa"/>
              <w:left w:w="0" w:type="dxa"/>
              <w:bottom w:w="0" w:type="dxa"/>
              <w:right w:w="0" w:type="dxa"/>
            </w:tcMar>
            <w:vAlign w:val="center"/>
          </w:tcPr>
          <w:p w14:paraId="606E64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1E563F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04E85A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0234F0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616324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0B3949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28.4</w:t>
            </w:r>
          </w:p>
        </w:tc>
        <w:tc>
          <w:tcPr>
            <w:tcW w:w="495" w:type="dxa"/>
            <w:shd w:val="clear" w:color="auto" w:fill="auto"/>
            <w:tcMar>
              <w:top w:w="0" w:type="dxa"/>
              <w:left w:w="0" w:type="dxa"/>
              <w:bottom w:w="0" w:type="dxa"/>
              <w:right w:w="0" w:type="dxa"/>
            </w:tcMar>
            <w:vAlign w:val="center"/>
          </w:tcPr>
          <w:p w14:paraId="5BC26C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28.5</w:t>
            </w:r>
          </w:p>
        </w:tc>
        <w:tc>
          <w:tcPr>
            <w:tcW w:w="435" w:type="dxa"/>
            <w:shd w:val="clear" w:color="auto" w:fill="auto"/>
            <w:tcMar>
              <w:top w:w="0" w:type="dxa"/>
              <w:left w:w="0" w:type="dxa"/>
              <w:bottom w:w="0" w:type="dxa"/>
              <w:right w:w="0" w:type="dxa"/>
            </w:tcMar>
            <w:vAlign w:val="center"/>
          </w:tcPr>
          <w:p w14:paraId="2386ED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28.4</w:t>
            </w:r>
          </w:p>
        </w:tc>
        <w:tc>
          <w:tcPr>
            <w:tcW w:w="499" w:type="dxa"/>
            <w:shd w:val="clear" w:color="auto" w:fill="auto"/>
            <w:tcMar>
              <w:top w:w="0" w:type="dxa"/>
              <w:left w:w="0" w:type="dxa"/>
              <w:bottom w:w="0" w:type="dxa"/>
              <w:right w:w="0" w:type="dxa"/>
            </w:tcMar>
            <w:vAlign w:val="center"/>
          </w:tcPr>
          <w:p w14:paraId="229E29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28.5</w:t>
            </w:r>
          </w:p>
        </w:tc>
        <w:tc>
          <w:tcPr>
            <w:tcW w:w="547" w:type="dxa"/>
            <w:shd w:val="clear" w:color="auto" w:fill="auto"/>
            <w:tcMar>
              <w:top w:w="0" w:type="dxa"/>
              <w:left w:w="0" w:type="dxa"/>
              <w:bottom w:w="0" w:type="dxa"/>
              <w:right w:w="0" w:type="dxa"/>
            </w:tcMar>
            <w:vAlign w:val="center"/>
          </w:tcPr>
          <w:p w14:paraId="29AD34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3B12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51ABF8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058" w:type="dxa"/>
            <w:shd w:val="clear" w:color="auto" w:fill="auto"/>
            <w:tcMar>
              <w:top w:w="0" w:type="dxa"/>
              <w:left w:w="0" w:type="dxa"/>
              <w:bottom w:w="0" w:type="dxa"/>
              <w:right w:w="0" w:type="dxa"/>
            </w:tcMar>
            <w:vAlign w:val="center"/>
          </w:tcPr>
          <w:p w14:paraId="3A9799AB">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 原料区-声屏障</w:t>
            </w:r>
          </w:p>
        </w:tc>
        <w:tc>
          <w:tcPr>
            <w:tcW w:w="1650" w:type="dxa"/>
            <w:shd w:val="clear" w:color="auto" w:fill="auto"/>
            <w:tcMar>
              <w:top w:w="0" w:type="dxa"/>
              <w:left w:w="0" w:type="dxa"/>
              <w:bottom w:w="0" w:type="dxa"/>
              <w:right w:w="0" w:type="dxa"/>
            </w:tcMar>
            <w:vAlign w:val="center"/>
          </w:tcPr>
          <w:p w14:paraId="2342F38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胶带输送机</w:t>
            </w:r>
            <w:r>
              <w:rPr>
                <w:rFonts w:hint="eastAsia" w:ascii="Times New Roman" w:hAnsi="Times New Roman" w:eastAsia="宋体" w:cs="Times New Roman"/>
                <w:color w:val="auto"/>
                <w:sz w:val="21"/>
                <w:szCs w:val="21"/>
                <w:highlight w:val="none"/>
                <w:lang w:val="en-US" w:eastAsia="zh-CN"/>
              </w:rPr>
              <w:t>2</w:t>
            </w:r>
          </w:p>
        </w:tc>
        <w:tc>
          <w:tcPr>
            <w:tcW w:w="655" w:type="dxa"/>
            <w:shd w:val="clear" w:color="auto" w:fill="auto"/>
            <w:tcMar>
              <w:top w:w="0" w:type="dxa"/>
              <w:left w:w="0" w:type="dxa"/>
              <w:bottom w:w="0" w:type="dxa"/>
              <w:right w:w="0" w:type="dxa"/>
            </w:tcMar>
            <w:vAlign w:val="center"/>
          </w:tcPr>
          <w:p w14:paraId="241B18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4E4646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1555C8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98</w:t>
            </w:r>
          </w:p>
        </w:tc>
        <w:tc>
          <w:tcPr>
            <w:tcW w:w="455" w:type="dxa"/>
            <w:shd w:val="clear" w:color="auto" w:fill="auto"/>
            <w:tcMar>
              <w:top w:w="0" w:type="dxa"/>
              <w:left w:w="0" w:type="dxa"/>
              <w:bottom w:w="0" w:type="dxa"/>
              <w:right w:w="0" w:type="dxa"/>
            </w:tcMar>
            <w:vAlign w:val="center"/>
          </w:tcPr>
          <w:p w14:paraId="084F27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58.6</w:t>
            </w:r>
          </w:p>
        </w:tc>
        <w:tc>
          <w:tcPr>
            <w:tcW w:w="403" w:type="dxa"/>
            <w:shd w:val="clear" w:color="auto" w:fill="auto"/>
            <w:tcMar>
              <w:top w:w="0" w:type="dxa"/>
              <w:left w:w="0" w:type="dxa"/>
              <w:bottom w:w="0" w:type="dxa"/>
              <w:right w:w="0" w:type="dxa"/>
            </w:tcMar>
            <w:vAlign w:val="center"/>
          </w:tcPr>
          <w:p w14:paraId="5264E2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66CD17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41.8</w:t>
            </w:r>
          </w:p>
        </w:tc>
        <w:tc>
          <w:tcPr>
            <w:tcW w:w="393" w:type="dxa"/>
            <w:shd w:val="clear" w:color="auto" w:fill="auto"/>
            <w:tcMar>
              <w:top w:w="0" w:type="dxa"/>
              <w:left w:w="0" w:type="dxa"/>
              <w:bottom w:w="0" w:type="dxa"/>
              <w:right w:w="0" w:type="dxa"/>
            </w:tcMar>
            <w:vAlign w:val="center"/>
          </w:tcPr>
          <w:p w14:paraId="00F6DD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29.6</w:t>
            </w:r>
          </w:p>
        </w:tc>
        <w:tc>
          <w:tcPr>
            <w:tcW w:w="517" w:type="dxa"/>
            <w:shd w:val="clear" w:color="auto" w:fill="auto"/>
            <w:tcMar>
              <w:top w:w="0" w:type="dxa"/>
              <w:left w:w="0" w:type="dxa"/>
              <w:bottom w:w="0" w:type="dxa"/>
              <w:right w:w="0" w:type="dxa"/>
            </w:tcMar>
            <w:vAlign w:val="center"/>
          </w:tcPr>
          <w:p w14:paraId="710CE2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169.7</w:t>
            </w:r>
          </w:p>
        </w:tc>
        <w:tc>
          <w:tcPr>
            <w:tcW w:w="455" w:type="dxa"/>
            <w:shd w:val="clear" w:color="auto" w:fill="auto"/>
            <w:tcMar>
              <w:top w:w="0" w:type="dxa"/>
              <w:left w:w="0" w:type="dxa"/>
              <w:bottom w:w="0" w:type="dxa"/>
              <w:right w:w="0" w:type="dxa"/>
            </w:tcMar>
            <w:vAlign w:val="center"/>
          </w:tcPr>
          <w:p w14:paraId="423C67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21.8</w:t>
            </w:r>
          </w:p>
        </w:tc>
        <w:tc>
          <w:tcPr>
            <w:tcW w:w="455" w:type="dxa"/>
            <w:shd w:val="clear" w:color="auto" w:fill="auto"/>
            <w:tcMar>
              <w:top w:w="0" w:type="dxa"/>
              <w:left w:w="0" w:type="dxa"/>
              <w:bottom w:w="0" w:type="dxa"/>
              <w:right w:w="0" w:type="dxa"/>
            </w:tcMar>
            <w:vAlign w:val="center"/>
          </w:tcPr>
          <w:p w14:paraId="6C58F8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55.0</w:t>
            </w:r>
          </w:p>
        </w:tc>
        <w:tc>
          <w:tcPr>
            <w:tcW w:w="455" w:type="dxa"/>
            <w:shd w:val="clear" w:color="auto" w:fill="auto"/>
            <w:tcMar>
              <w:top w:w="0" w:type="dxa"/>
              <w:left w:w="0" w:type="dxa"/>
              <w:bottom w:w="0" w:type="dxa"/>
              <w:right w:w="0" w:type="dxa"/>
            </w:tcMar>
            <w:vAlign w:val="center"/>
          </w:tcPr>
          <w:p w14:paraId="562466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55.0</w:t>
            </w:r>
          </w:p>
        </w:tc>
        <w:tc>
          <w:tcPr>
            <w:tcW w:w="455" w:type="dxa"/>
            <w:shd w:val="clear" w:color="auto" w:fill="auto"/>
            <w:tcMar>
              <w:top w:w="0" w:type="dxa"/>
              <w:left w:w="0" w:type="dxa"/>
              <w:bottom w:w="0" w:type="dxa"/>
              <w:right w:w="0" w:type="dxa"/>
            </w:tcMar>
            <w:vAlign w:val="center"/>
          </w:tcPr>
          <w:p w14:paraId="063882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54.9</w:t>
            </w:r>
          </w:p>
        </w:tc>
        <w:tc>
          <w:tcPr>
            <w:tcW w:w="455" w:type="dxa"/>
            <w:shd w:val="clear" w:color="auto" w:fill="auto"/>
            <w:tcMar>
              <w:top w:w="0" w:type="dxa"/>
              <w:left w:w="0" w:type="dxa"/>
              <w:bottom w:w="0" w:type="dxa"/>
              <w:right w:w="0" w:type="dxa"/>
            </w:tcMar>
            <w:vAlign w:val="center"/>
          </w:tcPr>
          <w:p w14:paraId="07F442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55.0</w:t>
            </w:r>
          </w:p>
        </w:tc>
        <w:tc>
          <w:tcPr>
            <w:tcW w:w="455" w:type="dxa"/>
            <w:vMerge w:val="continue"/>
            <w:shd w:val="clear" w:color="auto" w:fill="auto"/>
            <w:tcMar>
              <w:top w:w="0" w:type="dxa"/>
              <w:left w:w="0" w:type="dxa"/>
              <w:bottom w:w="0" w:type="dxa"/>
              <w:right w:w="0" w:type="dxa"/>
            </w:tcMar>
            <w:vAlign w:val="center"/>
          </w:tcPr>
          <w:p w14:paraId="17D631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1BA696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72A2AE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070D1E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787EC1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758475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28.5</w:t>
            </w:r>
          </w:p>
        </w:tc>
        <w:tc>
          <w:tcPr>
            <w:tcW w:w="495" w:type="dxa"/>
            <w:shd w:val="clear" w:color="auto" w:fill="auto"/>
            <w:tcMar>
              <w:top w:w="0" w:type="dxa"/>
              <w:left w:w="0" w:type="dxa"/>
              <w:bottom w:w="0" w:type="dxa"/>
              <w:right w:w="0" w:type="dxa"/>
            </w:tcMar>
            <w:vAlign w:val="center"/>
          </w:tcPr>
          <w:p w14:paraId="722898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28.5</w:t>
            </w:r>
          </w:p>
        </w:tc>
        <w:tc>
          <w:tcPr>
            <w:tcW w:w="435" w:type="dxa"/>
            <w:shd w:val="clear" w:color="auto" w:fill="auto"/>
            <w:tcMar>
              <w:top w:w="0" w:type="dxa"/>
              <w:left w:w="0" w:type="dxa"/>
              <w:bottom w:w="0" w:type="dxa"/>
              <w:right w:w="0" w:type="dxa"/>
            </w:tcMar>
            <w:vAlign w:val="center"/>
          </w:tcPr>
          <w:p w14:paraId="39D4DA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28.4</w:t>
            </w:r>
          </w:p>
        </w:tc>
        <w:tc>
          <w:tcPr>
            <w:tcW w:w="499" w:type="dxa"/>
            <w:shd w:val="clear" w:color="auto" w:fill="auto"/>
            <w:tcMar>
              <w:top w:w="0" w:type="dxa"/>
              <w:left w:w="0" w:type="dxa"/>
              <w:bottom w:w="0" w:type="dxa"/>
              <w:right w:w="0" w:type="dxa"/>
            </w:tcMar>
            <w:vAlign w:val="center"/>
          </w:tcPr>
          <w:p w14:paraId="1ECB4C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28.5</w:t>
            </w:r>
          </w:p>
        </w:tc>
        <w:tc>
          <w:tcPr>
            <w:tcW w:w="547" w:type="dxa"/>
            <w:shd w:val="clear" w:color="auto" w:fill="auto"/>
            <w:tcMar>
              <w:top w:w="0" w:type="dxa"/>
              <w:left w:w="0" w:type="dxa"/>
              <w:bottom w:w="0" w:type="dxa"/>
              <w:right w:w="0" w:type="dxa"/>
            </w:tcMar>
            <w:vAlign w:val="center"/>
          </w:tcPr>
          <w:p w14:paraId="6C9F3D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52EF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1027E1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058" w:type="dxa"/>
            <w:shd w:val="clear" w:color="auto" w:fill="auto"/>
            <w:tcMar>
              <w:top w:w="0" w:type="dxa"/>
              <w:left w:w="0" w:type="dxa"/>
              <w:bottom w:w="0" w:type="dxa"/>
              <w:right w:w="0" w:type="dxa"/>
            </w:tcMar>
            <w:vAlign w:val="center"/>
          </w:tcPr>
          <w:p w14:paraId="3F584BCC">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 原料区-声屏障</w:t>
            </w:r>
          </w:p>
        </w:tc>
        <w:tc>
          <w:tcPr>
            <w:tcW w:w="1650" w:type="dxa"/>
            <w:shd w:val="clear" w:color="auto" w:fill="auto"/>
            <w:tcMar>
              <w:top w:w="0" w:type="dxa"/>
              <w:left w:w="0" w:type="dxa"/>
              <w:bottom w:w="0" w:type="dxa"/>
              <w:right w:w="0" w:type="dxa"/>
            </w:tcMar>
            <w:vAlign w:val="center"/>
          </w:tcPr>
          <w:p w14:paraId="5A8D16D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胶带输送机</w:t>
            </w:r>
            <w:r>
              <w:rPr>
                <w:rFonts w:hint="eastAsia" w:ascii="Times New Roman" w:hAnsi="Times New Roman" w:eastAsia="宋体" w:cs="Times New Roman"/>
                <w:color w:val="auto"/>
                <w:sz w:val="21"/>
                <w:szCs w:val="21"/>
                <w:highlight w:val="none"/>
                <w:lang w:val="en-US" w:eastAsia="zh-CN"/>
              </w:rPr>
              <w:t>3</w:t>
            </w:r>
          </w:p>
        </w:tc>
        <w:tc>
          <w:tcPr>
            <w:tcW w:w="655" w:type="dxa"/>
            <w:shd w:val="clear" w:color="auto" w:fill="auto"/>
            <w:tcMar>
              <w:top w:w="0" w:type="dxa"/>
              <w:left w:w="0" w:type="dxa"/>
              <w:bottom w:w="0" w:type="dxa"/>
              <w:right w:w="0" w:type="dxa"/>
            </w:tcMar>
            <w:vAlign w:val="center"/>
          </w:tcPr>
          <w:p w14:paraId="610D88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650B02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60DB1C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69.5</w:t>
            </w:r>
          </w:p>
        </w:tc>
        <w:tc>
          <w:tcPr>
            <w:tcW w:w="455" w:type="dxa"/>
            <w:shd w:val="clear" w:color="auto" w:fill="auto"/>
            <w:tcMar>
              <w:top w:w="0" w:type="dxa"/>
              <w:left w:w="0" w:type="dxa"/>
              <w:bottom w:w="0" w:type="dxa"/>
              <w:right w:w="0" w:type="dxa"/>
            </w:tcMar>
            <w:vAlign w:val="center"/>
          </w:tcPr>
          <w:p w14:paraId="451B2E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47.3</w:t>
            </w:r>
          </w:p>
        </w:tc>
        <w:tc>
          <w:tcPr>
            <w:tcW w:w="403" w:type="dxa"/>
            <w:shd w:val="clear" w:color="auto" w:fill="auto"/>
            <w:tcMar>
              <w:top w:w="0" w:type="dxa"/>
              <w:left w:w="0" w:type="dxa"/>
              <w:bottom w:w="0" w:type="dxa"/>
              <w:right w:w="0" w:type="dxa"/>
            </w:tcMar>
            <w:vAlign w:val="center"/>
          </w:tcPr>
          <w:p w14:paraId="50E7F4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5A9AF2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67.3</w:t>
            </w:r>
          </w:p>
        </w:tc>
        <w:tc>
          <w:tcPr>
            <w:tcW w:w="393" w:type="dxa"/>
            <w:shd w:val="clear" w:color="auto" w:fill="auto"/>
            <w:tcMar>
              <w:top w:w="0" w:type="dxa"/>
              <w:left w:w="0" w:type="dxa"/>
              <w:bottom w:w="0" w:type="dxa"/>
              <w:right w:w="0" w:type="dxa"/>
            </w:tcMar>
            <w:vAlign w:val="center"/>
          </w:tcPr>
          <w:p w14:paraId="28DF18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w:t>
            </w:r>
          </w:p>
        </w:tc>
        <w:tc>
          <w:tcPr>
            <w:tcW w:w="517" w:type="dxa"/>
            <w:shd w:val="clear" w:color="auto" w:fill="auto"/>
            <w:tcMar>
              <w:top w:w="0" w:type="dxa"/>
              <w:left w:w="0" w:type="dxa"/>
              <w:bottom w:w="0" w:type="dxa"/>
              <w:right w:w="0" w:type="dxa"/>
            </w:tcMar>
            <w:vAlign w:val="center"/>
          </w:tcPr>
          <w:p w14:paraId="282A4A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142.7</w:t>
            </w:r>
          </w:p>
        </w:tc>
        <w:tc>
          <w:tcPr>
            <w:tcW w:w="455" w:type="dxa"/>
            <w:shd w:val="clear" w:color="auto" w:fill="auto"/>
            <w:tcMar>
              <w:top w:w="0" w:type="dxa"/>
              <w:left w:w="0" w:type="dxa"/>
              <w:bottom w:w="0" w:type="dxa"/>
              <w:right w:w="0" w:type="dxa"/>
            </w:tcMar>
            <w:vAlign w:val="center"/>
          </w:tcPr>
          <w:p w14:paraId="370B87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39.8</w:t>
            </w:r>
          </w:p>
        </w:tc>
        <w:tc>
          <w:tcPr>
            <w:tcW w:w="455" w:type="dxa"/>
            <w:shd w:val="clear" w:color="auto" w:fill="auto"/>
            <w:tcMar>
              <w:top w:w="0" w:type="dxa"/>
              <w:left w:w="0" w:type="dxa"/>
              <w:bottom w:w="0" w:type="dxa"/>
              <w:right w:w="0" w:type="dxa"/>
            </w:tcMar>
            <w:vAlign w:val="center"/>
          </w:tcPr>
          <w:p w14:paraId="18A852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54.9</w:t>
            </w:r>
          </w:p>
        </w:tc>
        <w:tc>
          <w:tcPr>
            <w:tcW w:w="455" w:type="dxa"/>
            <w:shd w:val="clear" w:color="auto" w:fill="auto"/>
            <w:tcMar>
              <w:top w:w="0" w:type="dxa"/>
              <w:left w:w="0" w:type="dxa"/>
              <w:bottom w:w="0" w:type="dxa"/>
              <w:right w:w="0" w:type="dxa"/>
            </w:tcMar>
            <w:vAlign w:val="center"/>
          </w:tcPr>
          <w:p w14:paraId="073AE2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55.2</w:t>
            </w:r>
          </w:p>
        </w:tc>
        <w:tc>
          <w:tcPr>
            <w:tcW w:w="455" w:type="dxa"/>
            <w:shd w:val="clear" w:color="auto" w:fill="auto"/>
            <w:tcMar>
              <w:top w:w="0" w:type="dxa"/>
              <w:left w:w="0" w:type="dxa"/>
              <w:bottom w:w="0" w:type="dxa"/>
              <w:right w:w="0" w:type="dxa"/>
            </w:tcMar>
            <w:vAlign w:val="center"/>
          </w:tcPr>
          <w:p w14:paraId="0001DD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54.9</w:t>
            </w:r>
          </w:p>
        </w:tc>
        <w:tc>
          <w:tcPr>
            <w:tcW w:w="455" w:type="dxa"/>
            <w:shd w:val="clear" w:color="auto" w:fill="auto"/>
            <w:tcMar>
              <w:top w:w="0" w:type="dxa"/>
              <w:left w:w="0" w:type="dxa"/>
              <w:bottom w:w="0" w:type="dxa"/>
              <w:right w:w="0" w:type="dxa"/>
            </w:tcMar>
            <w:vAlign w:val="center"/>
          </w:tcPr>
          <w:p w14:paraId="1B5C16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55.0</w:t>
            </w:r>
          </w:p>
        </w:tc>
        <w:tc>
          <w:tcPr>
            <w:tcW w:w="455" w:type="dxa"/>
            <w:vMerge w:val="continue"/>
            <w:shd w:val="clear" w:color="auto" w:fill="auto"/>
            <w:tcMar>
              <w:top w:w="0" w:type="dxa"/>
              <w:left w:w="0" w:type="dxa"/>
              <w:bottom w:w="0" w:type="dxa"/>
              <w:right w:w="0" w:type="dxa"/>
            </w:tcMar>
            <w:vAlign w:val="center"/>
          </w:tcPr>
          <w:p w14:paraId="2CAC82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141C05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3E6D1A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7C73FD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203390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05A0DC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28.4</w:t>
            </w:r>
          </w:p>
        </w:tc>
        <w:tc>
          <w:tcPr>
            <w:tcW w:w="495" w:type="dxa"/>
            <w:shd w:val="clear" w:color="auto" w:fill="auto"/>
            <w:tcMar>
              <w:top w:w="0" w:type="dxa"/>
              <w:left w:w="0" w:type="dxa"/>
              <w:bottom w:w="0" w:type="dxa"/>
              <w:right w:w="0" w:type="dxa"/>
            </w:tcMar>
            <w:vAlign w:val="center"/>
          </w:tcPr>
          <w:p w14:paraId="1B79B1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28.7</w:t>
            </w:r>
          </w:p>
        </w:tc>
        <w:tc>
          <w:tcPr>
            <w:tcW w:w="435" w:type="dxa"/>
            <w:shd w:val="clear" w:color="auto" w:fill="auto"/>
            <w:tcMar>
              <w:top w:w="0" w:type="dxa"/>
              <w:left w:w="0" w:type="dxa"/>
              <w:bottom w:w="0" w:type="dxa"/>
              <w:right w:w="0" w:type="dxa"/>
            </w:tcMar>
            <w:vAlign w:val="center"/>
          </w:tcPr>
          <w:p w14:paraId="24758C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28.4</w:t>
            </w:r>
          </w:p>
        </w:tc>
        <w:tc>
          <w:tcPr>
            <w:tcW w:w="499" w:type="dxa"/>
            <w:shd w:val="clear" w:color="auto" w:fill="auto"/>
            <w:tcMar>
              <w:top w:w="0" w:type="dxa"/>
              <w:left w:w="0" w:type="dxa"/>
              <w:bottom w:w="0" w:type="dxa"/>
              <w:right w:w="0" w:type="dxa"/>
            </w:tcMar>
            <w:vAlign w:val="center"/>
          </w:tcPr>
          <w:p w14:paraId="32525E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28.5</w:t>
            </w:r>
          </w:p>
        </w:tc>
        <w:tc>
          <w:tcPr>
            <w:tcW w:w="547" w:type="dxa"/>
            <w:shd w:val="clear" w:color="auto" w:fill="auto"/>
            <w:tcMar>
              <w:top w:w="0" w:type="dxa"/>
              <w:left w:w="0" w:type="dxa"/>
              <w:bottom w:w="0" w:type="dxa"/>
              <w:right w:w="0" w:type="dxa"/>
            </w:tcMar>
            <w:vAlign w:val="center"/>
          </w:tcPr>
          <w:p w14:paraId="26FDB9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678A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3CF2AB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1058" w:type="dxa"/>
            <w:shd w:val="clear" w:color="auto" w:fill="auto"/>
            <w:tcMar>
              <w:top w:w="0" w:type="dxa"/>
              <w:left w:w="0" w:type="dxa"/>
              <w:bottom w:w="0" w:type="dxa"/>
              <w:right w:w="0" w:type="dxa"/>
            </w:tcMar>
            <w:vAlign w:val="center"/>
          </w:tcPr>
          <w:p w14:paraId="52B9356B">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5D62A08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胶带输送机</w:t>
            </w:r>
            <w:r>
              <w:rPr>
                <w:rFonts w:hint="eastAsia" w:ascii="Times New Roman" w:hAnsi="Times New Roman" w:eastAsia="宋体" w:cs="Times New Roman"/>
                <w:color w:val="auto"/>
                <w:sz w:val="21"/>
                <w:szCs w:val="21"/>
                <w:highlight w:val="none"/>
                <w:lang w:val="en-US" w:eastAsia="zh-CN"/>
              </w:rPr>
              <w:t>4</w:t>
            </w:r>
          </w:p>
        </w:tc>
        <w:tc>
          <w:tcPr>
            <w:tcW w:w="655" w:type="dxa"/>
            <w:shd w:val="clear" w:color="auto" w:fill="auto"/>
            <w:tcMar>
              <w:top w:w="0" w:type="dxa"/>
              <w:left w:w="0" w:type="dxa"/>
              <w:bottom w:w="0" w:type="dxa"/>
              <w:right w:w="0" w:type="dxa"/>
            </w:tcMar>
            <w:vAlign w:val="center"/>
          </w:tcPr>
          <w:p w14:paraId="356EBA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78F7AA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2EAE35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-59.8</w:t>
            </w:r>
          </w:p>
        </w:tc>
        <w:tc>
          <w:tcPr>
            <w:tcW w:w="455" w:type="dxa"/>
            <w:shd w:val="clear" w:color="auto" w:fill="auto"/>
            <w:tcMar>
              <w:top w:w="0" w:type="dxa"/>
              <w:left w:w="0" w:type="dxa"/>
              <w:bottom w:w="0" w:type="dxa"/>
              <w:right w:w="0" w:type="dxa"/>
            </w:tcMar>
            <w:vAlign w:val="center"/>
          </w:tcPr>
          <w:p w14:paraId="170DF3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25.5</w:t>
            </w:r>
          </w:p>
        </w:tc>
        <w:tc>
          <w:tcPr>
            <w:tcW w:w="403" w:type="dxa"/>
            <w:shd w:val="clear" w:color="auto" w:fill="auto"/>
            <w:tcMar>
              <w:top w:w="0" w:type="dxa"/>
              <w:left w:w="0" w:type="dxa"/>
              <w:bottom w:w="0" w:type="dxa"/>
              <w:right w:w="0" w:type="dxa"/>
            </w:tcMar>
            <w:vAlign w:val="center"/>
          </w:tcPr>
          <w:p w14:paraId="2F89B9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69E84F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110.8</w:t>
            </w:r>
          </w:p>
        </w:tc>
        <w:tc>
          <w:tcPr>
            <w:tcW w:w="393" w:type="dxa"/>
            <w:shd w:val="clear" w:color="auto" w:fill="auto"/>
            <w:tcMar>
              <w:top w:w="0" w:type="dxa"/>
              <w:left w:w="0" w:type="dxa"/>
              <w:bottom w:w="0" w:type="dxa"/>
              <w:right w:w="0" w:type="dxa"/>
            </w:tcMar>
            <w:vAlign w:val="center"/>
          </w:tcPr>
          <w:p w14:paraId="7D8327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23.3</w:t>
            </w:r>
          </w:p>
        </w:tc>
        <w:tc>
          <w:tcPr>
            <w:tcW w:w="517" w:type="dxa"/>
            <w:shd w:val="clear" w:color="auto" w:fill="auto"/>
            <w:tcMar>
              <w:top w:w="0" w:type="dxa"/>
              <w:left w:w="0" w:type="dxa"/>
              <w:bottom w:w="0" w:type="dxa"/>
              <w:right w:w="0" w:type="dxa"/>
            </w:tcMar>
            <w:vAlign w:val="center"/>
          </w:tcPr>
          <w:p w14:paraId="0E2DA7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15.9</w:t>
            </w:r>
          </w:p>
        </w:tc>
        <w:tc>
          <w:tcPr>
            <w:tcW w:w="455" w:type="dxa"/>
            <w:shd w:val="clear" w:color="auto" w:fill="auto"/>
            <w:tcMar>
              <w:top w:w="0" w:type="dxa"/>
              <w:left w:w="0" w:type="dxa"/>
              <w:bottom w:w="0" w:type="dxa"/>
              <w:right w:w="0" w:type="dxa"/>
            </w:tcMar>
            <w:vAlign w:val="center"/>
          </w:tcPr>
          <w:p w14:paraId="7A16A9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38.7</w:t>
            </w:r>
          </w:p>
        </w:tc>
        <w:tc>
          <w:tcPr>
            <w:tcW w:w="455" w:type="dxa"/>
            <w:shd w:val="clear" w:color="auto" w:fill="auto"/>
            <w:tcMar>
              <w:top w:w="0" w:type="dxa"/>
              <w:left w:w="0" w:type="dxa"/>
              <w:bottom w:w="0" w:type="dxa"/>
              <w:right w:w="0" w:type="dxa"/>
            </w:tcMar>
            <w:vAlign w:val="center"/>
          </w:tcPr>
          <w:p w14:paraId="7D4A99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40B13F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7818DF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56.5</w:t>
            </w:r>
          </w:p>
        </w:tc>
        <w:tc>
          <w:tcPr>
            <w:tcW w:w="455" w:type="dxa"/>
            <w:shd w:val="clear" w:color="auto" w:fill="auto"/>
            <w:tcMar>
              <w:top w:w="0" w:type="dxa"/>
              <w:left w:w="0" w:type="dxa"/>
              <w:bottom w:w="0" w:type="dxa"/>
              <w:right w:w="0" w:type="dxa"/>
            </w:tcMar>
            <w:vAlign w:val="center"/>
          </w:tcPr>
          <w:p w14:paraId="46D5D9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vMerge w:val="continue"/>
            <w:shd w:val="clear" w:color="auto" w:fill="auto"/>
            <w:tcMar>
              <w:top w:w="0" w:type="dxa"/>
              <w:left w:w="0" w:type="dxa"/>
              <w:bottom w:w="0" w:type="dxa"/>
              <w:right w:w="0" w:type="dxa"/>
            </w:tcMar>
            <w:vAlign w:val="center"/>
          </w:tcPr>
          <w:p w14:paraId="256518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154425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3C1F60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291831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2F9A5E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645686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95" w:type="dxa"/>
            <w:shd w:val="clear" w:color="auto" w:fill="auto"/>
            <w:tcMar>
              <w:top w:w="0" w:type="dxa"/>
              <w:left w:w="0" w:type="dxa"/>
              <w:bottom w:w="0" w:type="dxa"/>
              <w:right w:w="0" w:type="dxa"/>
            </w:tcMar>
            <w:vAlign w:val="center"/>
          </w:tcPr>
          <w:p w14:paraId="6BEEDB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35" w:type="dxa"/>
            <w:shd w:val="clear" w:color="auto" w:fill="auto"/>
            <w:tcMar>
              <w:top w:w="0" w:type="dxa"/>
              <w:left w:w="0" w:type="dxa"/>
              <w:bottom w:w="0" w:type="dxa"/>
              <w:right w:w="0" w:type="dxa"/>
            </w:tcMar>
            <w:vAlign w:val="center"/>
          </w:tcPr>
          <w:p w14:paraId="6CF093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c>
          <w:tcPr>
            <w:tcW w:w="499" w:type="dxa"/>
            <w:shd w:val="clear" w:color="auto" w:fill="auto"/>
            <w:tcMar>
              <w:top w:w="0" w:type="dxa"/>
              <w:left w:w="0" w:type="dxa"/>
              <w:bottom w:w="0" w:type="dxa"/>
              <w:right w:w="0" w:type="dxa"/>
            </w:tcMar>
            <w:vAlign w:val="center"/>
          </w:tcPr>
          <w:p w14:paraId="5568EB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547" w:type="dxa"/>
            <w:shd w:val="clear" w:color="auto" w:fill="auto"/>
            <w:tcMar>
              <w:top w:w="0" w:type="dxa"/>
              <w:left w:w="0" w:type="dxa"/>
              <w:bottom w:w="0" w:type="dxa"/>
              <w:right w:w="0" w:type="dxa"/>
            </w:tcMar>
            <w:vAlign w:val="center"/>
          </w:tcPr>
          <w:p w14:paraId="79F1B7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081B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2B2E08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058" w:type="dxa"/>
            <w:shd w:val="clear" w:color="auto" w:fill="auto"/>
            <w:tcMar>
              <w:top w:w="0" w:type="dxa"/>
              <w:left w:w="0" w:type="dxa"/>
              <w:bottom w:w="0" w:type="dxa"/>
              <w:right w:w="0" w:type="dxa"/>
            </w:tcMar>
            <w:vAlign w:val="center"/>
          </w:tcPr>
          <w:p w14:paraId="3F42E57F">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571B5FD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胶带输送机</w:t>
            </w:r>
            <w:r>
              <w:rPr>
                <w:rFonts w:hint="eastAsia" w:ascii="Times New Roman" w:hAnsi="Times New Roman" w:eastAsia="宋体" w:cs="Times New Roman"/>
                <w:color w:val="auto"/>
                <w:sz w:val="21"/>
                <w:szCs w:val="21"/>
                <w:highlight w:val="none"/>
                <w:lang w:val="en-US" w:eastAsia="zh-CN"/>
              </w:rPr>
              <w:t>5</w:t>
            </w:r>
          </w:p>
        </w:tc>
        <w:tc>
          <w:tcPr>
            <w:tcW w:w="655" w:type="dxa"/>
            <w:shd w:val="clear" w:color="auto" w:fill="auto"/>
            <w:tcMar>
              <w:top w:w="0" w:type="dxa"/>
              <w:left w:w="0" w:type="dxa"/>
              <w:bottom w:w="0" w:type="dxa"/>
              <w:right w:w="0" w:type="dxa"/>
            </w:tcMar>
            <w:vAlign w:val="center"/>
          </w:tcPr>
          <w:p w14:paraId="448A3A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6EF666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0F7633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-58.2</w:t>
            </w:r>
          </w:p>
        </w:tc>
        <w:tc>
          <w:tcPr>
            <w:tcW w:w="455" w:type="dxa"/>
            <w:shd w:val="clear" w:color="auto" w:fill="auto"/>
            <w:tcMar>
              <w:top w:w="0" w:type="dxa"/>
              <w:left w:w="0" w:type="dxa"/>
              <w:bottom w:w="0" w:type="dxa"/>
              <w:right w:w="0" w:type="dxa"/>
            </w:tcMar>
            <w:vAlign w:val="center"/>
          </w:tcPr>
          <w:p w14:paraId="0E11E7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w:t>
            </w:r>
          </w:p>
        </w:tc>
        <w:tc>
          <w:tcPr>
            <w:tcW w:w="403" w:type="dxa"/>
            <w:shd w:val="clear" w:color="auto" w:fill="auto"/>
            <w:tcMar>
              <w:top w:w="0" w:type="dxa"/>
              <w:left w:w="0" w:type="dxa"/>
              <w:bottom w:w="0" w:type="dxa"/>
              <w:right w:w="0" w:type="dxa"/>
            </w:tcMar>
            <w:vAlign w:val="center"/>
          </w:tcPr>
          <w:p w14:paraId="112B16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281308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113.9</w:t>
            </w:r>
          </w:p>
        </w:tc>
        <w:tc>
          <w:tcPr>
            <w:tcW w:w="393" w:type="dxa"/>
            <w:shd w:val="clear" w:color="auto" w:fill="auto"/>
            <w:tcMar>
              <w:top w:w="0" w:type="dxa"/>
              <w:left w:w="0" w:type="dxa"/>
              <w:bottom w:w="0" w:type="dxa"/>
              <w:right w:w="0" w:type="dxa"/>
            </w:tcMar>
            <w:vAlign w:val="center"/>
          </w:tcPr>
          <w:p w14:paraId="74C14E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40.7</w:t>
            </w:r>
          </w:p>
        </w:tc>
        <w:tc>
          <w:tcPr>
            <w:tcW w:w="517" w:type="dxa"/>
            <w:shd w:val="clear" w:color="auto" w:fill="auto"/>
            <w:tcMar>
              <w:top w:w="0" w:type="dxa"/>
              <w:left w:w="0" w:type="dxa"/>
              <w:bottom w:w="0" w:type="dxa"/>
              <w:right w:w="0" w:type="dxa"/>
            </w:tcMar>
            <w:vAlign w:val="center"/>
          </w:tcPr>
          <w:p w14:paraId="107863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15.7</w:t>
            </w:r>
          </w:p>
        </w:tc>
        <w:tc>
          <w:tcPr>
            <w:tcW w:w="455" w:type="dxa"/>
            <w:shd w:val="clear" w:color="auto" w:fill="auto"/>
            <w:tcMar>
              <w:top w:w="0" w:type="dxa"/>
              <w:left w:w="0" w:type="dxa"/>
              <w:bottom w:w="0" w:type="dxa"/>
              <w:right w:w="0" w:type="dxa"/>
            </w:tcMar>
            <w:vAlign w:val="center"/>
          </w:tcPr>
          <w:p w14:paraId="459BC0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21.3</w:t>
            </w:r>
          </w:p>
        </w:tc>
        <w:tc>
          <w:tcPr>
            <w:tcW w:w="455" w:type="dxa"/>
            <w:shd w:val="clear" w:color="auto" w:fill="auto"/>
            <w:tcMar>
              <w:top w:w="0" w:type="dxa"/>
              <w:left w:w="0" w:type="dxa"/>
              <w:bottom w:w="0" w:type="dxa"/>
              <w:right w:w="0" w:type="dxa"/>
            </w:tcMar>
            <w:vAlign w:val="center"/>
          </w:tcPr>
          <w:p w14:paraId="42010A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1EE31E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728101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56.5</w:t>
            </w:r>
          </w:p>
        </w:tc>
        <w:tc>
          <w:tcPr>
            <w:tcW w:w="455" w:type="dxa"/>
            <w:shd w:val="clear" w:color="auto" w:fill="auto"/>
            <w:tcMar>
              <w:top w:w="0" w:type="dxa"/>
              <w:left w:w="0" w:type="dxa"/>
              <w:bottom w:w="0" w:type="dxa"/>
              <w:right w:w="0" w:type="dxa"/>
            </w:tcMar>
            <w:vAlign w:val="center"/>
          </w:tcPr>
          <w:p w14:paraId="754886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vMerge w:val="continue"/>
            <w:shd w:val="clear" w:color="auto" w:fill="auto"/>
            <w:tcMar>
              <w:top w:w="0" w:type="dxa"/>
              <w:left w:w="0" w:type="dxa"/>
              <w:bottom w:w="0" w:type="dxa"/>
              <w:right w:w="0" w:type="dxa"/>
            </w:tcMar>
            <w:vAlign w:val="center"/>
          </w:tcPr>
          <w:p w14:paraId="13DAD8C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243EAD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29E738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6C2518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16A5FB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6DCBBC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95" w:type="dxa"/>
            <w:shd w:val="clear" w:color="auto" w:fill="auto"/>
            <w:tcMar>
              <w:top w:w="0" w:type="dxa"/>
              <w:left w:w="0" w:type="dxa"/>
              <w:bottom w:w="0" w:type="dxa"/>
              <w:right w:w="0" w:type="dxa"/>
            </w:tcMar>
            <w:vAlign w:val="center"/>
          </w:tcPr>
          <w:p w14:paraId="75AE32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35" w:type="dxa"/>
            <w:shd w:val="clear" w:color="auto" w:fill="auto"/>
            <w:tcMar>
              <w:top w:w="0" w:type="dxa"/>
              <w:left w:w="0" w:type="dxa"/>
              <w:bottom w:w="0" w:type="dxa"/>
              <w:right w:w="0" w:type="dxa"/>
            </w:tcMar>
            <w:vAlign w:val="center"/>
          </w:tcPr>
          <w:p w14:paraId="3A8044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c>
          <w:tcPr>
            <w:tcW w:w="499" w:type="dxa"/>
            <w:shd w:val="clear" w:color="auto" w:fill="auto"/>
            <w:tcMar>
              <w:top w:w="0" w:type="dxa"/>
              <w:left w:w="0" w:type="dxa"/>
              <w:bottom w:w="0" w:type="dxa"/>
              <w:right w:w="0" w:type="dxa"/>
            </w:tcMar>
            <w:vAlign w:val="center"/>
          </w:tcPr>
          <w:p w14:paraId="1AED2C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547" w:type="dxa"/>
            <w:shd w:val="clear" w:color="auto" w:fill="auto"/>
            <w:tcMar>
              <w:top w:w="0" w:type="dxa"/>
              <w:left w:w="0" w:type="dxa"/>
              <w:bottom w:w="0" w:type="dxa"/>
              <w:right w:w="0" w:type="dxa"/>
            </w:tcMar>
            <w:vAlign w:val="center"/>
          </w:tcPr>
          <w:p w14:paraId="1B713A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0E46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66F704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1058" w:type="dxa"/>
            <w:shd w:val="clear" w:color="auto" w:fill="auto"/>
            <w:tcMar>
              <w:top w:w="0" w:type="dxa"/>
              <w:left w:w="0" w:type="dxa"/>
              <w:bottom w:w="0" w:type="dxa"/>
              <w:right w:w="0" w:type="dxa"/>
            </w:tcMar>
            <w:vAlign w:val="center"/>
          </w:tcPr>
          <w:p w14:paraId="142B106A">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20D40FF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定量给料机</w:t>
            </w:r>
            <w:r>
              <w:rPr>
                <w:rFonts w:hint="eastAsia" w:ascii="Times New Roman" w:hAnsi="Times New Roman" w:eastAsia="宋体" w:cs="Times New Roman"/>
                <w:color w:val="auto"/>
                <w:sz w:val="21"/>
                <w:szCs w:val="21"/>
                <w:highlight w:val="none"/>
                <w:lang w:val="en-US" w:eastAsia="zh-CN"/>
              </w:rPr>
              <w:t>1</w:t>
            </w:r>
          </w:p>
        </w:tc>
        <w:tc>
          <w:tcPr>
            <w:tcW w:w="655" w:type="dxa"/>
            <w:shd w:val="clear" w:color="auto" w:fill="auto"/>
            <w:tcMar>
              <w:top w:w="0" w:type="dxa"/>
              <w:left w:w="0" w:type="dxa"/>
              <w:bottom w:w="0" w:type="dxa"/>
              <w:right w:w="0" w:type="dxa"/>
            </w:tcMar>
            <w:vAlign w:val="center"/>
          </w:tcPr>
          <w:p w14:paraId="267DAA7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8</w:t>
            </w:r>
            <w:r>
              <w:rPr>
                <w:rFonts w:hint="eastAsia" w:ascii="Times New Roman" w:hAnsi="Times New Roman" w:eastAsia="宋体" w:cs="Times New Roman"/>
                <w:color w:val="auto"/>
                <w:sz w:val="21"/>
                <w:szCs w:val="21"/>
                <w:highlight w:val="none"/>
                <w:lang w:val="en-US" w:eastAsia="zh-CN"/>
              </w:rPr>
              <w:t>0</w:t>
            </w:r>
          </w:p>
        </w:tc>
        <w:tc>
          <w:tcPr>
            <w:tcW w:w="612" w:type="dxa"/>
            <w:vMerge w:val="continue"/>
            <w:shd w:val="clear" w:color="auto" w:fill="auto"/>
            <w:tcMar>
              <w:top w:w="0" w:type="dxa"/>
              <w:left w:w="0" w:type="dxa"/>
              <w:bottom w:w="0" w:type="dxa"/>
              <w:right w:w="0" w:type="dxa"/>
            </w:tcMar>
            <w:vAlign w:val="center"/>
          </w:tcPr>
          <w:p w14:paraId="0F8AE2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54E744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-50.6</w:t>
            </w:r>
          </w:p>
        </w:tc>
        <w:tc>
          <w:tcPr>
            <w:tcW w:w="455" w:type="dxa"/>
            <w:shd w:val="clear" w:color="auto" w:fill="auto"/>
            <w:tcMar>
              <w:top w:w="0" w:type="dxa"/>
              <w:left w:w="0" w:type="dxa"/>
              <w:bottom w:w="0" w:type="dxa"/>
              <w:right w:w="0" w:type="dxa"/>
            </w:tcMar>
            <w:vAlign w:val="center"/>
          </w:tcPr>
          <w:p w14:paraId="638F59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41.6</w:t>
            </w:r>
          </w:p>
        </w:tc>
        <w:tc>
          <w:tcPr>
            <w:tcW w:w="403" w:type="dxa"/>
            <w:shd w:val="clear" w:color="auto" w:fill="auto"/>
            <w:tcMar>
              <w:top w:w="0" w:type="dxa"/>
              <w:left w:w="0" w:type="dxa"/>
              <w:bottom w:w="0" w:type="dxa"/>
              <w:right w:w="0" w:type="dxa"/>
            </w:tcMar>
            <w:vAlign w:val="center"/>
          </w:tcPr>
          <w:p w14:paraId="046790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603033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106.2</w:t>
            </w:r>
          </w:p>
        </w:tc>
        <w:tc>
          <w:tcPr>
            <w:tcW w:w="393" w:type="dxa"/>
            <w:shd w:val="clear" w:color="auto" w:fill="auto"/>
            <w:tcMar>
              <w:top w:w="0" w:type="dxa"/>
              <w:left w:w="0" w:type="dxa"/>
              <w:bottom w:w="0" w:type="dxa"/>
              <w:right w:w="0" w:type="dxa"/>
            </w:tcMar>
            <w:vAlign w:val="center"/>
          </w:tcPr>
          <w:p w14:paraId="54C507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41.2</w:t>
            </w:r>
          </w:p>
        </w:tc>
        <w:tc>
          <w:tcPr>
            <w:tcW w:w="517" w:type="dxa"/>
            <w:shd w:val="clear" w:color="auto" w:fill="auto"/>
            <w:tcMar>
              <w:top w:w="0" w:type="dxa"/>
              <w:left w:w="0" w:type="dxa"/>
              <w:bottom w:w="0" w:type="dxa"/>
              <w:right w:w="0" w:type="dxa"/>
            </w:tcMar>
            <w:vAlign w:val="center"/>
          </w:tcPr>
          <w:p w14:paraId="2424E2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23.4</w:t>
            </w:r>
          </w:p>
        </w:tc>
        <w:tc>
          <w:tcPr>
            <w:tcW w:w="455" w:type="dxa"/>
            <w:shd w:val="clear" w:color="auto" w:fill="auto"/>
            <w:tcMar>
              <w:top w:w="0" w:type="dxa"/>
              <w:left w:w="0" w:type="dxa"/>
              <w:bottom w:w="0" w:type="dxa"/>
              <w:right w:w="0" w:type="dxa"/>
            </w:tcMar>
            <w:vAlign w:val="center"/>
          </w:tcPr>
          <w:p w14:paraId="0205B0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20.8</w:t>
            </w:r>
          </w:p>
        </w:tc>
        <w:tc>
          <w:tcPr>
            <w:tcW w:w="455" w:type="dxa"/>
            <w:shd w:val="clear" w:color="auto" w:fill="auto"/>
            <w:tcMar>
              <w:top w:w="0" w:type="dxa"/>
              <w:left w:w="0" w:type="dxa"/>
              <w:bottom w:w="0" w:type="dxa"/>
              <w:right w:w="0" w:type="dxa"/>
            </w:tcMar>
            <w:vAlign w:val="center"/>
          </w:tcPr>
          <w:p w14:paraId="14D15D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61.4</w:t>
            </w:r>
          </w:p>
        </w:tc>
        <w:tc>
          <w:tcPr>
            <w:tcW w:w="455" w:type="dxa"/>
            <w:shd w:val="clear" w:color="auto" w:fill="auto"/>
            <w:tcMar>
              <w:top w:w="0" w:type="dxa"/>
              <w:left w:w="0" w:type="dxa"/>
              <w:bottom w:w="0" w:type="dxa"/>
              <w:right w:w="0" w:type="dxa"/>
            </w:tcMar>
            <w:vAlign w:val="center"/>
          </w:tcPr>
          <w:p w14:paraId="5E97A7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61.4</w:t>
            </w:r>
          </w:p>
        </w:tc>
        <w:tc>
          <w:tcPr>
            <w:tcW w:w="455" w:type="dxa"/>
            <w:shd w:val="clear" w:color="auto" w:fill="auto"/>
            <w:tcMar>
              <w:top w:w="0" w:type="dxa"/>
              <w:left w:w="0" w:type="dxa"/>
              <w:bottom w:w="0" w:type="dxa"/>
              <w:right w:w="0" w:type="dxa"/>
            </w:tcMar>
            <w:vAlign w:val="center"/>
          </w:tcPr>
          <w:p w14:paraId="1DB196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61.4</w:t>
            </w:r>
          </w:p>
        </w:tc>
        <w:tc>
          <w:tcPr>
            <w:tcW w:w="455" w:type="dxa"/>
            <w:shd w:val="clear" w:color="auto" w:fill="auto"/>
            <w:tcMar>
              <w:top w:w="0" w:type="dxa"/>
              <w:left w:w="0" w:type="dxa"/>
              <w:bottom w:w="0" w:type="dxa"/>
              <w:right w:w="0" w:type="dxa"/>
            </w:tcMar>
            <w:vAlign w:val="center"/>
          </w:tcPr>
          <w:p w14:paraId="73BA12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61.4</w:t>
            </w:r>
          </w:p>
        </w:tc>
        <w:tc>
          <w:tcPr>
            <w:tcW w:w="455" w:type="dxa"/>
            <w:vMerge w:val="continue"/>
            <w:shd w:val="clear" w:color="auto" w:fill="auto"/>
            <w:tcMar>
              <w:top w:w="0" w:type="dxa"/>
              <w:left w:w="0" w:type="dxa"/>
              <w:bottom w:w="0" w:type="dxa"/>
              <w:right w:w="0" w:type="dxa"/>
            </w:tcMar>
            <w:vAlign w:val="center"/>
          </w:tcPr>
          <w:p w14:paraId="7E9C2D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548A2B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057EE3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2A2EFA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05C204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504BF6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34.9</w:t>
            </w:r>
          </w:p>
        </w:tc>
        <w:tc>
          <w:tcPr>
            <w:tcW w:w="495" w:type="dxa"/>
            <w:shd w:val="clear" w:color="auto" w:fill="auto"/>
            <w:tcMar>
              <w:top w:w="0" w:type="dxa"/>
              <w:left w:w="0" w:type="dxa"/>
              <w:bottom w:w="0" w:type="dxa"/>
              <w:right w:w="0" w:type="dxa"/>
            </w:tcMar>
            <w:vAlign w:val="center"/>
          </w:tcPr>
          <w:p w14:paraId="68EF56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34.9</w:t>
            </w:r>
          </w:p>
        </w:tc>
        <w:tc>
          <w:tcPr>
            <w:tcW w:w="435" w:type="dxa"/>
            <w:shd w:val="clear" w:color="auto" w:fill="auto"/>
            <w:tcMar>
              <w:top w:w="0" w:type="dxa"/>
              <w:left w:w="0" w:type="dxa"/>
              <w:bottom w:w="0" w:type="dxa"/>
              <w:right w:w="0" w:type="dxa"/>
            </w:tcMar>
            <w:vAlign w:val="center"/>
          </w:tcPr>
          <w:p w14:paraId="1FDDA9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34.9</w:t>
            </w:r>
          </w:p>
        </w:tc>
        <w:tc>
          <w:tcPr>
            <w:tcW w:w="499" w:type="dxa"/>
            <w:shd w:val="clear" w:color="auto" w:fill="auto"/>
            <w:tcMar>
              <w:top w:w="0" w:type="dxa"/>
              <w:left w:w="0" w:type="dxa"/>
              <w:bottom w:w="0" w:type="dxa"/>
              <w:right w:w="0" w:type="dxa"/>
            </w:tcMar>
            <w:vAlign w:val="center"/>
          </w:tcPr>
          <w:p w14:paraId="2A8E89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34.9</w:t>
            </w:r>
          </w:p>
        </w:tc>
        <w:tc>
          <w:tcPr>
            <w:tcW w:w="547" w:type="dxa"/>
            <w:shd w:val="clear" w:color="auto" w:fill="auto"/>
            <w:tcMar>
              <w:top w:w="0" w:type="dxa"/>
              <w:left w:w="0" w:type="dxa"/>
              <w:bottom w:w="0" w:type="dxa"/>
              <w:right w:w="0" w:type="dxa"/>
            </w:tcMar>
            <w:vAlign w:val="center"/>
          </w:tcPr>
          <w:p w14:paraId="2127FE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2B5B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33F449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058" w:type="dxa"/>
            <w:shd w:val="clear" w:color="auto" w:fill="auto"/>
            <w:tcMar>
              <w:top w:w="0" w:type="dxa"/>
              <w:left w:w="0" w:type="dxa"/>
              <w:bottom w:w="0" w:type="dxa"/>
              <w:right w:w="0" w:type="dxa"/>
            </w:tcMar>
            <w:vAlign w:val="center"/>
          </w:tcPr>
          <w:p w14:paraId="4725CA76">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6FE2BBD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定量给料机</w:t>
            </w:r>
            <w:r>
              <w:rPr>
                <w:rFonts w:hint="eastAsia" w:ascii="Times New Roman" w:hAnsi="Times New Roman" w:eastAsia="宋体" w:cs="Times New Roman"/>
                <w:color w:val="auto"/>
                <w:sz w:val="21"/>
                <w:szCs w:val="21"/>
                <w:highlight w:val="none"/>
                <w:lang w:val="en-US" w:eastAsia="zh-CN"/>
              </w:rPr>
              <w:t>2</w:t>
            </w:r>
          </w:p>
        </w:tc>
        <w:tc>
          <w:tcPr>
            <w:tcW w:w="655" w:type="dxa"/>
            <w:shd w:val="clear" w:color="auto" w:fill="auto"/>
            <w:tcMar>
              <w:top w:w="0" w:type="dxa"/>
              <w:left w:w="0" w:type="dxa"/>
              <w:bottom w:w="0" w:type="dxa"/>
              <w:right w:w="0" w:type="dxa"/>
            </w:tcMar>
            <w:vAlign w:val="center"/>
          </w:tcPr>
          <w:p w14:paraId="7D1806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r>
              <w:rPr>
                <w:rFonts w:hint="eastAsia" w:ascii="Times New Roman" w:hAnsi="Times New Roman" w:eastAsia="宋体" w:cs="Times New Roman"/>
                <w:color w:val="auto"/>
                <w:sz w:val="21"/>
                <w:szCs w:val="21"/>
                <w:highlight w:val="none"/>
                <w:lang w:val="en-US" w:eastAsia="zh-CN"/>
              </w:rPr>
              <w:t>0</w:t>
            </w:r>
          </w:p>
        </w:tc>
        <w:tc>
          <w:tcPr>
            <w:tcW w:w="612" w:type="dxa"/>
            <w:vMerge w:val="continue"/>
            <w:shd w:val="clear" w:color="auto" w:fill="auto"/>
            <w:tcMar>
              <w:top w:w="0" w:type="dxa"/>
              <w:left w:w="0" w:type="dxa"/>
              <w:bottom w:w="0" w:type="dxa"/>
              <w:right w:w="0" w:type="dxa"/>
            </w:tcMar>
            <w:vAlign w:val="center"/>
          </w:tcPr>
          <w:p w14:paraId="14E317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146CAE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-52.8</w:t>
            </w:r>
          </w:p>
        </w:tc>
        <w:tc>
          <w:tcPr>
            <w:tcW w:w="455" w:type="dxa"/>
            <w:shd w:val="clear" w:color="auto" w:fill="auto"/>
            <w:tcMar>
              <w:top w:w="0" w:type="dxa"/>
              <w:left w:w="0" w:type="dxa"/>
              <w:bottom w:w="0" w:type="dxa"/>
              <w:right w:w="0" w:type="dxa"/>
            </w:tcMar>
            <w:vAlign w:val="center"/>
          </w:tcPr>
          <w:p w14:paraId="4B40AC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24.9</w:t>
            </w:r>
          </w:p>
        </w:tc>
        <w:tc>
          <w:tcPr>
            <w:tcW w:w="403" w:type="dxa"/>
            <w:shd w:val="clear" w:color="auto" w:fill="auto"/>
            <w:tcMar>
              <w:top w:w="0" w:type="dxa"/>
              <w:left w:w="0" w:type="dxa"/>
              <w:bottom w:w="0" w:type="dxa"/>
              <w:right w:w="0" w:type="dxa"/>
            </w:tcMar>
            <w:vAlign w:val="center"/>
          </w:tcPr>
          <w:p w14:paraId="71BD33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1E5A63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103.9</w:t>
            </w:r>
          </w:p>
        </w:tc>
        <w:tc>
          <w:tcPr>
            <w:tcW w:w="393" w:type="dxa"/>
            <w:shd w:val="clear" w:color="auto" w:fill="auto"/>
            <w:tcMar>
              <w:top w:w="0" w:type="dxa"/>
              <w:left w:w="0" w:type="dxa"/>
              <w:bottom w:w="0" w:type="dxa"/>
              <w:right w:w="0" w:type="dxa"/>
            </w:tcMar>
            <w:vAlign w:val="center"/>
          </w:tcPr>
          <w:p w14:paraId="00E332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24.4</w:t>
            </w:r>
          </w:p>
        </w:tc>
        <w:tc>
          <w:tcPr>
            <w:tcW w:w="517" w:type="dxa"/>
            <w:shd w:val="clear" w:color="auto" w:fill="auto"/>
            <w:tcMar>
              <w:top w:w="0" w:type="dxa"/>
              <w:left w:w="0" w:type="dxa"/>
              <w:bottom w:w="0" w:type="dxa"/>
              <w:right w:w="0" w:type="dxa"/>
            </w:tcMar>
            <w:vAlign w:val="center"/>
          </w:tcPr>
          <w:p w14:paraId="74112D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22.9</w:t>
            </w:r>
          </w:p>
        </w:tc>
        <w:tc>
          <w:tcPr>
            <w:tcW w:w="455" w:type="dxa"/>
            <w:shd w:val="clear" w:color="auto" w:fill="auto"/>
            <w:tcMar>
              <w:top w:w="0" w:type="dxa"/>
              <w:left w:w="0" w:type="dxa"/>
              <w:bottom w:w="0" w:type="dxa"/>
              <w:right w:w="0" w:type="dxa"/>
            </w:tcMar>
            <w:vAlign w:val="center"/>
          </w:tcPr>
          <w:p w14:paraId="7CF67B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37.6</w:t>
            </w:r>
          </w:p>
        </w:tc>
        <w:tc>
          <w:tcPr>
            <w:tcW w:w="455" w:type="dxa"/>
            <w:shd w:val="clear" w:color="auto" w:fill="auto"/>
            <w:tcMar>
              <w:top w:w="0" w:type="dxa"/>
              <w:left w:w="0" w:type="dxa"/>
              <w:bottom w:w="0" w:type="dxa"/>
              <w:right w:w="0" w:type="dxa"/>
            </w:tcMar>
            <w:vAlign w:val="center"/>
          </w:tcPr>
          <w:p w14:paraId="3BC67B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61.4</w:t>
            </w:r>
          </w:p>
        </w:tc>
        <w:tc>
          <w:tcPr>
            <w:tcW w:w="455" w:type="dxa"/>
            <w:shd w:val="clear" w:color="auto" w:fill="auto"/>
            <w:tcMar>
              <w:top w:w="0" w:type="dxa"/>
              <w:left w:w="0" w:type="dxa"/>
              <w:bottom w:w="0" w:type="dxa"/>
              <w:right w:w="0" w:type="dxa"/>
            </w:tcMar>
            <w:vAlign w:val="center"/>
          </w:tcPr>
          <w:p w14:paraId="588667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61.4</w:t>
            </w:r>
          </w:p>
        </w:tc>
        <w:tc>
          <w:tcPr>
            <w:tcW w:w="455" w:type="dxa"/>
            <w:shd w:val="clear" w:color="auto" w:fill="auto"/>
            <w:tcMar>
              <w:top w:w="0" w:type="dxa"/>
              <w:left w:w="0" w:type="dxa"/>
              <w:bottom w:w="0" w:type="dxa"/>
              <w:right w:w="0" w:type="dxa"/>
            </w:tcMar>
            <w:vAlign w:val="center"/>
          </w:tcPr>
          <w:p w14:paraId="216EC7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61.4</w:t>
            </w:r>
          </w:p>
        </w:tc>
        <w:tc>
          <w:tcPr>
            <w:tcW w:w="455" w:type="dxa"/>
            <w:shd w:val="clear" w:color="auto" w:fill="auto"/>
            <w:tcMar>
              <w:top w:w="0" w:type="dxa"/>
              <w:left w:w="0" w:type="dxa"/>
              <w:bottom w:w="0" w:type="dxa"/>
              <w:right w:w="0" w:type="dxa"/>
            </w:tcMar>
            <w:vAlign w:val="center"/>
          </w:tcPr>
          <w:p w14:paraId="0A4BC3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61.4</w:t>
            </w:r>
          </w:p>
        </w:tc>
        <w:tc>
          <w:tcPr>
            <w:tcW w:w="455" w:type="dxa"/>
            <w:vMerge w:val="continue"/>
            <w:shd w:val="clear" w:color="auto" w:fill="auto"/>
            <w:tcMar>
              <w:top w:w="0" w:type="dxa"/>
              <w:left w:w="0" w:type="dxa"/>
              <w:bottom w:w="0" w:type="dxa"/>
              <w:right w:w="0" w:type="dxa"/>
            </w:tcMar>
            <w:vAlign w:val="center"/>
          </w:tcPr>
          <w:p w14:paraId="0140BF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00F087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32F4CC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67796E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0A3B1B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25B54A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34.9</w:t>
            </w:r>
          </w:p>
        </w:tc>
        <w:tc>
          <w:tcPr>
            <w:tcW w:w="495" w:type="dxa"/>
            <w:shd w:val="clear" w:color="auto" w:fill="auto"/>
            <w:tcMar>
              <w:top w:w="0" w:type="dxa"/>
              <w:left w:w="0" w:type="dxa"/>
              <w:bottom w:w="0" w:type="dxa"/>
              <w:right w:w="0" w:type="dxa"/>
            </w:tcMar>
            <w:vAlign w:val="center"/>
          </w:tcPr>
          <w:p w14:paraId="017342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34.9</w:t>
            </w:r>
          </w:p>
        </w:tc>
        <w:tc>
          <w:tcPr>
            <w:tcW w:w="435" w:type="dxa"/>
            <w:shd w:val="clear" w:color="auto" w:fill="auto"/>
            <w:tcMar>
              <w:top w:w="0" w:type="dxa"/>
              <w:left w:w="0" w:type="dxa"/>
              <w:bottom w:w="0" w:type="dxa"/>
              <w:right w:w="0" w:type="dxa"/>
            </w:tcMar>
            <w:vAlign w:val="center"/>
          </w:tcPr>
          <w:p w14:paraId="2B262E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34.9</w:t>
            </w:r>
          </w:p>
        </w:tc>
        <w:tc>
          <w:tcPr>
            <w:tcW w:w="499" w:type="dxa"/>
            <w:shd w:val="clear" w:color="auto" w:fill="auto"/>
            <w:tcMar>
              <w:top w:w="0" w:type="dxa"/>
              <w:left w:w="0" w:type="dxa"/>
              <w:bottom w:w="0" w:type="dxa"/>
              <w:right w:w="0" w:type="dxa"/>
            </w:tcMar>
            <w:vAlign w:val="center"/>
          </w:tcPr>
          <w:p w14:paraId="1D9595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34.9</w:t>
            </w:r>
          </w:p>
        </w:tc>
        <w:tc>
          <w:tcPr>
            <w:tcW w:w="547" w:type="dxa"/>
            <w:shd w:val="clear" w:color="auto" w:fill="auto"/>
            <w:tcMar>
              <w:top w:w="0" w:type="dxa"/>
              <w:left w:w="0" w:type="dxa"/>
              <w:bottom w:w="0" w:type="dxa"/>
              <w:right w:w="0" w:type="dxa"/>
            </w:tcMar>
            <w:vAlign w:val="center"/>
          </w:tcPr>
          <w:p w14:paraId="3A7669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3DD1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6779C8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1058" w:type="dxa"/>
            <w:shd w:val="clear" w:color="auto" w:fill="auto"/>
            <w:tcMar>
              <w:top w:w="0" w:type="dxa"/>
              <w:left w:w="0" w:type="dxa"/>
              <w:bottom w:w="0" w:type="dxa"/>
              <w:right w:w="0" w:type="dxa"/>
            </w:tcMar>
            <w:vAlign w:val="center"/>
          </w:tcPr>
          <w:p w14:paraId="030FC19E">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top"/>
          </w:tcPr>
          <w:p w14:paraId="07B9B94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篦式烘干机</w:t>
            </w:r>
          </w:p>
        </w:tc>
        <w:tc>
          <w:tcPr>
            <w:tcW w:w="655" w:type="dxa"/>
            <w:shd w:val="clear" w:color="auto" w:fill="auto"/>
            <w:tcMar>
              <w:top w:w="0" w:type="dxa"/>
              <w:left w:w="0" w:type="dxa"/>
              <w:bottom w:w="0" w:type="dxa"/>
              <w:right w:w="0" w:type="dxa"/>
            </w:tcMar>
            <w:vAlign w:val="center"/>
          </w:tcPr>
          <w:p w14:paraId="344A3F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612" w:type="dxa"/>
            <w:vMerge w:val="continue"/>
            <w:shd w:val="clear" w:color="auto" w:fill="auto"/>
            <w:tcMar>
              <w:top w:w="0" w:type="dxa"/>
              <w:left w:w="0" w:type="dxa"/>
              <w:bottom w:w="0" w:type="dxa"/>
              <w:right w:w="0" w:type="dxa"/>
            </w:tcMar>
            <w:vAlign w:val="center"/>
          </w:tcPr>
          <w:p w14:paraId="7AA86D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412754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-43.1</w:t>
            </w:r>
          </w:p>
        </w:tc>
        <w:tc>
          <w:tcPr>
            <w:tcW w:w="455" w:type="dxa"/>
            <w:shd w:val="clear" w:color="auto" w:fill="auto"/>
            <w:tcMar>
              <w:top w:w="0" w:type="dxa"/>
              <w:left w:w="0" w:type="dxa"/>
              <w:bottom w:w="0" w:type="dxa"/>
              <w:right w:w="0" w:type="dxa"/>
            </w:tcMar>
            <w:vAlign w:val="center"/>
          </w:tcPr>
          <w:p w14:paraId="6B0163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31.9</w:t>
            </w:r>
          </w:p>
        </w:tc>
        <w:tc>
          <w:tcPr>
            <w:tcW w:w="403" w:type="dxa"/>
            <w:shd w:val="clear" w:color="auto" w:fill="auto"/>
            <w:tcMar>
              <w:top w:w="0" w:type="dxa"/>
              <w:left w:w="0" w:type="dxa"/>
              <w:bottom w:w="0" w:type="dxa"/>
              <w:right w:w="0" w:type="dxa"/>
            </w:tcMar>
            <w:vAlign w:val="center"/>
          </w:tcPr>
          <w:p w14:paraId="3EEF7F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54EFBB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96.4</w:t>
            </w:r>
          </w:p>
        </w:tc>
        <w:tc>
          <w:tcPr>
            <w:tcW w:w="393" w:type="dxa"/>
            <w:shd w:val="clear" w:color="auto" w:fill="auto"/>
            <w:tcMar>
              <w:top w:w="0" w:type="dxa"/>
              <w:left w:w="0" w:type="dxa"/>
              <w:bottom w:w="0" w:type="dxa"/>
              <w:right w:w="0" w:type="dxa"/>
            </w:tcMar>
            <w:vAlign w:val="center"/>
          </w:tcPr>
          <w:p w14:paraId="06D8F2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33.5</w:t>
            </w:r>
          </w:p>
        </w:tc>
        <w:tc>
          <w:tcPr>
            <w:tcW w:w="517" w:type="dxa"/>
            <w:shd w:val="clear" w:color="auto" w:fill="auto"/>
            <w:tcMar>
              <w:top w:w="0" w:type="dxa"/>
              <w:left w:w="0" w:type="dxa"/>
              <w:bottom w:w="0" w:type="dxa"/>
              <w:right w:w="0" w:type="dxa"/>
            </w:tcMar>
            <w:vAlign w:val="center"/>
          </w:tcPr>
          <w:p w14:paraId="22DF14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31.9</w:t>
            </w:r>
          </w:p>
        </w:tc>
        <w:tc>
          <w:tcPr>
            <w:tcW w:w="455" w:type="dxa"/>
            <w:shd w:val="clear" w:color="auto" w:fill="auto"/>
            <w:tcMar>
              <w:top w:w="0" w:type="dxa"/>
              <w:left w:w="0" w:type="dxa"/>
              <w:bottom w:w="0" w:type="dxa"/>
              <w:right w:w="0" w:type="dxa"/>
            </w:tcMar>
            <w:vAlign w:val="center"/>
          </w:tcPr>
          <w:p w14:paraId="50681F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28.4</w:t>
            </w:r>
          </w:p>
        </w:tc>
        <w:tc>
          <w:tcPr>
            <w:tcW w:w="455" w:type="dxa"/>
            <w:shd w:val="clear" w:color="auto" w:fill="auto"/>
            <w:tcMar>
              <w:top w:w="0" w:type="dxa"/>
              <w:left w:w="0" w:type="dxa"/>
              <w:bottom w:w="0" w:type="dxa"/>
              <w:right w:w="0" w:type="dxa"/>
            </w:tcMar>
            <w:vAlign w:val="center"/>
          </w:tcPr>
          <w:p w14:paraId="6312BC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6F0534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289C41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41DD38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vMerge w:val="continue"/>
            <w:shd w:val="clear" w:color="auto" w:fill="auto"/>
            <w:tcMar>
              <w:top w:w="0" w:type="dxa"/>
              <w:left w:w="0" w:type="dxa"/>
              <w:bottom w:w="0" w:type="dxa"/>
              <w:right w:w="0" w:type="dxa"/>
            </w:tcMar>
            <w:vAlign w:val="center"/>
          </w:tcPr>
          <w:p w14:paraId="1D2243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4624CA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3EF089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0BA1C6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0FFCA9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5004B9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5" w:type="dxa"/>
            <w:shd w:val="clear" w:color="auto" w:fill="auto"/>
            <w:tcMar>
              <w:top w:w="0" w:type="dxa"/>
              <w:left w:w="0" w:type="dxa"/>
              <w:bottom w:w="0" w:type="dxa"/>
              <w:right w:w="0" w:type="dxa"/>
            </w:tcMar>
            <w:vAlign w:val="center"/>
          </w:tcPr>
          <w:p w14:paraId="2E6A26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35" w:type="dxa"/>
            <w:shd w:val="clear" w:color="auto" w:fill="auto"/>
            <w:tcMar>
              <w:top w:w="0" w:type="dxa"/>
              <w:left w:w="0" w:type="dxa"/>
              <w:bottom w:w="0" w:type="dxa"/>
              <w:right w:w="0" w:type="dxa"/>
            </w:tcMar>
            <w:vAlign w:val="center"/>
          </w:tcPr>
          <w:p w14:paraId="118FF1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9" w:type="dxa"/>
            <w:shd w:val="clear" w:color="auto" w:fill="auto"/>
            <w:tcMar>
              <w:top w:w="0" w:type="dxa"/>
              <w:left w:w="0" w:type="dxa"/>
              <w:bottom w:w="0" w:type="dxa"/>
              <w:right w:w="0" w:type="dxa"/>
            </w:tcMar>
            <w:vAlign w:val="center"/>
          </w:tcPr>
          <w:p w14:paraId="1FF9C0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547" w:type="dxa"/>
            <w:shd w:val="clear" w:color="auto" w:fill="auto"/>
            <w:tcMar>
              <w:top w:w="0" w:type="dxa"/>
              <w:left w:w="0" w:type="dxa"/>
              <w:bottom w:w="0" w:type="dxa"/>
              <w:right w:w="0" w:type="dxa"/>
            </w:tcMar>
            <w:vAlign w:val="center"/>
          </w:tcPr>
          <w:p w14:paraId="40B874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09A8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146DCB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1058" w:type="dxa"/>
            <w:shd w:val="clear" w:color="auto" w:fill="auto"/>
            <w:tcMar>
              <w:top w:w="0" w:type="dxa"/>
              <w:left w:w="0" w:type="dxa"/>
              <w:bottom w:w="0" w:type="dxa"/>
              <w:right w:w="0" w:type="dxa"/>
            </w:tcMar>
            <w:vAlign w:val="center"/>
          </w:tcPr>
          <w:p w14:paraId="7B931AD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top"/>
          </w:tcPr>
          <w:p w14:paraId="379597B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烘干排风机</w:t>
            </w:r>
          </w:p>
        </w:tc>
        <w:tc>
          <w:tcPr>
            <w:tcW w:w="655" w:type="dxa"/>
            <w:shd w:val="clear" w:color="auto" w:fill="auto"/>
            <w:tcMar>
              <w:top w:w="0" w:type="dxa"/>
              <w:left w:w="0" w:type="dxa"/>
              <w:bottom w:w="0" w:type="dxa"/>
              <w:right w:w="0" w:type="dxa"/>
            </w:tcMar>
            <w:vAlign w:val="center"/>
          </w:tcPr>
          <w:p w14:paraId="03A067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612" w:type="dxa"/>
            <w:vMerge w:val="continue"/>
            <w:shd w:val="clear" w:color="auto" w:fill="auto"/>
            <w:tcMar>
              <w:top w:w="0" w:type="dxa"/>
              <w:left w:w="0" w:type="dxa"/>
              <w:bottom w:w="0" w:type="dxa"/>
              <w:right w:w="0" w:type="dxa"/>
            </w:tcMar>
            <w:vAlign w:val="center"/>
          </w:tcPr>
          <w:p w14:paraId="25078D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7B54A6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7.3</w:t>
            </w:r>
          </w:p>
        </w:tc>
        <w:tc>
          <w:tcPr>
            <w:tcW w:w="455" w:type="dxa"/>
            <w:shd w:val="clear" w:color="auto" w:fill="auto"/>
            <w:tcMar>
              <w:top w:w="0" w:type="dxa"/>
              <w:left w:w="0" w:type="dxa"/>
              <w:bottom w:w="0" w:type="dxa"/>
              <w:right w:w="0" w:type="dxa"/>
            </w:tcMar>
            <w:vAlign w:val="center"/>
          </w:tcPr>
          <w:p w14:paraId="2AABE2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33.3</w:t>
            </w:r>
          </w:p>
        </w:tc>
        <w:tc>
          <w:tcPr>
            <w:tcW w:w="403" w:type="dxa"/>
            <w:shd w:val="clear" w:color="auto" w:fill="auto"/>
            <w:tcMar>
              <w:top w:w="0" w:type="dxa"/>
              <w:left w:w="0" w:type="dxa"/>
              <w:bottom w:w="0" w:type="dxa"/>
              <w:right w:w="0" w:type="dxa"/>
            </w:tcMar>
            <w:vAlign w:val="center"/>
          </w:tcPr>
          <w:p w14:paraId="60C445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5D60B8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48.2</w:t>
            </w:r>
          </w:p>
        </w:tc>
        <w:tc>
          <w:tcPr>
            <w:tcW w:w="393" w:type="dxa"/>
            <w:shd w:val="clear" w:color="auto" w:fill="auto"/>
            <w:tcMar>
              <w:top w:w="0" w:type="dxa"/>
              <w:left w:w="0" w:type="dxa"/>
              <w:bottom w:w="0" w:type="dxa"/>
              <w:right w:w="0" w:type="dxa"/>
            </w:tcMar>
            <w:vAlign w:val="center"/>
          </w:tcPr>
          <w:p w14:paraId="1255EF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46.6</w:t>
            </w:r>
          </w:p>
        </w:tc>
        <w:tc>
          <w:tcPr>
            <w:tcW w:w="517" w:type="dxa"/>
            <w:shd w:val="clear" w:color="auto" w:fill="auto"/>
            <w:tcMar>
              <w:top w:w="0" w:type="dxa"/>
              <w:left w:w="0" w:type="dxa"/>
              <w:bottom w:w="0" w:type="dxa"/>
              <w:right w:w="0" w:type="dxa"/>
            </w:tcMar>
            <w:vAlign w:val="center"/>
          </w:tcPr>
          <w:p w14:paraId="5F37BF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81.9</w:t>
            </w:r>
          </w:p>
        </w:tc>
        <w:tc>
          <w:tcPr>
            <w:tcW w:w="455" w:type="dxa"/>
            <w:shd w:val="clear" w:color="auto" w:fill="auto"/>
            <w:tcMar>
              <w:top w:w="0" w:type="dxa"/>
              <w:left w:w="0" w:type="dxa"/>
              <w:bottom w:w="0" w:type="dxa"/>
              <w:right w:w="0" w:type="dxa"/>
            </w:tcMar>
            <w:vAlign w:val="center"/>
          </w:tcPr>
          <w:p w14:paraId="4B467C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14.9</w:t>
            </w:r>
          </w:p>
        </w:tc>
        <w:tc>
          <w:tcPr>
            <w:tcW w:w="455" w:type="dxa"/>
            <w:shd w:val="clear" w:color="auto" w:fill="auto"/>
            <w:tcMar>
              <w:top w:w="0" w:type="dxa"/>
              <w:left w:w="0" w:type="dxa"/>
              <w:bottom w:w="0" w:type="dxa"/>
              <w:right w:w="0" w:type="dxa"/>
            </w:tcMar>
            <w:vAlign w:val="center"/>
          </w:tcPr>
          <w:p w14:paraId="4DA943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349B9B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537D43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7149B8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66.5</w:t>
            </w:r>
          </w:p>
        </w:tc>
        <w:tc>
          <w:tcPr>
            <w:tcW w:w="455" w:type="dxa"/>
            <w:vMerge w:val="continue"/>
            <w:shd w:val="clear" w:color="auto" w:fill="auto"/>
            <w:tcMar>
              <w:top w:w="0" w:type="dxa"/>
              <w:left w:w="0" w:type="dxa"/>
              <w:bottom w:w="0" w:type="dxa"/>
              <w:right w:w="0" w:type="dxa"/>
            </w:tcMar>
            <w:vAlign w:val="center"/>
          </w:tcPr>
          <w:p w14:paraId="0D22EB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2F61E2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616D6B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3ACCEF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2076DC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36F6D1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5" w:type="dxa"/>
            <w:shd w:val="clear" w:color="auto" w:fill="auto"/>
            <w:tcMar>
              <w:top w:w="0" w:type="dxa"/>
              <w:left w:w="0" w:type="dxa"/>
              <w:bottom w:w="0" w:type="dxa"/>
              <w:right w:w="0" w:type="dxa"/>
            </w:tcMar>
            <w:vAlign w:val="center"/>
          </w:tcPr>
          <w:p w14:paraId="325065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35" w:type="dxa"/>
            <w:shd w:val="clear" w:color="auto" w:fill="auto"/>
            <w:tcMar>
              <w:top w:w="0" w:type="dxa"/>
              <w:left w:w="0" w:type="dxa"/>
              <w:bottom w:w="0" w:type="dxa"/>
              <w:right w:w="0" w:type="dxa"/>
            </w:tcMar>
            <w:vAlign w:val="center"/>
          </w:tcPr>
          <w:p w14:paraId="0CC78D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9" w:type="dxa"/>
            <w:shd w:val="clear" w:color="auto" w:fill="auto"/>
            <w:tcMar>
              <w:top w:w="0" w:type="dxa"/>
              <w:left w:w="0" w:type="dxa"/>
              <w:bottom w:w="0" w:type="dxa"/>
              <w:right w:w="0" w:type="dxa"/>
            </w:tcMar>
            <w:vAlign w:val="center"/>
          </w:tcPr>
          <w:p w14:paraId="78C828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c>
          <w:tcPr>
            <w:tcW w:w="547" w:type="dxa"/>
            <w:shd w:val="clear" w:color="auto" w:fill="auto"/>
            <w:tcMar>
              <w:top w:w="0" w:type="dxa"/>
              <w:left w:w="0" w:type="dxa"/>
              <w:bottom w:w="0" w:type="dxa"/>
              <w:right w:w="0" w:type="dxa"/>
            </w:tcMar>
            <w:vAlign w:val="center"/>
          </w:tcPr>
          <w:p w14:paraId="53CA35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53D3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5834BF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058" w:type="dxa"/>
            <w:shd w:val="clear" w:color="auto" w:fill="auto"/>
            <w:tcMar>
              <w:top w:w="0" w:type="dxa"/>
              <w:left w:w="0" w:type="dxa"/>
              <w:bottom w:w="0" w:type="dxa"/>
              <w:right w:w="0" w:type="dxa"/>
            </w:tcMar>
            <w:vAlign w:val="center"/>
          </w:tcPr>
          <w:p w14:paraId="35FE7890">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top"/>
          </w:tcPr>
          <w:p w14:paraId="166E89B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F1烘干风机</w:t>
            </w:r>
          </w:p>
        </w:tc>
        <w:tc>
          <w:tcPr>
            <w:tcW w:w="655" w:type="dxa"/>
            <w:shd w:val="clear" w:color="auto" w:fill="auto"/>
            <w:tcMar>
              <w:top w:w="0" w:type="dxa"/>
              <w:left w:w="0" w:type="dxa"/>
              <w:bottom w:w="0" w:type="dxa"/>
              <w:right w:w="0" w:type="dxa"/>
            </w:tcMar>
            <w:vAlign w:val="center"/>
          </w:tcPr>
          <w:p w14:paraId="334391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612" w:type="dxa"/>
            <w:vMerge w:val="continue"/>
            <w:shd w:val="clear" w:color="auto" w:fill="auto"/>
            <w:tcMar>
              <w:top w:w="0" w:type="dxa"/>
              <w:left w:w="0" w:type="dxa"/>
              <w:bottom w:w="0" w:type="dxa"/>
              <w:right w:w="0" w:type="dxa"/>
            </w:tcMar>
            <w:vAlign w:val="center"/>
          </w:tcPr>
          <w:p w14:paraId="644E30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3D5E9E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-54.1</w:t>
            </w:r>
          </w:p>
        </w:tc>
        <w:tc>
          <w:tcPr>
            <w:tcW w:w="455" w:type="dxa"/>
            <w:shd w:val="clear" w:color="auto" w:fill="auto"/>
            <w:tcMar>
              <w:top w:w="0" w:type="dxa"/>
              <w:left w:w="0" w:type="dxa"/>
              <w:bottom w:w="0" w:type="dxa"/>
              <w:right w:w="0" w:type="dxa"/>
            </w:tcMar>
            <w:vAlign w:val="center"/>
          </w:tcPr>
          <w:p w14:paraId="276A87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16.8</w:t>
            </w:r>
          </w:p>
        </w:tc>
        <w:tc>
          <w:tcPr>
            <w:tcW w:w="403" w:type="dxa"/>
            <w:shd w:val="clear" w:color="auto" w:fill="auto"/>
            <w:tcMar>
              <w:top w:w="0" w:type="dxa"/>
              <w:left w:w="0" w:type="dxa"/>
              <w:bottom w:w="0" w:type="dxa"/>
              <w:right w:w="0" w:type="dxa"/>
            </w:tcMar>
            <w:vAlign w:val="center"/>
          </w:tcPr>
          <w:p w14:paraId="4CF08B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02B530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103.0</w:t>
            </w:r>
          </w:p>
        </w:tc>
        <w:tc>
          <w:tcPr>
            <w:tcW w:w="393" w:type="dxa"/>
            <w:shd w:val="clear" w:color="auto" w:fill="auto"/>
            <w:tcMar>
              <w:top w:w="0" w:type="dxa"/>
              <w:left w:w="0" w:type="dxa"/>
              <w:bottom w:w="0" w:type="dxa"/>
              <w:right w:w="0" w:type="dxa"/>
            </w:tcMar>
            <w:vAlign w:val="center"/>
          </w:tcPr>
          <w:p w14:paraId="49E96A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16.2</w:t>
            </w:r>
          </w:p>
        </w:tc>
        <w:tc>
          <w:tcPr>
            <w:tcW w:w="517" w:type="dxa"/>
            <w:shd w:val="clear" w:color="auto" w:fill="auto"/>
            <w:tcMar>
              <w:top w:w="0" w:type="dxa"/>
              <w:left w:w="0" w:type="dxa"/>
              <w:bottom w:w="0" w:type="dxa"/>
              <w:right w:w="0" w:type="dxa"/>
            </w:tcMar>
            <w:vAlign w:val="center"/>
          </w:tcPr>
          <w:p w14:paraId="0B5A12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22.4</w:t>
            </w:r>
          </w:p>
        </w:tc>
        <w:tc>
          <w:tcPr>
            <w:tcW w:w="455" w:type="dxa"/>
            <w:shd w:val="clear" w:color="auto" w:fill="auto"/>
            <w:tcMar>
              <w:top w:w="0" w:type="dxa"/>
              <w:left w:w="0" w:type="dxa"/>
              <w:bottom w:w="0" w:type="dxa"/>
              <w:right w:w="0" w:type="dxa"/>
            </w:tcMar>
            <w:vAlign w:val="center"/>
          </w:tcPr>
          <w:p w14:paraId="18CE8B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45.7</w:t>
            </w:r>
          </w:p>
        </w:tc>
        <w:tc>
          <w:tcPr>
            <w:tcW w:w="455" w:type="dxa"/>
            <w:shd w:val="clear" w:color="auto" w:fill="auto"/>
            <w:tcMar>
              <w:top w:w="0" w:type="dxa"/>
              <w:left w:w="0" w:type="dxa"/>
              <w:bottom w:w="0" w:type="dxa"/>
              <w:right w:w="0" w:type="dxa"/>
            </w:tcMar>
            <w:vAlign w:val="center"/>
          </w:tcPr>
          <w:p w14:paraId="4F6ADB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5917C7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66.5</w:t>
            </w:r>
          </w:p>
        </w:tc>
        <w:tc>
          <w:tcPr>
            <w:tcW w:w="455" w:type="dxa"/>
            <w:shd w:val="clear" w:color="auto" w:fill="auto"/>
            <w:tcMar>
              <w:top w:w="0" w:type="dxa"/>
              <w:left w:w="0" w:type="dxa"/>
              <w:bottom w:w="0" w:type="dxa"/>
              <w:right w:w="0" w:type="dxa"/>
            </w:tcMar>
            <w:vAlign w:val="center"/>
          </w:tcPr>
          <w:p w14:paraId="4AF7F2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1F4949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vMerge w:val="continue"/>
            <w:shd w:val="clear" w:color="auto" w:fill="auto"/>
            <w:tcMar>
              <w:top w:w="0" w:type="dxa"/>
              <w:left w:w="0" w:type="dxa"/>
              <w:bottom w:w="0" w:type="dxa"/>
              <w:right w:w="0" w:type="dxa"/>
            </w:tcMar>
            <w:vAlign w:val="center"/>
          </w:tcPr>
          <w:p w14:paraId="44BDFA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03ACCB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6FD083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784021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309CA2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10EEA2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5" w:type="dxa"/>
            <w:shd w:val="clear" w:color="auto" w:fill="auto"/>
            <w:tcMar>
              <w:top w:w="0" w:type="dxa"/>
              <w:left w:w="0" w:type="dxa"/>
              <w:bottom w:w="0" w:type="dxa"/>
              <w:right w:w="0" w:type="dxa"/>
            </w:tcMar>
            <w:vAlign w:val="center"/>
          </w:tcPr>
          <w:p w14:paraId="3B6163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c>
          <w:tcPr>
            <w:tcW w:w="435" w:type="dxa"/>
            <w:shd w:val="clear" w:color="auto" w:fill="auto"/>
            <w:tcMar>
              <w:top w:w="0" w:type="dxa"/>
              <w:left w:w="0" w:type="dxa"/>
              <w:bottom w:w="0" w:type="dxa"/>
              <w:right w:w="0" w:type="dxa"/>
            </w:tcMar>
            <w:vAlign w:val="center"/>
          </w:tcPr>
          <w:p w14:paraId="47A5CD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9" w:type="dxa"/>
            <w:shd w:val="clear" w:color="auto" w:fill="auto"/>
            <w:tcMar>
              <w:top w:w="0" w:type="dxa"/>
              <w:left w:w="0" w:type="dxa"/>
              <w:bottom w:w="0" w:type="dxa"/>
              <w:right w:w="0" w:type="dxa"/>
            </w:tcMar>
            <w:vAlign w:val="center"/>
          </w:tcPr>
          <w:p w14:paraId="21F853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547" w:type="dxa"/>
            <w:shd w:val="clear" w:color="auto" w:fill="auto"/>
            <w:tcMar>
              <w:top w:w="0" w:type="dxa"/>
              <w:left w:w="0" w:type="dxa"/>
              <w:bottom w:w="0" w:type="dxa"/>
              <w:right w:w="0" w:type="dxa"/>
            </w:tcMar>
            <w:vAlign w:val="center"/>
          </w:tcPr>
          <w:p w14:paraId="250CFE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057E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5B778A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1058" w:type="dxa"/>
            <w:shd w:val="clear" w:color="auto" w:fill="auto"/>
            <w:tcMar>
              <w:top w:w="0" w:type="dxa"/>
              <w:left w:w="0" w:type="dxa"/>
              <w:bottom w:w="0" w:type="dxa"/>
              <w:right w:w="0" w:type="dxa"/>
            </w:tcMar>
            <w:vAlign w:val="center"/>
          </w:tcPr>
          <w:p w14:paraId="35C5B1E7">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6783496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F2烘干风机</w:t>
            </w:r>
          </w:p>
        </w:tc>
        <w:tc>
          <w:tcPr>
            <w:tcW w:w="655" w:type="dxa"/>
            <w:shd w:val="clear" w:color="auto" w:fill="auto"/>
            <w:tcMar>
              <w:top w:w="0" w:type="dxa"/>
              <w:left w:w="0" w:type="dxa"/>
              <w:bottom w:w="0" w:type="dxa"/>
              <w:right w:w="0" w:type="dxa"/>
            </w:tcMar>
            <w:vAlign w:val="center"/>
          </w:tcPr>
          <w:p w14:paraId="19260C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612" w:type="dxa"/>
            <w:vMerge w:val="continue"/>
            <w:shd w:val="clear" w:color="auto" w:fill="auto"/>
            <w:tcMar>
              <w:top w:w="0" w:type="dxa"/>
              <w:left w:w="0" w:type="dxa"/>
              <w:bottom w:w="0" w:type="dxa"/>
              <w:right w:w="0" w:type="dxa"/>
            </w:tcMar>
            <w:vAlign w:val="center"/>
          </w:tcPr>
          <w:p w14:paraId="7A590E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0721A1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-42.3</w:t>
            </w:r>
          </w:p>
        </w:tc>
        <w:tc>
          <w:tcPr>
            <w:tcW w:w="455" w:type="dxa"/>
            <w:shd w:val="clear" w:color="auto" w:fill="auto"/>
            <w:tcMar>
              <w:top w:w="0" w:type="dxa"/>
              <w:left w:w="0" w:type="dxa"/>
              <w:bottom w:w="0" w:type="dxa"/>
              <w:right w:w="0" w:type="dxa"/>
            </w:tcMar>
            <w:vAlign w:val="center"/>
          </w:tcPr>
          <w:p w14:paraId="5AB392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13.9</w:t>
            </w:r>
          </w:p>
        </w:tc>
        <w:tc>
          <w:tcPr>
            <w:tcW w:w="403" w:type="dxa"/>
            <w:shd w:val="clear" w:color="auto" w:fill="auto"/>
            <w:tcMar>
              <w:top w:w="0" w:type="dxa"/>
              <w:left w:w="0" w:type="dxa"/>
              <w:bottom w:w="0" w:type="dxa"/>
              <w:right w:w="0" w:type="dxa"/>
            </w:tcMar>
            <w:vAlign w:val="center"/>
          </w:tcPr>
          <w:p w14:paraId="5CE5BF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4B112B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90.9</w:t>
            </w:r>
          </w:p>
        </w:tc>
        <w:tc>
          <w:tcPr>
            <w:tcW w:w="393" w:type="dxa"/>
            <w:shd w:val="clear" w:color="auto" w:fill="auto"/>
            <w:tcMar>
              <w:top w:w="0" w:type="dxa"/>
              <w:left w:w="0" w:type="dxa"/>
              <w:bottom w:w="0" w:type="dxa"/>
              <w:right w:w="0" w:type="dxa"/>
            </w:tcMar>
            <w:vAlign w:val="center"/>
          </w:tcPr>
          <w:p w14:paraId="63FE2E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16.2</w:t>
            </w:r>
          </w:p>
        </w:tc>
        <w:tc>
          <w:tcPr>
            <w:tcW w:w="517" w:type="dxa"/>
            <w:shd w:val="clear" w:color="auto" w:fill="auto"/>
            <w:tcMar>
              <w:top w:w="0" w:type="dxa"/>
              <w:left w:w="0" w:type="dxa"/>
              <w:bottom w:w="0" w:type="dxa"/>
              <w:right w:w="0" w:type="dxa"/>
            </w:tcMar>
            <w:vAlign w:val="center"/>
          </w:tcPr>
          <w:p w14:paraId="73C03D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34.4</w:t>
            </w:r>
          </w:p>
        </w:tc>
        <w:tc>
          <w:tcPr>
            <w:tcW w:w="455" w:type="dxa"/>
            <w:shd w:val="clear" w:color="auto" w:fill="auto"/>
            <w:tcMar>
              <w:top w:w="0" w:type="dxa"/>
              <w:left w:w="0" w:type="dxa"/>
              <w:bottom w:w="0" w:type="dxa"/>
              <w:right w:w="0" w:type="dxa"/>
            </w:tcMar>
            <w:vAlign w:val="center"/>
          </w:tcPr>
          <w:p w14:paraId="6C7D11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45.7</w:t>
            </w:r>
          </w:p>
        </w:tc>
        <w:tc>
          <w:tcPr>
            <w:tcW w:w="455" w:type="dxa"/>
            <w:shd w:val="clear" w:color="auto" w:fill="auto"/>
            <w:tcMar>
              <w:top w:w="0" w:type="dxa"/>
              <w:left w:w="0" w:type="dxa"/>
              <w:bottom w:w="0" w:type="dxa"/>
              <w:right w:w="0" w:type="dxa"/>
            </w:tcMar>
            <w:vAlign w:val="center"/>
          </w:tcPr>
          <w:p w14:paraId="0739F3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53BFE5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66.5</w:t>
            </w:r>
          </w:p>
        </w:tc>
        <w:tc>
          <w:tcPr>
            <w:tcW w:w="455" w:type="dxa"/>
            <w:shd w:val="clear" w:color="auto" w:fill="auto"/>
            <w:tcMar>
              <w:top w:w="0" w:type="dxa"/>
              <w:left w:w="0" w:type="dxa"/>
              <w:bottom w:w="0" w:type="dxa"/>
              <w:right w:w="0" w:type="dxa"/>
            </w:tcMar>
            <w:vAlign w:val="center"/>
          </w:tcPr>
          <w:p w14:paraId="4763C5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26BCF2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vMerge w:val="continue"/>
            <w:shd w:val="clear" w:color="auto" w:fill="auto"/>
            <w:tcMar>
              <w:top w:w="0" w:type="dxa"/>
              <w:left w:w="0" w:type="dxa"/>
              <w:bottom w:w="0" w:type="dxa"/>
              <w:right w:w="0" w:type="dxa"/>
            </w:tcMar>
            <w:vAlign w:val="center"/>
          </w:tcPr>
          <w:p w14:paraId="273CFA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0DC766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166ACD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418881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0E91BB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448252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5" w:type="dxa"/>
            <w:shd w:val="clear" w:color="auto" w:fill="auto"/>
            <w:tcMar>
              <w:top w:w="0" w:type="dxa"/>
              <w:left w:w="0" w:type="dxa"/>
              <w:bottom w:w="0" w:type="dxa"/>
              <w:right w:w="0" w:type="dxa"/>
            </w:tcMar>
            <w:vAlign w:val="center"/>
          </w:tcPr>
          <w:p w14:paraId="3983C1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c>
          <w:tcPr>
            <w:tcW w:w="435" w:type="dxa"/>
            <w:shd w:val="clear" w:color="auto" w:fill="auto"/>
            <w:tcMar>
              <w:top w:w="0" w:type="dxa"/>
              <w:left w:w="0" w:type="dxa"/>
              <w:bottom w:w="0" w:type="dxa"/>
              <w:right w:w="0" w:type="dxa"/>
            </w:tcMar>
            <w:vAlign w:val="center"/>
          </w:tcPr>
          <w:p w14:paraId="17060B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9" w:type="dxa"/>
            <w:shd w:val="clear" w:color="auto" w:fill="auto"/>
            <w:tcMar>
              <w:top w:w="0" w:type="dxa"/>
              <w:left w:w="0" w:type="dxa"/>
              <w:bottom w:w="0" w:type="dxa"/>
              <w:right w:w="0" w:type="dxa"/>
            </w:tcMar>
            <w:vAlign w:val="center"/>
          </w:tcPr>
          <w:p w14:paraId="272336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547" w:type="dxa"/>
            <w:shd w:val="clear" w:color="auto" w:fill="auto"/>
            <w:tcMar>
              <w:top w:w="0" w:type="dxa"/>
              <w:left w:w="0" w:type="dxa"/>
              <w:bottom w:w="0" w:type="dxa"/>
              <w:right w:w="0" w:type="dxa"/>
            </w:tcMar>
            <w:vAlign w:val="center"/>
          </w:tcPr>
          <w:p w14:paraId="3948A9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6AF1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029F5A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1058" w:type="dxa"/>
            <w:shd w:val="clear" w:color="auto" w:fill="auto"/>
            <w:tcMar>
              <w:top w:w="0" w:type="dxa"/>
              <w:left w:w="0" w:type="dxa"/>
              <w:bottom w:w="0" w:type="dxa"/>
              <w:right w:w="0" w:type="dxa"/>
            </w:tcMar>
            <w:vAlign w:val="center"/>
          </w:tcPr>
          <w:p w14:paraId="51339FD7">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51854BD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F</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烘干风机</w:t>
            </w:r>
          </w:p>
        </w:tc>
        <w:tc>
          <w:tcPr>
            <w:tcW w:w="655" w:type="dxa"/>
            <w:shd w:val="clear" w:color="auto" w:fill="auto"/>
            <w:tcMar>
              <w:top w:w="0" w:type="dxa"/>
              <w:left w:w="0" w:type="dxa"/>
              <w:bottom w:w="0" w:type="dxa"/>
              <w:right w:w="0" w:type="dxa"/>
            </w:tcMar>
            <w:vAlign w:val="center"/>
          </w:tcPr>
          <w:p w14:paraId="78870D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85</w:t>
            </w:r>
          </w:p>
        </w:tc>
        <w:tc>
          <w:tcPr>
            <w:tcW w:w="612" w:type="dxa"/>
            <w:vMerge w:val="continue"/>
            <w:shd w:val="clear" w:color="auto" w:fill="auto"/>
            <w:tcMar>
              <w:top w:w="0" w:type="dxa"/>
              <w:left w:w="0" w:type="dxa"/>
              <w:bottom w:w="0" w:type="dxa"/>
              <w:right w:w="0" w:type="dxa"/>
            </w:tcMar>
            <w:vAlign w:val="center"/>
          </w:tcPr>
          <w:p w14:paraId="70BE47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42C705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-29.4</w:t>
            </w:r>
          </w:p>
        </w:tc>
        <w:tc>
          <w:tcPr>
            <w:tcW w:w="455" w:type="dxa"/>
            <w:shd w:val="clear" w:color="auto" w:fill="auto"/>
            <w:tcMar>
              <w:top w:w="0" w:type="dxa"/>
              <w:left w:w="0" w:type="dxa"/>
              <w:bottom w:w="0" w:type="dxa"/>
              <w:right w:w="0" w:type="dxa"/>
            </w:tcMar>
            <w:vAlign w:val="center"/>
          </w:tcPr>
          <w:p w14:paraId="4C8CC6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10.9</w:t>
            </w:r>
          </w:p>
        </w:tc>
        <w:tc>
          <w:tcPr>
            <w:tcW w:w="403" w:type="dxa"/>
            <w:shd w:val="clear" w:color="auto" w:fill="auto"/>
            <w:tcMar>
              <w:top w:w="0" w:type="dxa"/>
              <w:left w:w="0" w:type="dxa"/>
              <w:bottom w:w="0" w:type="dxa"/>
              <w:right w:w="0" w:type="dxa"/>
            </w:tcMar>
            <w:vAlign w:val="center"/>
          </w:tcPr>
          <w:p w14:paraId="33BB7D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13BE8B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77.7</w:t>
            </w:r>
          </w:p>
        </w:tc>
        <w:tc>
          <w:tcPr>
            <w:tcW w:w="393" w:type="dxa"/>
            <w:shd w:val="clear" w:color="auto" w:fill="auto"/>
            <w:tcMar>
              <w:top w:w="0" w:type="dxa"/>
              <w:left w:w="0" w:type="dxa"/>
              <w:bottom w:w="0" w:type="dxa"/>
              <w:right w:w="0" w:type="dxa"/>
            </w:tcMar>
            <w:vAlign w:val="center"/>
          </w:tcPr>
          <w:p w14:paraId="64956D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w:t>
            </w:r>
          </w:p>
        </w:tc>
        <w:tc>
          <w:tcPr>
            <w:tcW w:w="517" w:type="dxa"/>
            <w:shd w:val="clear" w:color="auto" w:fill="auto"/>
            <w:tcMar>
              <w:top w:w="0" w:type="dxa"/>
              <w:left w:w="0" w:type="dxa"/>
              <w:bottom w:w="0" w:type="dxa"/>
              <w:right w:w="0" w:type="dxa"/>
            </w:tcMar>
            <w:vAlign w:val="center"/>
          </w:tcPr>
          <w:p w14:paraId="36FB68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47.6</w:t>
            </w:r>
          </w:p>
        </w:tc>
        <w:tc>
          <w:tcPr>
            <w:tcW w:w="455" w:type="dxa"/>
            <w:shd w:val="clear" w:color="auto" w:fill="auto"/>
            <w:tcMar>
              <w:top w:w="0" w:type="dxa"/>
              <w:left w:w="0" w:type="dxa"/>
              <w:bottom w:w="0" w:type="dxa"/>
              <w:right w:w="0" w:type="dxa"/>
            </w:tcMar>
            <w:vAlign w:val="center"/>
          </w:tcPr>
          <w:p w14:paraId="672A1F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45.5</w:t>
            </w:r>
          </w:p>
        </w:tc>
        <w:tc>
          <w:tcPr>
            <w:tcW w:w="455" w:type="dxa"/>
            <w:shd w:val="clear" w:color="auto" w:fill="auto"/>
            <w:tcMar>
              <w:top w:w="0" w:type="dxa"/>
              <w:left w:w="0" w:type="dxa"/>
              <w:bottom w:w="0" w:type="dxa"/>
              <w:right w:w="0" w:type="dxa"/>
            </w:tcMar>
            <w:vAlign w:val="center"/>
          </w:tcPr>
          <w:p w14:paraId="703E3C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2BC5C3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66.5</w:t>
            </w:r>
          </w:p>
        </w:tc>
        <w:tc>
          <w:tcPr>
            <w:tcW w:w="455" w:type="dxa"/>
            <w:shd w:val="clear" w:color="auto" w:fill="auto"/>
            <w:tcMar>
              <w:top w:w="0" w:type="dxa"/>
              <w:left w:w="0" w:type="dxa"/>
              <w:bottom w:w="0" w:type="dxa"/>
              <w:right w:w="0" w:type="dxa"/>
            </w:tcMar>
            <w:vAlign w:val="center"/>
          </w:tcPr>
          <w:p w14:paraId="53B58A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7DA425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vMerge w:val="continue"/>
            <w:shd w:val="clear" w:color="auto" w:fill="auto"/>
            <w:tcMar>
              <w:top w:w="0" w:type="dxa"/>
              <w:left w:w="0" w:type="dxa"/>
              <w:bottom w:w="0" w:type="dxa"/>
              <w:right w:w="0" w:type="dxa"/>
            </w:tcMar>
            <w:vAlign w:val="center"/>
          </w:tcPr>
          <w:p w14:paraId="111BCC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5094AF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171F3C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37A2CC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640DF4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2A3867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5" w:type="dxa"/>
            <w:shd w:val="clear" w:color="auto" w:fill="auto"/>
            <w:tcMar>
              <w:top w:w="0" w:type="dxa"/>
              <w:left w:w="0" w:type="dxa"/>
              <w:bottom w:w="0" w:type="dxa"/>
              <w:right w:w="0" w:type="dxa"/>
            </w:tcMar>
            <w:vAlign w:val="center"/>
          </w:tcPr>
          <w:p w14:paraId="6C9FCD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c>
          <w:tcPr>
            <w:tcW w:w="435" w:type="dxa"/>
            <w:shd w:val="clear" w:color="auto" w:fill="auto"/>
            <w:tcMar>
              <w:top w:w="0" w:type="dxa"/>
              <w:left w:w="0" w:type="dxa"/>
              <w:bottom w:w="0" w:type="dxa"/>
              <w:right w:w="0" w:type="dxa"/>
            </w:tcMar>
            <w:vAlign w:val="center"/>
          </w:tcPr>
          <w:p w14:paraId="42B793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9" w:type="dxa"/>
            <w:shd w:val="clear" w:color="auto" w:fill="auto"/>
            <w:tcMar>
              <w:top w:w="0" w:type="dxa"/>
              <w:left w:w="0" w:type="dxa"/>
              <w:bottom w:w="0" w:type="dxa"/>
              <w:right w:w="0" w:type="dxa"/>
            </w:tcMar>
            <w:vAlign w:val="center"/>
          </w:tcPr>
          <w:p w14:paraId="78E7CE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547" w:type="dxa"/>
            <w:shd w:val="clear" w:color="auto" w:fill="auto"/>
            <w:tcMar>
              <w:top w:w="0" w:type="dxa"/>
              <w:left w:w="0" w:type="dxa"/>
              <w:bottom w:w="0" w:type="dxa"/>
              <w:right w:w="0" w:type="dxa"/>
            </w:tcMar>
            <w:vAlign w:val="center"/>
          </w:tcPr>
          <w:p w14:paraId="52FD57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313E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2ADDF9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1058" w:type="dxa"/>
            <w:shd w:val="clear" w:color="auto" w:fill="auto"/>
            <w:tcMar>
              <w:top w:w="0" w:type="dxa"/>
              <w:left w:w="0" w:type="dxa"/>
              <w:bottom w:w="0" w:type="dxa"/>
              <w:right w:w="0" w:type="dxa"/>
            </w:tcMar>
            <w:vAlign w:val="center"/>
          </w:tcPr>
          <w:p w14:paraId="73547848">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2F72AAA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F</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烘干风机</w:t>
            </w:r>
          </w:p>
        </w:tc>
        <w:tc>
          <w:tcPr>
            <w:tcW w:w="655" w:type="dxa"/>
            <w:shd w:val="clear" w:color="auto" w:fill="auto"/>
            <w:tcMar>
              <w:top w:w="0" w:type="dxa"/>
              <w:left w:w="0" w:type="dxa"/>
              <w:bottom w:w="0" w:type="dxa"/>
              <w:right w:w="0" w:type="dxa"/>
            </w:tcMar>
            <w:vAlign w:val="center"/>
          </w:tcPr>
          <w:p w14:paraId="5E9C9C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85</w:t>
            </w:r>
          </w:p>
        </w:tc>
        <w:tc>
          <w:tcPr>
            <w:tcW w:w="612" w:type="dxa"/>
            <w:vMerge w:val="continue"/>
            <w:shd w:val="clear" w:color="auto" w:fill="auto"/>
            <w:tcMar>
              <w:top w:w="0" w:type="dxa"/>
              <w:left w:w="0" w:type="dxa"/>
              <w:bottom w:w="0" w:type="dxa"/>
              <w:right w:w="0" w:type="dxa"/>
            </w:tcMar>
            <w:vAlign w:val="center"/>
          </w:tcPr>
          <w:p w14:paraId="647760C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48FD4F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w:t>
            </w:r>
          </w:p>
        </w:tc>
        <w:tc>
          <w:tcPr>
            <w:tcW w:w="455" w:type="dxa"/>
            <w:shd w:val="clear" w:color="auto" w:fill="auto"/>
            <w:tcMar>
              <w:top w:w="0" w:type="dxa"/>
              <w:left w:w="0" w:type="dxa"/>
              <w:bottom w:w="0" w:type="dxa"/>
              <w:right w:w="0" w:type="dxa"/>
            </w:tcMar>
            <w:vAlign w:val="center"/>
          </w:tcPr>
          <w:p w14:paraId="67F638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w:t>
            </w:r>
          </w:p>
        </w:tc>
        <w:tc>
          <w:tcPr>
            <w:tcW w:w="403" w:type="dxa"/>
            <w:shd w:val="clear" w:color="auto" w:fill="auto"/>
            <w:tcMar>
              <w:top w:w="0" w:type="dxa"/>
              <w:left w:w="0" w:type="dxa"/>
              <w:bottom w:w="0" w:type="dxa"/>
              <w:right w:w="0" w:type="dxa"/>
            </w:tcMar>
            <w:vAlign w:val="center"/>
          </w:tcPr>
          <w:p w14:paraId="51D444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79E54B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64.7</w:t>
            </w:r>
          </w:p>
        </w:tc>
        <w:tc>
          <w:tcPr>
            <w:tcW w:w="393" w:type="dxa"/>
            <w:shd w:val="clear" w:color="auto" w:fill="auto"/>
            <w:tcMar>
              <w:top w:w="0" w:type="dxa"/>
              <w:left w:w="0" w:type="dxa"/>
              <w:bottom w:w="0" w:type="dxa"/>
              <w:right w:w="0" w:type="dxa"/>
            </w:tcMar>
            <w:vAlign w:val="center"/>
          </w:tcPr>
          <w:p w14:paraId="038182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15.5</w:t>
            </w:r>
          </w:p>
        </w:tc>
        <w:tc>
          <w:tcPr>
            <w:tcW w:w="517" w:type="dxa"/>
            <w:shd w:val="clear" w:color="auto" w:fill="auto"/>
            <w:tcMar>
              <w:top w:w="0" w:type="dxa"/>
              <w:left w:w="0" w:type="dxa"/>
              <w:bottom w:w="0" w:type="dxa"/>
              <w:right w:w="0" w:type="dxa"/>
            </w:tcMar>
            <w:vAlign w:val="center"/>
          </w:tcPr>
          <w:p w14:paraId="5E213A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60.3</w:t>
            </w:r>
          </w:p>
        </w:tc>
        <w:tc>
          <w:tcPr>
            <w:tcW w:w="455" w:type="dxa"/>
            <w:shd w:val="clear" w:color="auto" w:fill="auto"/>
            <w:tcMar>
              <w:top w:w="0" w:type="dxa"/>
              <w:left w:w="0" w:type="dxa"/>
              <w:bottom w:w="0" w:type="dxa"/>
              <w:right w:w="0" w:type="dxa"/>
            </w:tcMar>
            <w:vAlign w:val="center"/>
          </w:tcPr>
          <w:p w14:paraId="3ADA0E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46.2</w:t>
            </w:r>
          </w:p>
        </w:tc>
        <w:tc>
          <w:tcPr>
            <w:tcW w:w="455" w:type="dxa"/>
            <w:shd w:val="clear" w:color="auto" w:fill="auto"/>
            <w:tcMar>
              <w:top w:w="0" w:type="dxa"/>
              <w:left w:w="0" w:type="dxa"/>
              <w:bottom w:w="0" w:type="dxa"/>
              <w:right w:w="0" w:type="dxa"/>
            </w:tcMar>
            <w:vAlign w:val="center"/>
          </w:tcPr>
          <w:p w14:paraId="209F6C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6DCB39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66.5</w:t>
            </w:r>
          </w:p>
        </w:tc>
        <w:tc>
          <w:tcPr>
            <w:tcW w:w="455" w:type="dxa"/>
            <w:shd w:val="clear" w:color="auto" w:fill="auto"/>
            <w:tcMar>
              <w:top w:w="0" w:type="dxa"/>
              <w:left w:w="0" w:type="dxa"/>
              <w:bottom w:w="0" w:type="dxa"/>
              <w:right w:w="0" w:type="dxa"/>
            </w:tcMar>
            <w:vAlign w:val="center"/>
          </w:tcPr>
          <w:p w14:paraId="7223E5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2FADB5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vMerge w:val="continue"/>
            <w:shd w:val="clear" w:color="auto" w:fill="auto"/>
            <w:tcMar>
              <w:top w:w="0" w:type="dxa"/>
              <w:left w:w="0" w:type="dxa"/>
              <w:bottom w:w="0" w:type="dxa"/>
              <w:right w:w="0" w:type="dxa"/>
            </w:tcMar>
            <w:vAlign w:val="center"/>
          </w:tcPr>
          <w:p w14:paraId="605BD2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640E3B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2FFBC0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4CFDAF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203F09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6258BB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5" w:type="dxa"/>
            <w:shd w:val="clear" w:color="auto" w:fill="auto"/>
            <w:tcMar>
              <w:top w:w="0" w:type="dxa"/>
              <w:left w:w="0" w:type="dxa"/>
              <w:bottom w:w="0" w:type="dxa"/>
              <w:right w:w="0" w:type="dxa"/>
            </w:tcMar>
            <w:vAlign w:val="center"/>
          </w:tcPr>
          <w:p w14:paraId="7D4584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c>
          <w:tcPr>
            <w:tcW w:w="435" w:type="dxa"/>
            <w:shd w:val="clear" w:color="auto" w:fill="auto"/>
            <w:tcMar>
              <w:top w:w="0" w:type="dxa"/>
              <w:left w:w="0" w:type="dxa"/>
              <w:bottom w:w="0" w:type="dxa"/>
              <w:right w:w="0" w:type="dxa"/>
            </w:tcMar>
            <w:vAlign w:val="center"/>
          </w:tcPr>
          <w:p w14:paraId="0B7BC0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9" w:type="dxa"/>
            <w:shd w:val="clear" w:color="auto" w:fill="auto"/>
            <w:tcMar>
              <w:top w:w="0" w:type="dxa"/>
              <w:left w:w="0" w:type="dxa"/>
              <w:bottom w:w="0" w:type="dxa"/>
              <w:right w:w="0" w:type="dxa"/>
            </w:tcMar>
            <w:vAlign w:val="center"/>
          </w:tcPr>
          <w:p w14:paraId="193C8F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547" w:type="dxa"/>
            <w:shd w:val="clear" w:color="auto" w:fill="auto"/>
            <w:tcMar>
              <w:top w:w="0" w:type="dxa"/>
              <w:left w:w="0" w:type="dxa"/>
              <w:bottom w:w="0" w:type="dxa"/>
              <w:right w:w="0" w:type="dxa"/>
            </w:tcMar>
            <w:vAlign w:val="center"/>
          </w:tcPr>
          <w:p w14:paraId="5FC431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512A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777762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1058" w:type="dxa"/>
            <w:shd w:val="clear" w:color="auto" w:fill="auto"/>
            <w:tcMar>
              <w:top w:w="0" w:type="dxa"/>
              <w:left w:w="0" w:type="dxa"/>
              <w:bottom w:w="0" w:type="dxa"/>
              <w:right w:w="0" w:type="dxa"/>
            </w:tcMar>
            <w:vAlign w:val="center"/>
          </w:tcPr>
          <w:p w14:paraId="0AE23306">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06EBB35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F5烘干风机</w:t>
            </w:r>
          </w:p>
        </w:tc>
        <w:tc>
          <w:tcPr>
            <w:tcW w:w="655" w:type="dxa"/>
            <w:shd w:val="clear" w:color="auto" w:fill="auto"/>
            <w:tcMar>
              <w:top w:w="0" w:type="dxa"/>
              <w:left w:w="0" w:type="dxa"/>
              <w:bottom w:w="0" w:type="dxa"/>
              <w:right w:w="0" w:type="dxa"/>
            </w:tcMar>
            <w:vAlign w:val="center"/>
          </w:tcPr>
          <w:p w14:paraId="0445F4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85</w:t>
            </w:r>
          </w:p>
        </w:tc>
        <w:tc>
          <w:tcPr>
            <w:tcW w:w="612" w:type="dxa"/>
            <w:vMerge w:val="continue"/>
            <w:shd w:val="clear" w:color="auto" w:fill="auto"/>
            <w:tcMar>
              <w:top w:w="0" w:type="dxa"/>
              <w:left w:w="0" w:type="dxa"/>
              <w:bottom w:w="0" w:type="dxa"/>
              <w:right w:w="0" w:type="dxa"/>
            </w:tcMar>
            <w:vAlign w:val="center"/>
          </w:tcPr>
          <w:p w14:paraId="04BB63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315D16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-62</w:t>
            </w:r>
          </w:p>
        </w:tc>
        <w:tc>
          <w:tcPr>
            <w:tcW w:w="455" w:type="dxa"/>
            <w:shd w:val="clear" w:color="auto" w:fill="auto"/>
            <w:tcMar>
              <w:top w:w="0" w:type="dxa"/>
              <w:left w:w="0" w:type="dxa"/>
              <w:bottom w:w="0" w:type="dxa"/>
              <w:right w:w="0" w:type="dxa"/>
            </w:tcMar>
            <w:vAlign w:val="center"/>
          </w:tcPr>
          <w:p w14:paraId="425F1D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10.6</w:t>
            </w:r>
          </w:p>
        </w:tc>
        <w:tc>
          <w:tcPr>
            <w:tcW w:w="403" w:type="dxa"/>
            <w:shd w:val="clear" w:color="auto" w:fill="auto"/>
            <w:tcMar>
              <w:top w:w="0" w:type="dxa"/>
              <w:left w:w="0" w:type="dxa"/>
              <w:bottom w:w="0" w:type="dxa"/>
              <w:right w:w="0" w:type="dxa"/>
            </w:tcMar>
            <w:vAlign w:val="center"/>
          </w:tcPr>
          <w:p w14:paraId="18A76F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5F2C5A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109.0</w:t>
            </w:r>
          </w:p>
        </w:tc>
        <w:tc>
          <w:tcPr>
            <w:tcW w:w="393" w:type="dxa"/>
            <w:shd w:val="clear" w:color="auto" w:fill="auto"/>
            <w:tcMar>
              <w:top w:w="0" w:type="dxa"/>
              <w:left w:w="0" w:type="dxa"/>
              <w:bottom w:w="0" w:type="dxa"/>
              <w:right w:w="0" w:type="dxa"/>
            </w:tcMar>
            <w:vAlign w:val="center"/>
          </w:tcPr>
          <w:p w14:paraId="731567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8.3</w:t>
            </w:r>
          </w:p>
        </w:tc>
        <w:tc>
          <w:tcPr>
            <w:tcW w:w="517" w:type="dxa"/>
            <w:shd w:val="clear" w:color="auto" w:fill="auto"/>
            <w:tcMar>
              <w:top w:w="0" w:type="dxa"/>
              <w:left w:w="0" w:type="dxa"/>
              <w:bottom w:w="0" w:type="dxa"/>
              <w:right w:w="0" w:type="dxa"/>
            </w:tcMar>
            <w:vAlign w:val="center"/>
          </w:tcPr>
          <w:p w14:paraId="7BEB78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15.2</w:t>
            </w:r>
          </w:p>
        </w:tc>
        <w:tc>
          <w:tcPr>
            <w:tcW w:w="455" w:type="dxa"/>
            <w:shd w:val="clear" w:color="auto" w:fill="auto"/>
            <w:tcMar>
              <w:top w:w="0" w:type="dxa"/>
              <w:left w:w="0" w:type="dxa"/>
              <w:bottom w:w="0" w:type="dxa"/>
              <w:right w:w="0" w:type="dxa"/>
            </w:tcMar>
            <w:vAlign w:val="center"/>
          </w:tcPr>
          <w:p w14:paraId="67E4D2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53.7</w:t>
            </w:r>
          </w:p>
        </w:tc>
        <w:tc>
          <w:tcPr>
            <w:tcW w:w="455" w:type="dxa"/>
            <w:shd w:val="clear" w:color="auto" w:fill="auto"/>
            <w:tcMar>
              <w:top w:w="0" w:type="dxa"/>
              <w:left w:w="0" w:type="dxa"/>
              <w:bottom w:w="0" w:type="dxa"/>
              <w:right w:w="0" w:type="dxa"/>
            </w:tcMar>
            <w:vAlign w:val="center"/>
          </w:tcPr>
          <w:p w14:paraId="498AEF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4634B3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66.7</w:t>
            </w:r>
          </w:p>
        </w:tc>
        <w:tc>
          <w:tcPr>
            <w:tcW w:w="455" w:type="dxa"/>
            <w:shd w:val="clear" w:color="auto" w:fill="auto"/>
            <w:tcMar>
              <w:top w:w="0" w:type="dxa"/>
              <w:left w:w="0" w:type="dxa"/>
              <w:bottom w:w="0" w:type="dxa"/>
              <w:right w:w="0" w:type="dxa"/>
            </w:tcMar>
            <w:vAlign w:val="center"/>
          </w:tcPr>
          <w:p w14:paraId="54C5CB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66.5</w:t>
            </w:r>
          </w:p>
        </w:tc>
        <w:tc>
          <w:tcPr>
            <w:tcW w:w="455" w:type="dxa"/>
            <w:shd w:val="clear" w:color="auto" w:fill="auto"/>
            <w:tcMar>
              <w:top w:w="0" w:type="dxa"/>
              <w:left w:w="0" w:type="dxa"/>
              <w:bottom w:w="0" w:type="dxa"/>
              <w:right w:w="0" w:type="dxa"/>
            </w:tcMar>
            <w:vAlign w:val="center"/>
          </w:tcPr>
          <w:p w14:paraId="770816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vMerge w:val="continue"/>
            <w:shd w:val="clear" w:color="auto" w:fill="auto"/>
            <w:tcMar>
              <w:top w:w="0" w:type="dxa"/>
              <w:left w:w="0" w:type="dxa"/>
              <w:bottom w:w="0" w:type="dxa"/>
              <w:right w:w="0" w:type="dxa"/>
            </w:tcMar>
            <w:vAlign w:val="center"/>
          </w:tcPr>
          <w:p w14:paraId="710EC6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5EC9F3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3B15AF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3590BE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378D3B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2F15D2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5" w:type="dxa"/>
            <w:shd w:val="clear" w:color="auto" w:fill="auto"/>
            <w:tcMar>
              <w:top w:w="0" w:type="dxa"/>
              <w:left w:w="0" w:type="dxa"/>
              <w:bottom w:w="0" w:type="dxa"/>
              <w:right w:w="0" w:type="dxa"/>
            </w:tcMar>
            <w:vAlign w:val="center"/>
          </w:tcPr>
          <w:p w14:paraId="11C9CD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40.2</w:t>
            </w:r>
          </w:p>
        </w:tc>
        <w:tc>
          <w:tcPr>
            <w:tcW w:w="435" w:type="dxa"/>
            <w:shd w:val="clear" w:color="auto" w:fill="auto"/>
            <w:tcMar>
              <w:top w:w="0" w:type="dxa"/>
              <w:left w:w="0" w:type="dxa"/>
              <w:bottom w:w="0" w:type="dxa"/>
              <w:right w:w="0" w:type="dxa"/>
            </w:tcMar>
            <w:vAlign w:val="center"/>
          </w:tcPr>
          <w:p w14:paraId="269672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c>
          <w:tcPr>
            <w:tcW w:w="499" w:type="dxa"/>
            <w:shd w:val="clear" w:color="auto" w:fill="auto"/>
            <w:tcMar>
              <w:top w:w="0" w:type="dxa"/>
              <w:left w:w="0" w:type="dxa"/>
              <w:bottom w:w="0" w:type="dxa"/>
              <w:right w:w="0" w:type="dxa"/>
            </w:tcMar>
            <w:vAlign w:val="center"/>
          </w:tcPr>
          <w:p w14:paraId="668C81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547" w:type="dxa"/>
            <w:shd w:val="clear" w:color="auto" w:fill="auto"/>
            <w:tcMar>
              <w:top w:w="0" w:type="dxa"/>
              <w:left w:w="0" w:type="dxa"/>
              <w:bottom w:w="0" w:type="dxa"/>
              <w:right w:w="0" w:type="dxa"/>
            </w:tcMar>
            <w:vAlign w:val="center"/>
          </w:tcPr>
          <w:p w14:paraId="0CA5DC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5B28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3A0557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058" w:type="dxa"/>
            <w:shd w:val="clear" w:color="auto" w:fill="auto"/>
            <w:tcMar>
              <w:top w:w="0" w:type="dxa"/>
              <w:left w:w="0" w:type="dxa"/>
              <w:bottom w:w="0" w:type="dxa"/>
              <w:right w:w="0" w:type="dxa"/>
            </w:tcMar>
            <w:vAlign w:val="center"/>
          </w:tcPr>
          <w:p w14:paraId="28E15002">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0077319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F</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烘干风机</w:t>
            </w:r>
          </w:p>
        </w:tc>
        <w:tc>
          <w:tcPr>
            <w:tcW w:w="655" w:type="dxa"/>
            <w:shd w:val="clear" w:color="auto" w:fill="auto"/>
            <w:tcMar>
              <w:top w:w="0" w:type="dxa"/>
              <w:left w:w="0" w:type="dxa"/>
              <w:bottom w:w="0" w:type="dxa"/>
              <w:right w:w="0" w:type="dxa"/>
            </w:tcMar>
            <w:vAlign w:val="center"/>
          </w:tcPr>
          <w:p w14:paraId="254199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85</w:t>
            </w:r>
          </w:p>
        </w:tc>
        <w:tc>
          <w:tcPr>
            <w:tcW w:w="612" w:type="dxa"/>
            <w:vMerge w:val="continue"/>
            <w:shd w:val="clear" w:color="auto" w:fill="auto"/>
            <w:tcMar>
              <w:top w:w="0" w:type="dxa"/>
              <w:left w:w="0" w:type="dxa"/>
              <w:bottom w:w="0" w:type="dxa"/>
              <w:right w:w="0" w:type="dxa"/>
            </w:tcMar>
            <w:vAlign w:val="center"/>
          </w:tcPr>
          <w:p w14:paraId="642583C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482DE2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-49.3</w:t>
            </w:r>
          </w:p>
        </w:tc>
        <w:tc>
          <w:tcPr>
            <w:tcW w:w="455" w:type="dxa"/>
            <w:shd w:val="clear" w:color="auto" w:fill="auto"/>
            <w:tcMar>
              <w:top w:w="0" w:type="dxa"/>
              <w:left w:w="0" w:type="dxa"/>
              <w:bottom w:w="0" w:type="dxa"/>
              <w:right w:w="0" w:type="dxa"/>
            </w:tcMar>
            <w:vAlign w:val="center"/>
          </w:tcPr>
          <w:p w14:paraId="1A833E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w:t>
            </w:r>
          </w:p>
        </w:tc>
        <w:tc>
          <w:tcPr>
            <w:tcW w:w="403" w:type="dxa"/>
            <w:shd w:val="clear" w:color="auto" w:fill="auto"/>
            <w:tcMar>
              <w:top w:w="0" w:type="dxa"/>
              <w:left w:w="0" w:type="dxa"/>
              <w:bottom w:w="0" w:type="dxa"/>
              <w:right w:w="0" w:type="dxa"/>
            </w:tcMar>
            <w:vAlign w:val="center"/>
          </w:tcPr>
          <w:p w14:paraId="46E84E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71F0E4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95.9</w:t>
            </w:r>
          </w:p>
        </w:tc>
        <w:tc>
          <w:tcPr>
            <w:tcW w:w="393" w:type="dxa"/>
            <w:shd w:val="clear" w:color="auto" w:fill="auto"/>
            <w:tcMar>
              <w:top w:w="0" w:type="dxa"/>
              <w:left w:w="0" w:type="dxa"/>
              <w:bottom w:w="0" w:type="dxa"/>
              <w:right w:w="0" w:type="dxa"/>
            </w:tcMar>
            <w:vAlign w:val="center"/>
          </w:tcPr>
          <w:p w14:paraId="797B3C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8.2</w:t>
            </w:r>
          </w:p>
        </w:tc>
        <w:tc>
          <w:tcPr>
            <w:tcW w:w="517" w:type="dxa"/>
            <w:shd w:val="clear" w:color="auto" w:fill="auto"/>
            <w:tcMar>
              <w:top w:w="0" w:type="dxa"/>
              <w:left w:w="0" w:type="dxa"/>
              <w:bottom w:w="0" w:type="dxa"/>
              <w:right w:w="0" w:type="dxa"/>
            </w:tcMar>
            <w:vAlign w:val="center"/>
          </w:tcPr>
          <w:p w14:paraId="68A559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28.1</w:t>
            </w:r>
          </w:p>
        </w:tc>
        <w:tc>
          <w:tcPr>
            <w:tcW w:w="455" w:type="dxa"/>
            <w:shd w:val="clear" w:color="auto" w:fill="auto"/>
            <w:tcMar>
              <w:top w:w="0" w:type="dxa"/>
              <w:left w:w="0" w:type="dxa"/>
              <w:bottom w:w="0" w:type="dxa"/>
              <w:right w:w="0" w:type="dxa"/>
            </w:tcMar>
            <w:vAlign w:val="center"/>
          </w:tcPr>
          <w:p w14:paraId="03D096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53.7</w:t>
            </w:r>
          </w:p>
        </w:tc>
        <w:tc>
          <w:tcPr>
            <w:tcW w:w="455" w:type="dxa"/>
            <w:shd w:val="clear" w:color="auto" w:fill="auto"/>
            <w:tcMar>
              <w:top w:w="0" w:type="dxa"/>
              <w:left w:w="0" w:type="dxa"/>
              <w:bottom w:w="0" w:type="dxa"/>
              <w:right w:w="0" w:type="dxa"/>
            </w:tcMar>
            <w:vAlign w:val="center"/>
          </w:tcPr>
          <w:p w14:paraId="47933D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5B1DEE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66.7</w:t>
            </w:r>
          </w:p>
        </w:tc>
        <w:tc>
          <w:tcPr>
            <w:tcW w:w="455" w:type="dxa"/>
            <w:shd w:val="clear" w:color="auto" w:fill="auto"/>
            <w:tcMar>
              <w:top w:w="0" w:type="dxa"/>
              <w:left w:w="0" w:type="dxa"/>
              <w:bottom w:w="0" w:type="dxa"/>
              <w:right w:w="0" w:type="dxa"/>
            </w:tcMar>
            <w:vAlign w:val="center"/>
          </w:tcPr>
          <w:p w14:paraId="46D2F5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243F2F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vMerge w:val="continue"/>
            <w:shd w:val="clear" w:color="auto" w:fill="auto"/>
            <w:tcMar>
              <w:top w:w="0" w:type="dxa"/>
              <w:left w:w="0" w:type="dxa"/>
              <w:bottom w:w="0" w:type="dxa"/>
              <w:right w:w="0" w:type="dxa"/>
            </w:tcMar>
            <w:vAlign w:val="center"/>
          </w:tcPr>
          <w:p w14:paraId="3FEA0D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496944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5328B1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2A1ADD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2DB393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6A6131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5" w:type="dxa"/>
            <w:shd w:val="clear" w:color="auto" w:fill="auto"/>
            <w:tcMar>
              <w:top w:w="0" w:type="dxa"/>
              <w:left w:w="0" w:type="dxa"/>
              <w:bottom w:w="0" w:type="dxa"/>
              <w:right w:w="0" w:type="dxa"/>
            </w:tcMar>
            <w:vAlign w:val="center"/>
          </w:tcPr>
          <w:p w14:paraId="265D42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40.2</w:t>
            </w:r>
          </w:p>
        </w:tc>
        <w:tc>
          <w:tcPr>
            <w:tcW w:w="435" w:type="dxa"/>
            <w:shd w:val="clear" w:color="auto" w:fill="auto"/>
            <w:tcMar>
              <w:top w:w="0" w:type="dxa"/>
              <w:left w:w="0" w:type="dxa"/>
              <w:bottom w:w="0" w:type="dxa"/>
              <w:right w:w="0" w:type="dxa"/>
            </w:tcMar>
            <w:vAlign w:val="center"/>
          </w:tcPr>
          <w:p w14:paraId="2B6480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9" w:type="dxa"/>
            <w:shd w:val="clear" w:color="auto" w:fill="auto"/>
            <w:tcMar>
              <w:top w:w="0" w:type="dxa"/>
              <w:left w:w="0" w:type="dxa"/>
              <w:bottom w:w="0" w:type="dxa"/>
              <w:right w:w="0" w:type="dxa"/>
            </w:tcMar>
            <w:vAlign w:val="center"/>
          </w:tcPr>
          <w:p w14:paraId="50C5BC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547" w:type="dxa"/>
            <w:shd w:val="clear" w:color="auto" w:fill="auto"/>
            <w:tcMar>
              <w:top w:w="0" w:type="dxa"/>
              <w:left w:w="0" w:type="dxa"/>
              <w:bottom w:w="0" w:type="dxa"/>
              <w:right w:w="0" w:type="dxa"/>
            </w:tcMar>
            <w:vAlign w:val="center"/>
          </w:tcPr>
          <w:p w14:paraId="10087A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343C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1F5EC0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1058" w:type="dxa"/>
            <w:shd w:val="clear" w:color="auto" w:fill="auto"/>
            <w:tcMar>
              <w:top w:w="0" w:type="dxa"/>
              <w:left w:w="0" w:type="dxa"/>
              <w:bottom w:w="0" w:type="dxa"/>
              <w:right w:w="0" w:type="dxa"/>
            </w:tcMar>
            <w:vAlign w:val="center"/>
          </w:tcPr>
          <w:p w14:paraId="4DBDDECA">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0E20A28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F</w:t>
            </w: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烘干风机</w:t>
            </w:r>
          </w:p>
        </w:tc>
        <w:tc>
          <w:tcPr>
            <w:tcW w:w="655" w:type="dxa"/>
            <w:shd w:val="clear" w:color="auto" w:fill="auto"/>
            <w:tcMar>
              <w:top w:w="0" w:type="dxa"/>
              <w:left w:w="0" w:type="dxa"/>
              <w:bottom w:w="0" w:type="dxa"/>
              <w:right w:w="0" w:type="dxa"/>
            </w:tcMar>
            <w:vAlign w:val="center"/>
          </w:tcPr>
          <w:p w14:paraId="434CFD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85</w:t>
            </w:r>
          </w:p>
        </w:tc>
        <w:tc>
          <w:tcPr>
            <w:tcW w:w="612" w:type="dxa"/>
            <w:vMerge w:val="continue"/>
            <w:shd w:val="clear" w:color="auto" w:fill="auto"/>
            <w:tcMar>
              <w:top w:w="0" w:type="dxa"/>
              <w:left w:w="0" w:type="dxa"/>
              <w:bottom w:w="0" w:type="dxa"/>
              <w:right w:w="0" w:type="dxa"/>
            </w:tcMar>
            <w:vAlign w:val="center"/>
          </w:tcPr>
          <w:p w14:paraId="6A03C3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526394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w:t>
            </w:r>
          </w:p>
        </w:tc>
        <w:tc>
          <w:tcPr>
            <w:tcW w:w="455" w:type="dxa"/>
            <w:shd w:val="clear" w:color="auto" w:fill="auto"/>
            <w:tcMar>
              <w:top w:w="0" w:type="dxa"/>
              <w:left w:w="0" w:type="dxa"/>
              <w:bottom w:w="0" w:type="dxa"/>
              <w:right w:w="0" w:type="dxa"/>
            </w:tcMar>
            <w:vAlign w:val="center"/>
          </w:tcPr>
          <w:p w14:paraId="3C67C6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4.7</w:t>
            </w:r>
          </w:p>
        </w:tc>
        <w:tc>
          <w:tcPr>
            <w:tcW w:w="403" w:type="dxa"/>
            <w:shd w:val="clear" w:color="auto" w:fill="auto"/>
            <w:tcMar>
              <w:top w:w="0" w:type="dxa"/>
              <w:left w:w="0" w:type="dxa"/>
              <w:bottom w:w="0" w:type="dxa"/>
              <w:right w:w="0" w:type="dxa"/>
            </w:tcMar>
            <w:vAlign w:val="center"/>
          </w:tcPr>
          <w:p w14:paraId="6B0297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14D39B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84.3</w:t>
            </w:r>
          </w:p>
        </w:tc>
        <w:tc>
          <w:tcPr>
            <w:tcW w:w="393" w:type="dxa"/>
            <w:shd w:val="clear" w:color="auto" w:fill="auto"/>
            <w:tcMar>
              <w:top w:w="0" w:type="dxa"/>
              <w:left w:w="0" w:type="dxa"/>
              <w:bottom w:w="0" w:type="dxa"/>
              <w:right w:w="0" w:type="dxa"/>
            </w:tcMar>
            <w:vAlign w:val="center"/>
          </w:tcPr>
          <w:p w14:paraId="6BB30A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8.2</w:t>
            </w:r>
          </w:p>
        </w:tc>
        <w:tc>
          <w:tcPr>
            <w:tcW w:w="517" w:type="dxa"/>
            <w:shd w:val="clear" w:color="auto" w:fill="auto"/>
            <w:tcMar>
              <w:top w:w="0" w:type="dxa"/>
              <w:left w:w="0" w:type="dxa"/>
              <w:bottom w:w="0" w:type="dxa"/>
              <w:right w:w="0" w:type="dxa"/>
            </w:tcMar>
            <w:vAlign w:val="center"/>
          </w:tcPr>
          <w:p w14:paraId="59B551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w:t>
            </w:r>
          </w:p>
        </w:tc>
        <w:tc>
          <w:tcPr>
            <w:tcW w:w="455" w:type="dxa"/>
            <w:shd w:val="clear" w:color="auto" w:fill="auto"/>
            <w:tcMar>
              <w:top w:w="0" w:type="dxa"/>
              <w:left w:w="0" w:type="dxa"/>
              <w:bottom w:w="0" w:type="dxa"/>
              <w:right w:w="0" w:type="dxa"/>
            </w:tcMar>
            <w:vAlign w:val="center"/>
          </w:tcPr>
          <w:p w14:paraId="007A3F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53.6</w:t>
            </w:r>
          </w:p>
        </w:tc>
        <w:tc>
          <w:tcPr>
            <w:tcW w:w="455" w:type="dxa"/>
            <w:shd w:val="clear" w:color="auto" w:fill="auto"/>
            <w:tcMar>
              <w:top w:w="0" w:type="dxa"/>
              <w:left w:w="0" w:type="dxa"/>
              <w:bottom w:w="0" w:type="dxa"/>
              <w:right w:w="0" w:type="dxa"/>
            </w:tcMar>
            <w:vAlign w:val="center"/>
          </w:tcPr>
          <w:p w14:paraId="6081BE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0388AE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66.7</w:t>
            </w:r>
          </w:p>
        </w:tc>
        <w:tc>
          <w:tcPr>
            <w:tcW w:w="455" w:type="dxa"/>
            <w:shd w:val="clear" w:color="auto" w:fill="auto"/>
            <w:tcMar>
              <w:top w:w="0" w:type="dxa"/>
              <w:left w:w="0" w:type="dxa"/>
              <w:bottom w:w="0" w:type="dxa"/>
              <w:right w:w="0" w:type="dxa"/>
            </w:tcMar>
            <w:vAlign w:val="center"/>
          </w:tcPr>
          <w:p w14:paraId="6F247C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44DF47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vMerge w:val="continue"/>
            <w:shd w:val="clear" w:color="auto" w:fill="auto"/>
            <w:tcMar>
              <w:top w:w="0" w:type="dxa"/>
              <w:left w:w="0" w:type="dxa"/>
              <w:bottom w:w="0" w:type="dxa"/>
              <w:right w:w="0" w:type="dxa"/>
            </w:tcMar>
            <w:vAlign w:val="center"/>
          </w:tcPr>
          <w:p w14:paraId="5D64D3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6D7D4F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5A60AF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77C489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3C1098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1D78AC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5" w:type="dxa"/>
            <w:shd w:val="clear" w:color="auto" w:fill="auto"/>
            <w:tcMar>
              <w:top w:w="0" w:type="dxa"/>
              <w:left w:w="0" w:type="dxa"/>
              <w:bottom w:w="0" w:type="dxa"/>
              <w:right w:w="0" w:type="dxa"/>
            </w:tcMar>
            <w:vAlign w:val="center"/>
          </w:tcPr>
          <w:p w14:paraId="7BF2EC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40.2</w:t>
            </w:r>
          </w:p>
        </w:tc>
        <w:tc>
          <w:tcPr>
            <w:tcW w:w="435" w:type="dxa"/>
            <w:shd w:val="clear" w:color="auto" w:fill="auto"/>
            <w:tcMar>
              <w:top w:w="0" w:type="dxa"/>
              <w:left w:w="0" w:type="dxa"/>
              <w:bottom w:w="0" w:type="dxa"/>
              <w:right w:w="0" w:type="dxa"/>
            </w:tcMar>
            <w:vAlign w:val="center"/>
          </w:tcPr>
          <w:p w14:paraId="15EE06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9" w:type="dxa"/>
            <w:shd w:val="clear" w:color="auto" w:fill="auto"/>
            <w:tcMar>
              <w:top w:w="0" w:type="dxa"/>
              <w:left w:w="0" w:type="dxa"/>
              <w:bottom w:w="0" w:type="dxa"/>
              <w:right w:w="0" w:type="dxa"/>
            </w:tcMar>
            <w:vAlign w:val="center"/>
          </w:tcPr>
          <w:p w14:paraId="2BE51D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547" w:type="dxa"/>
            <w:shd w:val="clear" w:color="auto" w:fill="auto"/>
            <w:tcMar>
              <w:top w:w="0" w:type="dxa"/>
              <w:left w:w="0" w:type="dxa"/>
              <w:bottom w:w="0" w:type="dxa"/>
              <w:right w:w="0" w:type="dxa"/>
            </w:tcMar>
            <w:vAlign w:val="center"/>
          </w:tcPr>
          <w:p w14:paraId="52FD37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2979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15497A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1058" w:type="dxa"/>
            <w:shd w:val="clear" w:color="auto" w:fill="auto"/>
            <w:tcMar>
              <w:top w:w="0" w:type="dxa"/>
              <w:left w:w="0" w:type="dxa"/>
              <w:bottom w:w="0" w:type="dxa"/>
              <w:right w:w="0" w:type="dxa"/>
            </w:tcMar>
            <w:vAlign w:val="center"/>
          </w:tcPr>
          <w:p w14:paraId="1C90F75A">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06CDB08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F</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烘干风机</w:t>
            </w:r>
          </w:p>
        </w:tc>
        <w:tc>
          <w:tcPr>
            <w:tcW w:w="655" w:type="dxa"/>
            <w:shd w:val="clear" w:color="auto" w:fill="auto"/>
            <w:tcMar>
              <w:top w:w="0" w:type="dxa"/>
              <w:left w:w="0" w:type="dxa"/>
              <w:bottom w:w="0" w:type="dxa"/>
              <w:right w:w="0" w:type="dxa"/>
            </w:tcMar>
            <w:vAlign w:val="center"/>
          </w:tcPr>
          <w:p w14:paraId="012DA0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85</w:t>
            </w:r>
          </w:p>
        </w:tc>
        <w:tc>
          <w:tcPr>
            <w:tcW w:w="612" w:type="dxa"/>
            <w:vMerge w:val="continue"/>
            <w:shd w:val="clear" w:color="auto" w:fill="auto"/>
            <w:tcMar>
              <w:top w:w="0" w:type="dxa"/>
              <w:left w:w="0" w:type="dxa"/>
              <w:bottom w:w="0" w:type="dxa"/>
              <w:right w:w="0" w:type="dxa"/>
            </w:tcMar>
            <w:vAlign w:val="center"/>
          </w:tcPr>
          <w:p w14:paraId="2DE45F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77CFBD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-26.4</w:t>
            </w:r>
          </w:p>
        </w:tc>
        <w:tc>
          <w:tcPr>
            <w:tcW w:w="455" w:type="dxa"/>
            <w:shd w:val="clear" w:color="auto" w:fill="auto"/>
            <w:tcMar>
              <w:top w:w="0" w:type="dxa"/>
              <w:left w:w="0" w:type="dxa"/>
              <w:bottom w:w="0" w:type="dxa"/>
              <w:right w:w="0" w:type="dxa"/>
            </w:tcMar>
            <w:vAlign w:val="center"/>
          </w:tcPr>
          <w:p w14:paraId="44FB45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w:t>
            </w:r>
          </w:p>
        </w:tc>
        <w:tc>
          <w:tcPr>
            <w:tcW w:w="403" w:type="dxa"/>
            <w:shd w:val="clear" w:color="auto" w:fill="auto"/>
            <w:tcMar>
              <w:top w:w="0" w:type="dxa"/>
              <w:left w:w="0" w:type="dxa"/>
              <w:bottom w:w="0" w:type="dxa"/>
              <w:right w:w="0" w:type="dxa"/>
            </w:tcMar>
            <w:vAlign w:val="center"/>
          </w:tcPr>
          <w:p w14:paraId="298871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1D6612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72.4</w:t>
            </w:r>
          </w:p>
        </w:tc>
        <w:tc>
          <w:tcPr>
            <w:tcW w:w="393" w:type="dxa"/>
            <w:shd w:val="clear" w:color="auto" w:fill="auto"/>
            <w:tcMar>
              <w:top w:w="0" w:type="dxa"/>
              <w:left w:w="0" w:type="dxa"/>
              <w:bottom w:w="0" w:type="dxa"/>
              <w:right w:w="0" w:type="dxa"/>
            </w:tcMar>
            <w:vAlign w:val="center"/>
          </w:tcPr>
          <w:p w14:paraId="6E531C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8.1</w:t>
            </w:r>
          </w:p>
        </w:tc>
        <w:tc>
          <w:tcPr>
            <w:tcW w:w="517" w:type="dxa"/>
            <w:shd w:val="clear" w:color="auto" w:fill="auto"/>
            <w:tcMar>
              <w:top w:w="0" w:type="dxa"/>
              <w:left w:w="0" w:type="dxa"/>
              <w:bottom w:w="0" w:type="dxa"/>
              <w:right w:w="0" w:type="dxa"/>
            </w:tcMar>
            <w:vAlign w:val="center"/>
          </w:tcPr>
          <w:p w14:paraId="677347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51.4</w:t>
            </w:r>
          </w:p>
        </w:tc>
        <w:tc>
          <w:tcPr>
            <w:tcW w:w="455" w:type="dxa"/>
            <w:shd w:val="clear" w:color="auto" w:fill="auto"/>
            <w:tcMar>
              <w:top w:w="0" w:type="dxa"/>
              <w:left w:w="0" w:type="dxa"/>
              <w:bottom w:w="0" w:type="dxa"/>
              <w:right w:w="0" w:type="dxa"/>
            </w:tcMar>
            <w:vAlign w:val="center"/>
          </w:tcPr>
          <w:p w14:paraId="512956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53.6</w:t>
            </w:r>
          </w:p>
        </w:tc>
        <w:tc>
          <w:tcPr>
            <w:tcW w:w="455" w:type="dxa"/>
            <w:shd w:val="clear" w:color="auto" w:fill="auto"/>
            <w:tcMar>
              <w:top w:w="0" w:type="dxa"/>
              <w:left w:w="0" w:type="dxa"/>
              <w:bottom w:w="0" w:type="dxa"/>
              <w:right w:w="0" w:type="dxa"/>
            </w:tcMar>
            <w:vAlign w:val="center"/>
          </w:tcPr>
          <w:p w14:paraId="3C7FE8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214AB6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66.7</w:t>
            </w:r>
          </w:p>
        </w:tc>
        <w:tc>
          <w:tcPr>
            <w:tcW w:w="455" w:type="dxa"/>
            <w:shd w:val="clear" w:color="auto" w:fill="auto"/>
            <w:tcMar>
              <w:top w:w="0" w:type="dxa"/>
              <w:left w:w="0" w:type="dxa"/>
              <w:bottom w:w="0" w:type="dxa"/>
              <w:right w:w="0" w:type="dxa"/>
            </w:tcMar>
            <w:vAlign w:val="center"/>
          </w:tcPr>
          <w:p w14:paraId="2E9019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1E8134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vMerge w:val="continue"/>
            <w:shd w:val="clear" w:color="auto" w:fill="auto"/>
            <w:tcMar>
              <w:top w:w="0" w:type="dxa"/>
              <w:left w:w="0" w:type="dxa"/>
              <w:bottom w:w="0" w:type="dxa"/>
              <w:right w:w="0" w:type="dxa"/>
            </w:tcMar>
            <w:vAlign w:val="center"/>
          </w:tcPr>
          <w:p w14:paraId="4CD3B9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39C9A6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755F3E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6A1A34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76AF4A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1E90F6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5" w:type="dxa"/>
            <w:shd w:val="clear" w:color="auto" w:fill="auto"/>
            <w:tcMar>
              <w:top w:w="0" w:type="dxa"/>
              <w:left w:w="0" w:type="dxa"/>
              <w:bottom w:w="0" w:type="dxa"/>
              <w:right w:w="0" w:type="dxa"/>
            </w:tcMar>
            <w:vAlign w:val="center"/>
          </w:tcPr>
          <w:p w14:paraId="056BC0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40.2</w:t>
            </w:r>
          </w:p>
        </w:tc>
        <w:tc>
          <w:tcPr>
            <w:tcW w:w="435" w:type="dxa"/>
            <w:shd w:val="clear" w:color="auto" w:fill="auto"/>
            <w:tcMar>
              <w:top w:w="0" w:type="dxa"/>
              <w:left w:w="0" w:type="dxa"/>
              <w:bottom w:w="0" w:type="dxa"/>
              <w:right w:w="0" w:type="dxa"/>
            </w:tcMar>
            <w:vAlign w:val="center"/>
          </w:tcPr>
          <w:p w14:paraId="06DC21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9" w:type="dxa"/>
            <w:shd w:val="clear" w:color="auto" w:fill="auto"/>
            <w:tcMar>
              <w:top w:w="0" w:type="dxa"/>
              <w:left w:w="0" w:type="dxa"/>
              <w:bottom w:w="0" w:type="dxa"/>
              <w:right w:w="0" w:type="dxa"/>
            </w:tcMar>
            <w:vAlign w:val="center"/>
          </w:tcPr>
          <w:p w14:paraId="385704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547" w:type="dxa"/>
            <w:shd w:val="clear" w:color="auto" w:fill="auto"/>
            <w:tcMar>
              <w:top w:w="0" w:type="dxa"/>
              <w:left w:w="0" w:type="dxa"/>
              <w:bottom w:w="0" w:type="dxa"/>
              <w:right w:w="0" w:type="dxa"/>
            </w:tcMar>
            <w:vAlign w:val="center"/>
          </w:tcPr>
          <w:p w14:paraId="07FDAC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7FCA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5D4362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w:t>
            </w:r>
          </w:p>
        </w:tc>
        <w:tc>
          <w:tcPr>
            <w:tcW w:w="1058" w:type="dxa"/>
            <w:shd w:val="clear" w:color="auto" w:fill="auto"/>
            <w:tcMar>
              <w:top w:w="0" w:type="dxa"/>
              <w:left w:w="0" w:type="dxa"/>
              <w:bottom w:w="0" w:type="dxa"/>
              <w:right w:w="0" w:type="dxa"/>
            </w:tcMar>
            <w:vAlign w:val="center"/>
          </w:tcPr>
          <w:p w14:paraId="3F2342C5">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3FC5A74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F</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烘干风机</w:t>
            </w:r>
          </w:p>
        </w:tc>
        <w:tc>
          <w:tcPr>
            <w:tcW w:w="655" w:type="dxa"/>
            <w:shd w:val="clear" w:color="auto" w:fill="auto"/>
            <w:tcMar>
              <w:top w:w="0" w:type="dxa"/>
              <w:left w:w="0" w:type="dxa"/>
              <w:bottom w:w="0" w:type="dxa"/>
              <w:right w:w="0" w:type="dxa"/>
            </w:tcMar>
            <w:vAlign w:val="center"/>
          </w:tcPr>
          <w:p w14:paraId="26F584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85</w:t>
            </w:r>
          </w:p>
        </w:tc>
        <w:tc>
          <w:tcPr>
            <w:tcW w:w="612" w:type="dxa"/>
            <w:vMerge w:val="continue"/>
            <w:shd w:val="clear" w:color="auto" w:fill="auto"/>
            <w:tcMar>
              <w:top w:w="0" w:type="dxa"/>
              <w:left w:w="0" w:type="dxa"/>
              <w:bottom w:w="0" w:type="dxa"/>
              <w:right w:w="0" w:type="dxa"/>
            </w:tcMar>
            <w:vAlign w:val="center"/>
          </w:tcPr>
          <w:p w14:paraId="5AA615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64348E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w:t>
            </w:r>
          </w:p>
        </w:tc>
        <w:tc>
          <w:tcPr>
            <w:tcW w:w="455" w:type="dxa"/>
            <w:shd w:val="clear" w:color="auto" w:fill="auto"/>
            <w:tcMar>
              <w:top w:w="0" w:type="dxa"/>
              <w:left w:w="0" w:type="dxa"/>
              <w:bottom w:w="0" w:type="dxa"/>
              <w:right w:w="0" w:type="dxa"/>
            </w:tcMar>
            <w:vAlign w:val="center"/>
          </w:tcPr>
          <w:p w14:paraId="3F6717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w:t>
            </w:r>
          </w:p>
        </w:tc>
        <w:tc>
          <w:tcPr>
            <w:tcW w:w="403" w:type="dxa"/>
            <w:shd w:val="clear" w:color="auto" w:fill="auto"/>
            <w:tcMar>
              <w:top w:w="0" w:type="dxa"/>
              <w:left w:w="0" w:type="dxa"/>
              <w:bottom w:w="0" w:type="dxa"/>
              <w:right w:w="0" w:type="dxa"/>
            </w:tcMar>
            <w:vAlign w:val="center"/>
          </w:tcPr>
          <w:p w14:paraId="4D21DA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1D492B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59.5</w:t>
            </w:r>
          </w:p>
        </w:tc>
        <w:tc>
          <w:tcPr>
            <w:tcW w:w="393" w:type="dxa"/>
            <w:shd w:val="clear" w:color="auto" w:fill="auto"/>
            <w:tcMar>
              <w:top w:w="0" w:type="dxa"/>
              <w:left w:w="0" w:type="dxa"/>
              <w:bottom w:w="0" w:type="dxa"/>
              <w:right w:w="0" w:type="dxa"/>
            </w:tcMar>
            <w:vAlign w:val="center"/>
          </w:tcPr>
          <w:p w14:paraId="7153EC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517" w:type="dxa"/>
            <w:shd w:val="clear" w:color="auto" w:fill="auto"/>
            <w:tcMar>
              <w:top w:w="0" w:type="dxa"/>
              <w:left w:w="0" w:type="dxa"/>
              <w:bottom w:w="0" w:type="dxa"/>
              <w:right w:w="0" w:type="dxa"/>
            </w:tcMar>
            <w:vAlign w:val="center"/>
          </w:tcPr>
          <w:p w14:paraId="4473A4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64.1</w:t>
            </w:r>
          </w:p>
        </w:tc>
        <w:tc>
          <w:tcPr>
            <w:tcW w:w="455" w:type="dxa"/>
            <w:shd w:val="clear" w:color="auto" w:fill="auto"/>
            <w:tcMar>
              <w:top w:w="0" w:type="dxa"/>
              <w:left w:w="0" w:type="dxa"/>
              <w:bottom w:w="0" w:type="dxa"/>
              <w:right w:w="0" w:type="dxa"/>
            </w:tcMar>
            <w:vAlign w:val="center"/>
          </w:tcPr>
          <w:p w14:paraId="48EA05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54.1</w:t>
            </w:r>
          </w:p>
        </w:tc>
        <w:tc>
          <w:tcPr>
            <w:tcW w:w="455" w:type="dxa"/>
            <w:shd w:val="clear" w:color="auto" w:fill="auto"/>
            <w:tcMar>
              <w:top w:w="0" w:type="dxa"/>
              <w:left w:w="0" w:type="dxa"/>
              <w:bottom w:w="0" w:type="dxa"/>
              <w:right w:w="0" w:type="dxa"/>
            </w:tcMar>
            <w:vAlign w:val="center"/>
          </w:tcPr>
          <w:p w14:paraId="0AF813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7DADB8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66.8</w:t>
            </w:r>
          </w:p>
        </w:tc>
        <w:tc>
          <w:tcPr>
            <w:tcW w:w="455" w:type="dxa"/>
            <w:shd w:val="clear" w:color="auto" w:fill="auto"/>
            <w:tcMar>
              <w:top w:w="0" w:type="dxa"/>
              <w:left w:w="0" w:type="dxa"/>
              <w:bottom w:w="0" w:type="dxa"/>
              <w:right w:w="0" w:type="dxa"/>
            </w:tcMar>
            <w:vAlign w:val="center"/>
          </w:tcPr>
          <w:p w14:paraId="1EB55D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302179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vMerge w:val="continue"/>
            <w:shd w:val="clear" w:color="auto" w:fill="auto"/>
            <w:tcMar>
              <w:top w:w="0" w:type="dxa"/>
              <w:left w:w="0" w:type="dxa"/>
              <w:bottom w:w="0" w:type="dxa"/>
              <w:right w:w="0" w:type="dxa"/>
            </w:tcMar>
            <w:vAlign w:val="center"/>
          </w:tcPr>
          <w:p w14:paraId="2E39D7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5BE035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563452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2766C0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4940B6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3A1C42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5" w:type="dxa"/>
            <w:shd w:val="clear" w:color="auto" w:fill="auto"/>
            <w:tcMar>
              <w:top w:w="0" w:type="dxa"/>
              <w:left w:w="0" w:type="dxa"/>
              <w:bottom w:w="0" w:type="dxa"/>
              <w:right w:w="0" w:type="dxa"/>
            </w:tcMar>
            <w:vAlign w:val="center"/>
          </w:tcPr>
          <w:p w14:paraId="4C3FC0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40.3</w:t>
            </w:r>
          </w:p>
        </w:tc>
        <w:tc>
          <w:tcPr>
            <w:tcW w:w="435" w:type="dxa"/>
            <w:shd w:val="clear" w:color="auto" w:fill="auto"/>
            <w:tcMar>
              <w:top w:w="0" w:type="dxa"/>
              <w:left w:w="0" w:type="dxa"/>
              <w:bottom w:w="0" w:type="dxa"/>
              <w:right w:w="0" w:type="dxa"/>
            </w:tcMar>
            <w:vAlign w:val="center"/>
          </w:tcPr>
          <w:p w14:paraId="44A7B2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9" w:type="dxa"/>
            <w:shd w:val="clear" w:color="auto" w:fill="auto"/>
            <w:tcMar>
              <w:top w:w="0" w:type="dxa"/>
              <w:left w:w="0" w:type="dxa"/>
              <w:bottom w:w="0" w:type="dxa"/>
              <w:right w:w="0" w:type="dxa"/>
            </w:tcMar>
            <w:vAlign w:val="center"/>
          </w:tcPr>
          <w:p w14:paraId="3ABB14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547" w:type="dxa"/>
            <w:shd w:val="clear" w:color="auto" w:fill="auto"/>
            <w:tcMar>
              <w:top w:w="0" w:type="dxa"/>
              <w:left w:w="0" w:type="dxa"/>
              <w:bottom w:w="0" w:type="dxa"/>
              <w:right w:w="0" w:type="dxa"/>
            </w:tcMar>
            <w:vAlign w:val="center"/>
          </w:tcPr>
          <w:p w14:paraId="4675B6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4112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792CE6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1058" w:type="dxa"/>
            <w:shd w:val="clear" w:color="auto" w:fill="auto"/>
            <w:tcMar>
              <w:top w:w="0" w:type="dxa"/>
              <w:left w:w="0" w:type="dxa"/>
              <w:bottom w:w="0" w:type="dxa"/>
              <w:right w:w="0" w:type="dxa"/>
            </w:tcMar>
            <w:vAlign w:val="center"/>
          </w:tcPr>
          <w:p w14:paraId="509FF2C6">
            <w:pPr>
              <w:keepNext w:val="0"/>
              <w:keepLines w:val="0"/>
              <w:pageBreakBefore w:val="0"/>
              <w:widowControl w:val="0"/>
              <w:kinsoku/>
              <w:wordWrap/>
              <w:overflowPunct/>
              <w:topLinePunct w:val="0"/>
              <w:autoSpaceDE/>
              <w:autoSpaceDN/>
              <w:bidi w:val="0"/>
              <w:adjustRightInd w:val="0"/>
              <w:snapToGrid w:val="0"/>
              <w:textAlignment w:val="auto"/>
              <w:rPr>
                <w:rFonts w:ascii="Arial" w:hAnsi="Arial" w:eastAsia="Arial" w:cs="Arial"/>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top"/>
          </w:tcPr>
          <w:p w14:paraId="2BAF05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平衡风机</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EP1风机</w:t>
            </w:r>
            <w:r>
              <w:rPr>
                <w:rFonts w:hint="eastAsia" w:ascii="Times New Roman" w:hAnsi="Times New Roman" w:eastAsia="宋体" w:cs="Times New Roman"/>
                <w:color w:val="auto"/>
                <w:sz w:val="21"/>
                <w:szCs w:val="21"/>
                <w:highlight w:val="none"/>
                <w:lang w:eastAsia="zh-CN"/>
              </w:rPr>
              <w:t>）</w:t>
            </w:r>
          </w:p>
        </w:tc>
        <w:tc>
          <w:tcPr>
            <w:tcW w:w="655" w:type="dxa"/>
            <w:shd w:val="clear" w:color="auto" w:fill="auto"/>
            <w:tcMar>
              <w:top w:w="0" w:type="dxa"/>
              <w:left w:w="0" w:type="dxa"/>
              <w:bottom w:w="0" w:type="dxa"/>
              <w:right w:w="0" w:type="dxa"/>
            </w:tcMar>
            <w:vAlign w:val="center"/>
          </w:tcPr>
          <w:p w14:paraId="6491A6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612" w:type="dxa"/>
            <w:vMerge w:val="continue"/>
            <w:shd w:val="clear" w:color="auto" w:fill="auto"/>
            <w:tcMar>
              <w:top w:w="0" w:type="dxa"/>
              <w:left w:w="0" w:type="dxa"/>
              <w:bottom w:w="0" w:type="dxa"/>
              <w:right w:w="0" w:type="dxa"/>
            </w:tcMar>
            <w:vAlign w:val="center"/>
          </w:tcPr>
          <w:p w14:paraId="3D2F89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2089FD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34.5</w:t>
            </w:r>
          </w:p>
        </w:tc>
        <w:tc>
          <w:tcPr>
            <w:tcW w:w="455" w:type="dxa"/>
            <w:shd w:val="clear" w:color="auto" w:fill="auto"/>
            <w:tcMar>
              <w:top w:w="0" w:type="dxa"/>
              <w:left w:w="0" w:type="dxa"/>
              <w:bottom w:w="0" w:type="dxa"/>
              <w:right w:w="0" w:type="dxa"/>
            </w:tcMar>
            <w:vAlign w:val="center"/>
          </w:tcPr>
          <w:p w14:paraId="50D9E8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28.1</w:t>
            </w:r>
          </w:p>
        </w:tc>
        <w:tc>
          <w:tcPr>
            <w:tcW w:w="403" w:type="dxa"/>
            <w:shd w:val="clear" w:color="auto" w:fill="auto"/>
            <w:tcMar>
              <w:top w:w="0" w:type="dxa"/>
              <w:left w:w="0" w:type="dxa"/>
              <w:bottom w:w="0" w:type="dxa"/>
              <w:right w:w="0" w:type="dxa"/>
            </w:tcMar>
            <w:vAlign w:val="center"/>
          </w:tcPr>
          <w:p w14:paraId="31B7AA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34F39C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20.6</w:t>
            </w:r>
          </w:p>
        </w:tc>
        <w:tc>
          <w:tcPr>
            <w:tcW w:w="393" w:type="dxa"/>
            <w:shd w:val="clear" w:color="auto" w:fill="auto"/>
            <w:tcMar>
              <w:top w:w="0" w:type="dxa"/>
              <w:left w:w="0" w:type="dxa"/>
              <w:bottom w:w="0" w:type="dxa"/>
              <w:right w:w="0" w:type="dxa"/>
            </w:tcMar>
            <w:vAlign w:val="center"/>
          </w:tcPr>
          <w:p w14:paraId="4F43B3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48.0</w:t>
            </w:r>
          </w:p>
        </w:tc>
        <w:tc>
          <w:tcPr>
            <w:tcW w:w="517" w:type="dxa"/>
            <w:shd w:val="clear" w:color="auto" w:fill="auto"/>
            <w:tcMar>
              <w:top w:w="0" w:type="dxa"/>
              <w:left w:w="0" w:type="dxa"/>
              <w:bottom w:w="0" w:type="dxa"/>
              <w:right w:w="0" w:type="dxa"/>
            </w:tcMar>
            <w:vAlign w:val="center"/>
          </w:tcPr>
          <w:p w14:paraId="173A52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109.5</w:t>
            </w:r>
          </w:p>
        </w:tc>
        <w:tc>
          <w:tcPr>
            <w:tcW w:w="455" w:type="dxa"/>
            <w:shd w:val="clear" w:color="auto" w:fill="auto"/>
            <w:tcMar>
              <w:top w:w="0" w:type="dxa"/>
              <w:left w:w="0" w:type="dxa"/>
              <w:bottom w:w="0" w:type="dxa"/>
              <w:right w:w="0" w:type="dxa"/>
            </w:tcMar>
            <w:vAlign w:val="center"/>
          </w:tcPr>
          <w:p w14:paraId="2BBAB6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13.3</w:t>
            </w:r>
          </w:p>
        </w:tc>
        <w:tc>
          <w:tcPr>
            <w:tcW w:w="455" w:type="dxa"/>
            <w:shd w:val="clear" w:color="auto" w:fill="auto"/>
            <w:tcMar>
              <w:top w:w="0" w:type="dxa"/>
              <w:left w:w="0" w:type="dxa"/>
              <w:bottom w:w="0" w:type="dxa"/>
              <w:right w:w="0" w:type="dxa"/>
            </w:tcMar>
            <w:vAlign w:val="center"/>
          </w:tcPr>
          <w:p w14:paraId="1A2318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18BAED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157227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008EB7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66.5</w:t>
            </w:r>
          </w:p>
        </w:tc>
        <w:tc>
          <w:tcPr>
            <w:tcW w:w="455" w:type="dxa"/>
            <w:vMerge w:val="continue"/>
            <w:shd w:val="clear" w:color="auto" w:fill="auto"/>
            <w:tcMar>
              <w:top w:w="0" w:type="dxa"/>
              <w:left w:w="0" w:type="dxa"/>
              <w:bottom w:w="0" w:type="dxa"/>
              <w:right w:w="0" w:type="dxa"/>
            </w:tcMar>
            <w:vAlign w:val="center"/>
          </w:tcPr>
          <w:p w14:paraId="1DA81D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06E96E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3C9F9E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7FE804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2DC9A7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074DD8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5" w:type="dxa"/>
            <w:shd w:val="clear" w:color="auto" w:fill="auto"/>
            <w:tcMar>
              <w:top w:w="0" w:type="dxa"/>
              <w:left w:w="0" w:type="dxa"/>
              <w:bottom w:w="0" w:type="dxa"/>
              <w:right w:w="0" w:type="dxa"/>
            </w:tcMar>
            <w:vAlign w:val="center"/>
          </w:tcPr>
          <w:p w14:paraId="329B64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35" w:type="dxa"/>
            <w:shd w:val="clear" w:color="auto" w:fill="auto"/>
            <w:tcMar>
              <w:top w:w="0" w:type="dxa"/>
              <w:left w:w="0" w:type="dxa"/>
              <w:bottom w:w="0" w:type="dxa"/>
              <w:right w:w="0" w:type="dxa"/>
            </w:tcMar>
            <w:vAlign w:val="center"/>
          </w:tcPr>
          <w:p w14:paraId="47D51C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9" w:type="dxa"/>
            <w:shd w:val="clear" w:color="auto" w:fill="auto"/>
            <w:tcMar>
              <w:top w:w="0" w:type="dxa"/>
              <w:left w:w="0" w:type="dxa"/>
              <w:bottom w:w="0" w:type="dxa"/>
              <w:right w:w="0" w:type="dxa"/>
            </w:tcMar>
            <w:vAlign w:val="center"/>
          </w:tcPr>
          <w:p w14:paraId="306F49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c>
          <w:tcPr>
            <w:tcW w:w="547" w:type="dxa"/>
            <w:shd w:val="clear" w:color="auto" w:fill="auto"/>
            <w:tcMar>
              <w:top w:w="0" w:type="dxa"/>
              <w:left w:w="0" w:type="dxa"/>
              <w:bottom w:w="0" w:type="dxa"/>
              <w:right w:w="0" w:type="dxa"/>
            </w:tcMar>
            <w:vAlign w:val="center"/>
          </w:tcPr>
          <w:p w14:paraId="0B40EB4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2DD4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78D410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1058" w:type="dxa"/>
            <w:shd w:val="clear" w:color="auto" w:fill="auto"/>
            <w:tcMar>
              <w:top w:w="0" w:type="dxa"/>
              <w:left w:w="0" w:type="dxa"/>
              <w:bottom w:w="0" w:type="dxa"/>
              <w:right w:w="0" w:type="dxa"/>
            </w:tcMar>
            <w:vAlign w:val="center"/>
          </w:tcPr>
          <w:p w14:paraId="1A439BF4">
            <w:pPr>
              <w:keepNext w:val="0"/>
              <w:keepLines w:val="0"/>
              <w:pageBreakBefore w:val="0"/>
              <w:widowControl w:val="0"/>
              <w:kinsoku/>
              <w:wordWrap/>
              <w:overflowPunct/>
              <w:topLinePunct w:val="0"/>
              <w:autoSpaceDE/>
              <w:autoSpaceDN/>
              <w:bidi w:val="0"/>
              <w:adjustRightInd w:val="0"/>
              <w:snapToGrid w:val="0"/>
              <w:textAlignment w:val="auto"/>
              <w:rPr>
                <w:rFonts w:ascii="Arial" w:hAnsi="Arial" w:eastAsia="Arial" w:cs="Arial"/>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top"/>
          </w:tcPr>
          <w:p w14:paraId="06DE05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平衡风机(EP2风机)</w:t>
            </w:r>
          </w:p>
        </w:tc>
        <w:tc>
          <w:tcPr>
            <w:tcW w:w="655" w:type="dxa"/>
            <w:shd w:val="clear" w:color="auto" w:fill="auto"/>
            <w:tcMar>
              <w:top w:w="0" w:type="dxa"/>
              <w:left w:w="0" w:type="dxa"/>
              <w:bottom w:w="0" w:type="dxa"/>
              <w:right w:w="0" w:type="dxa"/>
            </w:tcMar>
            <w:vAlign w:val="center"/>
          </w:tcPr>
          <w:p w14:paraId="432326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612" w:type="dxa"/>
            <w:vMerge w:val="continue"/>
            <w:shd w:val="clear" w:color="auto" w:fill="auto"/>
            <w:tcMar>
              <w:top w:w="0" w:type="dxa"/>
              <w:left w:w="0" w:type="dxa"/>
              <w:bottom w:w="0" w:type="dxa"/>
              <w:right w:w="0" w:type="dxa"/>
            </w:tcMar>
            <w:vAlign w:val="center"/>
          </w:tcPr>
          <w:p w14:paraId="586295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331EE8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27.5</w:t>
            </w:r>
          </w:p>
        </w:tc>
        <w:tc>
          <w:tcPr>
            <w:tcW w:w="455" w:type="dxa"/>
            <w:shd w:val="clear" w:color="auto" w:fill="auto"/>
            <w:tcMar>
              <w:top w:w="0" w:type="dxa"/>
              <w:left w:w="0" w:type="dxa"/>
              <w:bottom w:w="0" w:type="dxa"/>
              <w:right w:w="0" w:type="dxa"/>
            </w:tcMar>
            <w:vAlign w:val="center"/>
          </w:tcPr>
          <w:p w14:paraId="635F8B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-8.2</w:t>
            </w:r>
          </w:p>
        </w:tc>
        <w:tc>
          <w:tcPr>
            <w:tcW w:w="403" w:type="dxa"/>
            <w:shd w:val="clear" w:color="auto" w:fill="auto"/>
            <w:tcMar>
              <w:top w:w="0" w:type="dxa"/>
              <w:left w:w="0" w:type="dxa"/>
              <w:bottom w:w="0" w:type="dxa"/>
              <w:right w:w="0" w:type="dxa"/>
            </w:tcMar>
            <w:vAlign w:val="center"/>
          </w:tcPr>
          <w:p w14:paraId="71B1DA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7355CA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17.8</w:t>
            </w:r>
          </w:p>
        </w:tc>
        <w:tc>
          <w:tcPr>
            <w:tcW w:w="393" w:type="dxa"/>
            <w:shd w:val="clear" w:color="auto" w:fill="auto"/>
            <w:tcMar>
              <w:top w:w="0" w:type="dxa"/>
              <w:left w:w="0" w:type="dxa"/>
              <w:bottom w:w="0" w:type="dxa"/>
              <w:right w:w="0" w:type="dxa"/>
            </w:tcMar>
            <w:vAlign w:val="center"/>
          </w:tcPr>
          <w:p w14:paraId="3B5C56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w:t>
            </w:r>
          </w:p>
        </w:tc>
        <w:tc>
          <w:tcPr>
            <w:tcW w:w="517" w:type="dxa"/>
            <w:shd w:val="clear" w:color="auto" w:fill="auto"/>
            <w:tcMar>
              <w:top w:w="0" w:type="dxa"/>
              <w:left w:w="0" w:type="dxa"/>
              <w:bottom w:w="0" w:type="dxa"/>
              <w:right w:w="0" w:type="dxa"/>
            </w:tcMar>
            <w:vAlign w:val="center"/>
          </w:tcPr>
          <w:p w14:paraId="31FAA4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106.1</w:t>
            </w:r>
          </w:p>
        </w:tc>
        <w:tc>
          <w:tcPr>
            <w:tcW w:w="455" w:type="dxa"/>
            <w:shd w:val="clear" w:color="auto" w:fill="auto"/>
            <w:tcMar>
              <w:top w:w="0" w:type="dxa"/>
              <w:left w:w="0" w:type="dxa"/>
              <w:bottom w:w="0" w:type="dxa"/>
              <w:right w:w="0" w:type="dxa"/>
            </w:tcMar>
            <w:vAlign w:val="center"/>
          </w:tcPr>
          <w:p w14:paraId="5939F7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50.3</w:t>
            </w:r>
          </w:p>
        </w:tc>
        <w:tc>
          <w:tcPr>
            <w:tcW w:w="455" w:type="dxa"/>
            <w:shd w:val="clear" w:color="auto" w:fill="auto"/>
            <w:tcMar>
              <w:top w:w="0" w:type="dxa"/>
              <w:left w:w="0" w:type="dxa"/>
              <w:bottom w:w="0" w:type="dxa"/>
              <w:right w:w="0" w:type="dxa"/>
            </w:tcMar>
            <w:vAlign w:val="center"/>
          </w:tcPr>
          <w:p w14:paraId="483C8B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66.5</w:t>
            </w:r>
          </w:p>
        </w:tc>
        <w:tc>
          <w:tcPr>
            <w:tcW w:w="455" w:type="dxa"/>
            <w:shd w:val="clear" w:color="auto" w:fill="auto"/>
            <w:tcMar>
              <w:top w:w="0" w:type="dxa"/>
              <w:left w:w="0" w:type="dxa"/>
              <w:bottom w:w="0" w:type="dxa"/>
              <w:right w:w="0" w:type="dxa"/>
            </w:tcMar>
            <w:vAlign w:val="center"/>
          </w:tcPr>
          <w:p w14:paraId="52C4A8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66.6</w:t>
            </w:r>
          </w:p>
        </w:tc>
        <w:tc>
          <w:tcPr>
            <w:tcW w:w="455" w:type="dxa"/>
            <w:shd w:val="clear" w:color="auto" w:fill="auto"/>
            <w:tcMar>
              <w:top w:w="0" w:type="dxa"/>
              <w:left w:w="0" w:type="dxa"/>
              <w:bottom w:w="0" w:type="dxa"/>
              <w:right w:w="0" w:type="dxa"/>
            </w:tcMar>
            <w:vAlign w:val="center"/>
          </w:tcPr>
          <w:p w14:paraId="6A2A25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shd w:val="clear" w:color="auto" w:fill="auto"/>
            <w:tcMar>
              <w:top w:w="0" w:type="dxa"/>
              <w:left w:w="0" w:type="dxa"/>
              <w:bottom w:w="0" w:type="dxa"/>
              <w:right w:w="0" w:type="dxa"/>
            </w:tcMar>
            <w:vAlign w:val="center"/>
          </w:tcPr>
          <w:p w14:paraId="42C905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455" w:type="dxa"/>
            <w:vMerge w:val="continue"/>
            <w:shd w:val="clear" w:color="auto" w:fill="auto"/>
            <w:tcMar>
              <w:top w:w="0" w:type="dxa"/>
              <w:left w:w="0" w:type="dxa"/>
              <w:bottom w:w="0" w:type="dxa"/>
              <w:right w:w="0" w:type="dxa"/>
            </w:tcMar>
            <w:vAlign w:val="center"/>
          </w:tcPr>
          <w:p w14:paraId="3C629C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680A83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262E90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27D5CC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569082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635065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c>
          <w:tcPr>
            <w:tcW w:w="495" w:type="dxa"/>
            <w:shd w:val="clear" w:color="auto" w:fill="auto"/>
            <w:tcMar>
              <w:top w:w="0" w:type="dxa"/>
              <w:left w:w="0" w:type="dxa"/>
              <w:bottom w:w="0" w:type="dxa"/>
              <w:right w:w="0" w:type="dxa"/>
            </w:tcMar>
            <w:vAlign w:val="center"/>
          </w:tcPr>
          <w:p w14:paraId="682791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40.1</w:t>
            </w:r>
          </w:p>
        </w:tc>
        <w:tc>
          <w:tcPr>
            <w:tcW w:w="435" w:type="dxa"/>
            <w:shd w:val="clear" w:color="auto" w:fill="auto"/>
            <w:tcMar>
              <w:top w:w="0" w:type="dxa"/>
              <w:left w:w="0" w:type="dxa"/>
              <w:bottom w:w="0" w:type="dxa"/>
              <w:right w:w="0" w:type="dxa"/>
            </w:tcMar>
            <w:vAlign w:val="center"/>
          </w:tcPr>
          <w:p w14:paraId="289417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499" w:type="dxa"/>
            <w:shd w:val="clear" w:color="auto" w:fill="auto"/>
            <w:tcMar>
              <w:top w:w="0" w:type="dxa"/>
              <w:left w:w="0" w:type="dxa"/>
              <w:bottom w:w="0" w:type="dxa"/>
              <w:right w:w="0" w:type="dxa"/>
            </w:tcMar>
            <w:vAlign w:val="center"/>
          </w:tcPr>
          <w:p w14:paraId="40D044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39.9</w:t>
            </w:r>
          </w:p>
        </w:tc>
        <w:tc>
          <w:tcPr>
            <w:tcW w:w="547" w:type="dxa"/>
            <w:shd w:val="clear" w:color="auto" w:fill="auto"/>
            <w:tcMar>
              <w:top w:w="0" w:type="dxa"/>
              <w:left w:w="0" w:type="dxa"/>
              <w:bottom w:w="0" w:type="dxa"/>
              <w:right w:w="0" w:type="dxa"/>
            </w:tcMar>
            <w:vAlign w:val="center"/>
          </w:tcPr>
          <w:p w14:paraId="372B101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255B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262AF98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w:t>
            </w:r>
            <w:r>
              <w:rPr>
                <w:rFonts w:hint="eastAsia" w:cs="Times New Roman"/>
                <w:color w:val="auto"/>
                <w:sz w:val="21"/>
                <w:szCs w:val="21"/>
                <w:highlight w:val="none"/>
                <w:lang w:val="en-US" w:eastAsia="zh-CN"/>
              </w:rPr>
              <w:t>6</w:t>
            </w:r>
          </w:p>
        </w:tc>
        <w:tc>
          <w:tcPr>
            <w:tcW w:w="1058" w:type="dxa"/>
            <w:shd w:val="clear" w:color="auto" w:fill="auto"/>
            <w:tcMar>
              <w:top w:w="0" w:type="dxa"/>
              <w:left w:w="0" w:type="dxa"/>
              <w:bottom w:w="0" w:type="dxa"/>
              <w:right w:w="0" w:type="dxa"/>
            </w:tcMar>
            <w:vAlign w:val="center"/>
          </w:tcPr>
          <w:p w14:paraId="15D2E016">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18BB3DC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热风炉</w:t>
            </w:r>
          </w:p>
        </w:tc>
        <w:tc>
          <w:tcPr>
            <w:tcW w:w="655" w:type="dxa"/>
            <w:shd w:val="clear" w:color="auto" w:fill="auto"/>
            <w:tcMar>
              <w:top w:w="0" w:type="dxa"/>
              <w:left w:w="0" w:type="dxa"/>
              <w:bottom w:w="0" w:type="dxa"/>
              <w:right w:w="0" w:type="dxa"/>
            </w:tcMar>
            <w:vAlign w:val="center"/>
          </w:tcPr>
          <w:p w14:paraId="5915CD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w:t>
            </w:r>
          </w:p>
        </w:tc>
        <w:tc>
          <w:tcPr>
            <w:tcW w:w="612" w:type="dxa"/>
            <w:vMerge w:val="continue"/>
            <w:shd w:val="clear" w:color="auto" w:fill="auto"/>
            <w:tcMar>
              <w:top w:w="0" w:type="dxa"/>
              <w:left w:w="0" w:type="dxa"/>
              <w:bottom w:w="0" w:type="dxa"/>
              <w:right w:w="0" w:type="dxa"/>
            </w:tcMar>
            <w:vAlign w:val="center"/>
          </w:tcPr>
          <w:p w14:paraId="5CA7CC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131A30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w:t>
            </w:r>
          </w:p>
        </w:tc>
        <w:tc>
          <w:tcPr>
            <w:tcW w:w="455" w:type="dxa"/>
            <w:shd w:val="clear" w:color="auto" w:fill="auto"/>
            <w:tcMar>
              <w:top w:w="0" w:type="dxa"/>
              <w:left w:w="0" w:type="dxa"/>
              <w:bottom w:w="0" w:type="dxa"/>
              <w:right w:w="0" w:type="dxa"/>
            </w:tcMar>
            <w:vAlign w:val="center"/>
          </w:tcPr>
          <w:p w14:paraId="149F22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25.2</w:t>
            </w:r>
          </w:p>
        </w:tc>
        <w:tc>
          <w:tcPr>
            <w:tcW w:w="403" w:type="dxa"/>
            <w:shd w:val="clear" w:color="auto" w:fill="auto"/>
            <w:tcMar>
              <w:top w:w="0" w:type="dxa"/>
              <w:left w:w="0" w:type="dxa"/>
              <w:bottom w:w="0" w:type="dxa"/>
              <w:right w:w="0" w:type="dxa"/>
            </w:tcMar>
            <w:vAlign w:val="center"/>
          </w:tcPr>
          <w:p w14:paraId="42E569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24A0F6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58.3</w:t>
            </w:r>
          </w:p>
        </w:tc>
        <w:tc>
          <w:tcPr>
            <w:tcW w:w="393" w:type="dxa"/>
            <w:shd w:val="clear" w:color="auto" w:fill="auto"/>
            <w:tcMar>
              <w:top w:w="0" w:type="dxa"/>
              <w:left w:w="0" w:type="dxa"/>
              <w:bottom w:w="0" w:type="dxa"/>
              <w:right w:w="0" w:type="dxa"/>
            </w:tcMar>
            <w:vAlign w:val="center"/>
          </w:tcPr>
          <w:p w14:paraId="6C3D79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35.8</w:t>
            </w:r>
          </w:p>
        </w:tc>
        <w:tc>
          <w:tcPr>
            <w:tcW w:w="517" w:type="dxa"/>
            <w:shd w:val="clear" w:color="auto" w:fill="auto"/>
            <w:tcMar>
              <w:top w:w="0" w:type="dxa"/>
              <w:left w:w="0" w:type="dxa"/>
              <w:bottom w:w="0" w:type="dxa"/>
              <w:right w:w="0" w:type="dxa"/>
            </w:tcMar>
            <w:vAlign w:val="center"/>
          </w:tcPr>
          <w:p w14:paraId="0A8096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70.0</w:t>
            </w:r>
          </w:p>
        </w:tc>
        <w:tc>
          <w:tcPr>
            <w:tcW w:w="455" w:type="dxa"/>
            <w:shd w:val="clear" w:color="auto" w:fill="auto"/>
            <w:tcMar>
              <w:top w:w="0" w:type="dxa"/>
              <w:left w:w="0" w:type="dxa"/>
              <w:bottom w:w="0" w:type="dxa"/>
              <w:right w:w="0" w:type="dxa"/>
            </w:tcMar>
            <w:vAlign w:val="center"/>
          </w:tcPr>
          <w:p w14:paraId="01A817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25.8</w:t>
            </w:r>
          </w:p>
        </w:tc>
        <w:tc>
          <w:tcPr>
            <w:tcW w:w="455" w:type="dxa"/>
            <w:shd w:val="clear" w:color="auto" w:fill="auto"/>
            <w:tcMar>
              <w:top w:w="0" w:type="dxa"/>
              <w:left w:w="0" w:type="dxa"/>
              <w:bottom w:w="0" w:type="dxa"/>
              <w:right w:w="0" w:type="dxa"/>
            </w:tcMar>
            <w:vAlign w:val="center"/>
          </w:tcPr>
          <w:p w14:paraId="4C4ED7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455" w:type="dxa"/>
            <w:shd w:val="clear" w:color="auto" w:fill="auto"/>
            <w:tcMar>
              <w:top w:w="0" w:type="dxa"/>
              <w:left w:w="0" w:type="dxa"/>
              <w:bottom w:w="0" w:type="dxa"/>
              <w:right w:w="0" w:type="dxa"/>
            </w:tcMar>
            <w:vAlign w:val="center"/>
          </w:tcPr>
          <w:p w14:paraId="7EBA32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455" w:type="dxa"/>
            <w:shd w:val="clear" w:color="auto" w:fill="auto"/>
            <w:tcMar>
              <w:top w:w="0" w:type="dxa"/>
              <w:left w:w="0" w:type="dxa"/>
              <w:bottom w:w="0" w:type="dxa"/>
              <w:right w:w="0" w:type="dxa"/>
            </w:tcMar>
            <w:vAlign w:val="center"/>
          </w:tcPr>
          <w:p w14:paraId="29AC56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455" w:type="dxa"/>
            <w:shd w:val="clear" w:color="auto" w:fill="auto"/>
            <w:tcMar>
              <w:top w:w="0" w:type="dxa"/>
              <w:left w:w="0" w:type="dxa"/>
              <w:bottom w:w="0" w:type="dxa"/>
              <w:right w:w="0" w:type="dxa"/>
            </w:tcMar>
            <w:vAlign w:val="center"/>
          </w:tcPr>
          <w:p w14:paraId="1A9C7C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455" w:type="dxa"/>
            <w:vMerge w:val="continue"/>
            <w:shd w:val="clear" w:color="auto" w:fill="auto"/>
            <w:tcMar>
              <w:top w:w="0" w:type="dxa"/>
              <w:left w:w="0" w:type="dxa"/>
              <w:bottom w:w="0" w:type="dxa"/>
              <w:right w:w="0" w:type="dxa"/>
            </w:tcMar>
            <w:vAlign w:val="center"/>
          </w:tcPr>
          <w:p w14:paraId="1B3A45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14BAC1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684FE6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692AAC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163F16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7C5530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44.9</w:t>
            </w:r>
          </w:p>
        </w:tc>
        <w:tc>
          <w:tcPr>
            <w:tcW w:w="495" w:type="dxa"/>
            <w:shd w:val="clear" w:color="auto" w:fill="auto"/>
            <w:tcMar>
              <w:top w:w="0" w:type="dxa"/>
              <w:left w:w="0" w:type="dxa"/>
              <w:bottom w:w="0" w:type="dxa"/>
              <w:right w:w="0" w:type="dxa"/>
            </w:tcMar>
            <w:vAlign w:val="center"/>
          </w:tcPr>
          <w:p w14:paraId="506ADA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44.9</w:t>
            </w:r>
          </w:p>
        </w:tc>
        <w:tc>
          <w:tcPr>
            <w:tcW w:w="435" w:type="dxa"/>
            <w:shd w:val="clear" w:color="auto" w:fill="auto"/>
            <w:tcMar>
              <w:top w:w="0" w:type="dxa"/>
              <w:left w:w="0" w:type="dxa"/>
              <w:bottom w:w="0" w:type="dxa"/>
              <w:right w:w="0" w:type="dxa"/>
            </w:tcMar>
            <w:vAlign w:val="center"/>
          </w:tcPr>
          <w:p w14:paraId="185DFE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44.9</w:t>
            </w:r>
          </w:p>
        </w:tc>
        <w:tc>
          <w:tcPr>
            <w:tcW w:w="499" w:type="dxa"/>
            <w:shd w:val="clear" w:color="auto" w:fill="auto"/>
            <w:tcMar>
              <w:top w:w="0" w:type="dxa"/>
              <w:left w:w="0" w:type="dxa"/>
              <w:bottom w:w="0" w:type="dxa"/>
              <w:right w:w="0" w:type="dxa"/>
            </w:tcMar>
            <w:vAlign w:val="center"/>
          </w:tcPr>
          <w:p w14:paraId="23708E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44.9</w:t>
            </w:r>
          </w:p>
        </w:tc>
        <w:tc>
          <w:tcPr>
            <w:tcW w:w="547" w:type="dxa"/>
            <w:shd w:val="clear" w:color="auto" w:fill="auto"/>
            <w:tcMar>
              <w:top w:w="0" w:type="dxa"/>
              <w:left w:w="0" w:type="dxa"/>
              <w:bottom w:w="0" w:type="dxa"/>
              <w:right w:w="0" w:type="dxa"/>
            </w:tcMar>
            <w:vAlign w:val="center"/>
          </w:tcPr>
          <w:p w14:paraId="70BB57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1B8B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7AA24DE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w:t>
            </w:r>
            <w:r>
              <w:rPr>
                <w:rFonts w:hint="eastAsia" w:cs="Times New Roman"/>
                <w:color w:val="auto"/>
                <w:sz w:val="21"/>
                <w:szCs w:val="21"/>
                <w:highlight w:val="none"/>
                <w:lang w:val="en-US" w:eastAsia="zh-CN"/>
              </w:rPr>
              <w:t>7</w:t>
            </w:r>
          </w:p>
        </w:tc>
        <w:tc>
          <w:tcPr>
            <w:tcW w:w="1058" w:type="dxa"/>
            <w:shd w:val="clear" w:color="auto" w:fill="auto"/>
            <w:tcMar>
              <w:top w:w="0" w:type="dxa"/>
              <w:left w:w="0" w:type="dxa"/>
              <w:bottom w:w="0" w:type="dxa"/>
              <w:right w:w="0" w:type="dxa"/>
            </w:tcMar>
            <w:vAlign w:val="center"/>
          </w:tcPr>
          <w:p w14:paraId="7018B079">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0F89187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胶带输送机</w:t>
            </w:r>
            <w:r>
              <w:rPr>
                <w:rFonts w:hint="eastAsia" w:ascii="Times New Roman" w:hAnsi="Times New Roman" w:eastAsia="宋体" w:cs="Times New Roman"/>
                <w:color w:val="auto"/>
                <w:sz w:val="21"/>
                <w:szCs w:val="21"/>
                <w:highlight w:val="none"/>
                <w:lang w:val="en-US" w:eastAsia="zh-CN"/>
              </w:rPr>
              <w:t>6</w:t>
            </w:r>
          </w:p>
        </w:tc>
        <w:tc>
          <w:tcPr>
            <w:tcW w:w="655" w:type="dxa"/>
            <w:shd w:val="clear" w:color="auto" w:fill="auto"/>
            <w:tcMar>
              <w:top w:w="0" w:type="dxa"/>
              <w:left w:w="0" w:type="dxa"/>
              <w:bottom w:w="0" w:type="dxa"/>
              <w:right w:w="0" w:type="dxa"/>
            </w:tcMar>
            <w:vAlign w:val="center"/>
          </w:tcPr>
          <w:p w14:paraId="664C35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135A08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392B62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c>
          <w:tcPr>
            <w:tcW w:w="455" w:type="dxa"/>
            <w:shd w:val="clear" w:color="auto" w:fill="auto"/>
            <w:tcMar>
              <w:top w:w="0" w:type="dxa"/>
              <w:left w:w="0" w:type="dxa"/>
              <w:bottom w:w="0" w:type="dxa"/>
              <w:right w:w="0" w:type="dxa"/>
            </w:tcMar>
            <w:vAlign w:val="center"/>
          </w:tcPr>
          <w:p w14:paraId="06E0B5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w:t>
            </w:r>
          </w:p>
        </w:tc>
        <w:tc>
          <w:tcPr>
            <w:tcW w:w="403" w:type="dxa"/>
            <w:shd w:val="clear" w:color="auto" w:fill="auto"/>
            <w:tcMar>
              <w:top w:w="0" w:type="dxa"/>
              <w:left w:w="0" w:type="dxa"/>
              <w:bottom w:w="0" w:type="dxa"/>
              <w:right w:w="0" w:type="dxa"/>
            </w:tcMar>
            <w:vAlign w:val="center"/>
          </w:tcPr>
          <w:p w14:paraId="443332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16169A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49.1</w:t>
            </w:r>
          </w:p>
        </w:tc>
        <w:tc>
          <w:tcPr>
            <w:tcW w:w="393" w:type="dxa"/>
            <w:shd w:val="clear" w:color="auto" w:fill="auto"/>
            <w:tcMar>
              <w:top w:w="0" w:type="dxa"/>
              <w:left w:w="0" w:type="dxa"/>
              <w:bottom w:w="0" w:type="dxa"/>
              <w:right w:w="0" w:type="dxa"/>
            </w:tcMar>
            <w:vAlign w:val="center"/>
          </w:tcPr>
          <w:p w14:paraId="4E5E3D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16.5</w:t>
            </w:r>
          </w:p>
        </w:tc>
        <w:tc>
          <w:tcPr>
            <w:tcW w:w="517" w:type="dxa"/>
            <w:shd w:val="clear" w:color="auto" w:fill="auto"/>
            <w:tcMar>
              <w:top w:w="0" w:type="dxa"/>
              <w:left w:w="0" w:type="dxa"/>
              <w:bottom w:w="0" w:type="dxa"/>
              <w:right w:w="0" w:type="dxa"/>
            </w:tcMar>
            <w:vAlign w:val="center"/>
          </w:tcPr>
          <w:p w14:paraId="1A55CD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75.9</w:t>
            </w:r>
          </w:p>
        </w:tc>
        <w:tc>
          <w:tcPr>
            <w:tcW w:w="455" w:type="dxa"/>
            <w:shd w:val="clear" w:color="auto" w:fill="auto"/>
            <w:tcMar>
              <w:top w:w="0" w:type="dxa"/>
              <w:left w:w="0" w:type="dxa"/>
              <w:bottom w:w="0" w:type="dxa"/>
              <w:right w:w="0" w:type="dxa"/>
            </w:tcMar>
            <w:vAlign w:val="center"/>
          </w:tcPr>
          <w:p w14:paraId="201D92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45.1</w:t>
            </w:r>
          </w:p>
        </w:tc>
        <w:tc>
          <w:tcPr>
            <w:tcW w:w="455" w:type="dxa"/>
            <w:shd w:val="clear" w:color="auto" w:fill="auto"/>
            <w:tcMar>
              <w:top w:w="0" w:type="dxa"/>
              <w:left w:w="0" w:type="dxa"/>
              <w:bottom w:w="0" w:type="dxa"/>
              <w:right w:w="0" w:type="dxa"/>
            </w:tcMar>
            <w:vAlign w:val="center"/>
          </w:tcPr>
          <w:p w14:paraId="01C35D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7B7CB5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56.5</w:t>
            </w:r>
          </w:p>
        </w:tc>
        <w:tc>
          <w:tcPr>
            <w:tcW w:w="455" w:type="dxa"/>
            <w:shd w:val="clear" w:color="auto" w:fill="auto"/>
            <w:tcMar>
              <w:top w:w="0" w:type="dxa"/>
              <w:left w:w="0" w:type="dxa"/>
              <w:bottom w:w="0" w:type="dxa"/>
              <w:right w:w="0" w:type="dxa"/>
            </w:tcMar>
            <w:vAlign w:val="center"/>
          </w:tcPr>
          <w:p w14:paraId="133CD4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698511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vMerge w:val="continue"/>
            <w:shd w:val="clear" w:color="auto" w:fill="auto"/>
            <w:tcMar>
              <w:top w:w="0" w:type="dxa"/>
              <w:left w:w="0" w:type="dxa"/>
              <w:bottom w:w="0" w:type="dxa"/>
              <w:right w:w="0" w:type="dxa"/>
            </w:tcMar>
            <w:vAlign w:val="center"/>
          </w:tcPr>
          <w:p w14:paraId="3831C8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66451B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21DA34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1E8690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0C09A5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6F5120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95" w:type="dxa"/>
            <w:shd w:val="clear" w:color="auto" w:fill="auto"/>
            <w:tcMar>
              <w:top w:w="0" w:type="dxa"/>
              <w:left w:w="0" w:type="dxa"/>
              <w:bottom w:w="0" w:type="dxa"/>
              <w:right w:w="0" w:type="dxa"/>
            </w:tcMar>
            <w:vAlign w:val="center"/>
          </w:tcPr>
          <w:p w14:paraId="3D5F9A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c>
          <w:tcPr>
            <w:tcW w:w="435" w:type="dxa"/>
            <w:shd w:val="clear" w:color="auto" w:fill="auto"/>
            <w:tcMar>
              <w:top w:w="0" w:type="dxa"/>
              <w:left w:w="0" w:type="dxa"/>
              <w:bottom w:w="0" w:type="dxa"/>
              <w:right w:w="0" w:type="dxa"/>
            </w:tcMar>
            <w:vAlign w:val="center"/>
          </w:tcPr>
          <w:p w14:paraId="73BCA6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99" w:type="dxa"/>
            <w:shd w:val="clear" w:color="auto" w:fill="auto"/>
            <w:tcMar>
              <w:top w:w="0" w:type="dxa"/>
              <w:left w:w="0" w:type="dxa"/>
              <w:bottom w:w="0" w:type="dxa"/>
              <w:right w:w="0" w:type="dxa"/>
            </w:tcMar>
            <w:vAlign w:val="center"/>
          </w:tcPr>
          <w:p w14:paraId="3E05E7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547" w:type="dxa"/>
            <w:shd w:val="clear" w:color="auto" w:fill="auto"/>
            <w:tcMar>
              <w:top w:w="0" w:type="dxa"/>
              <w:left w:w="0" w:type="dxa"/>
              <w:bottom w:w="0" w:type="dxa"/>
              <w:right w:w="0" w:type="dxa"/>
            </w:tcMar>
            <w:vAlign w:val="center"/>
          </w:tcPr>
          <w:p w14:paraId="094B58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73AB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1292CDC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w:t>
            </w:r>
            <w:r>
              <w:rPr>
                <w:rFonts w:hint="eastAsia" w:cs="Times New Roman"/>
                <w:color w:val="auto"/>
                <w:sz w:val="21"/>
                <w:szCs w:val="21"/>
                <w:highlight w:val="none"/>
                <w:lang w:val="en-US" w:eastAsia="zh-CN"/>
              </w:rPr>
              <w:t>8</w:t>
            </w:r>
          </w:p>
        </w:tc>
        <w:tc>
          <w:tcPr>
            <w:tcW w:w="1058" w:type="dxa"/>
            <w:shd w:val="clear" w:color="auto" w:fill="auto"/>
            <w:tcMar>
              <w:top w:w="0" w:type="dxa"/>
              <w:left w:w="0" w:type="dxa"/>
              <w:bottom w:w="0" w:type="dxa"/>
              <w:right w:w="0" w:type="dxa"/>
            </w:tcMar>
            <w:vAlign w:val="center"/>
          </w:tcPr>
          <w:p w14:paraId="05F20D11">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1909317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胶带输送机</w:t>
            </w:r>
            <w:r>
              <w:rPr>
                <w:rFonts w:hint="eastAsia" w:ascii="Times New Roman" w:hAnsi="Times New Roman" w:eastAsia="宋体" w:cs="Times New Roman"/>
                <w:color w:val="auto"/>
                <w:sz w:val="21"/>
                <w:szCs w:val="21"/>
                <w:highlight w:val="none"/>
                <w:lang w:val="en-US" w:eastAsia="zh-CN"/>
              </w:rPr>
              <w:t>7</w:t>
            </w:r>
          </w:p>
        </w:tc>
        <w:tc>
          <w:tcPr>
            <w:tcW w:w="655" w:type="dxa"/>
            <w:shd w:val="clear" w:color="auto" w:fill="auto"/>
            <w:tcMar>
              <w:top w:w="0" w:type="dxa"/>
              <w:left w:w="0" w:type="dxa"/>
              <w:bottom w:w="0" w:type="dxa"/>
              <w:right w:w="0" w:type="dxa"/>
            </w:tcMar>
            <w:vAlign w:val="center"/>
          </w:tcPr>
          <w:p w14:paraId="425BB0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6ADF46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4C259FC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455" w:type="dxa"/>
            <w:shd w:val="clear" w:color="auto" w:fill="auto"/>
            <w:tcMar>
              <w:top w:w="0" w:type="dxa"/>
              <w:left w:w="0" w:type="dxa"/>
              <w:bottom w:w="0" w:type="dxa"/>
              <w:right w:w="0" w:type="dxa"/>
            </w:tcMar>
            <w:vAlign w:val="center"/>
          </w:tcPr>
          <w:p w14:paraId="1919D3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17.1</w:t>
            </w:r>
          </w:p>
        </w:tc>
        <w:tc>
          <w:tcPr>
            <w:tcW w:w="403" w:type="dxa"/>
            <w:shd w:val="clear" w:color="auto" w:fill="auto"/>
            <w:tcMar>
              <w:top w:w="0" w:type="dxa"/>
              <w:left w:w="0" w:type="dxa"/>
              <w:bottom w:w="0" w:type="dxa"/>
              <w:right w:w="0" w:type="dxa"/>
            </w:tcMar>
            <w:vAlign w:val="center"/>
          </w:tcPr>
          <w:p w14:paraId="6F33E3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709B24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48.1</w:t>
            </w:r>
          </w:p>
        </w:tc>
        <w:tc>
          <w:tcPr>
            <w:tcW w:w="393" w:type="dxa"/>
            <w:shd w:val="clear" w:color="auto" w:fill="auto"/>
            <w:tcMar>
              <w:top w:w="0" w:type="dxa"/>
              <w:left w:w="0" w:type="dxa"/>
              <w:bottom w:w="0" w:type="dxa"/>
              <w:right w:w="0" w:type="dxa"/>
            </w:tcMar>
            <w:vAlign w:val="center"/>
          </w:tcPr>
          <w:p w14:paraId="531F9F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517" w:type="dxa"/>
            <w:shd w:val="clear" w:color="auto" w:fill="auto"/>
            <w:tcMar>
              <w:top w:w="0" w:type="dxa"/>
              <w:left w:w="0" w:type="dxa"/>
              <w:bottom w:w="0" w:type="dxa"/>
              <w:right w:w="0" w:type="dxa"/>
            </w:tcMar>
            <w:vAlign w:val="center"/>
          </w:tcPr>
          <w:p w14:paraId="0E47AA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79.2</w:t>
            </w:r>
          </w:p>
        </w:tc>
        <w:tc>
          <w:tcPr>
            <w:tcW w:w="455" w:type="dxa"/>
            <w:shd w:val="clear" w:color="auto" w:fill="auto"/>
            <w:tcMar>
              <w:top w:w="0" w:type="dxa"/>
              <w:left w:w="0" w:type="dxa"/>
              <w:bottom w:w="0" w:type="dxa"/>
              <w:right w:w="0" w:type="dxa"/>
            </w:tcMar>
            <w:vAlign w:val="center"/>
          </w:tcPr>
          <w:p w14:paraId="02209A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31.6</w:t>
            </w:r>
          </w:p>
        </w:tc>
        <w:tc>
          <w:tcPr>
            <w:tcW w:w="455" w:type="dxa"/>
            <w:shd w:val="clear" w:color="auto" w:fill="auto"/>
            <w:tcMar>
              <w:top w:w="0" w:type="dxa"/>
              <w:left w:w="0" w:type="dxa"/>
              <w:bottom w:w="0" w:type="dxa"/>
              <w:right w:w="0" w:type="dxa"/>
            </w:tcMar>
            <w:vAlign w:val="center"/>
          </w:tcPr>
          <w:p w14:paraId="208F2C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65CF5C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589811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3FD66F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vMerge w:val="continue"/>
            <w:shd w:val="clear" w:color="auto" w:fill="auto"/>
            <w:tcMar>
              <w:top w:w="0" w:type="dxa"/>
              <w:left w:w="0" w:type="dxa"/>
              <w:bottom w:w="0" w:type="dxa"/>
              <w:right w:w="0" w:type="dxa"/>
            </w:tcMar>
            <w:vAlign w:val="center"/>
          </w:tcPr>
          <w:p w14:paraId="63B6D7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55D9E0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4F0C75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637097F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780861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16A2CC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95" w:type="dxa"/>
            <w:shd w:val="clear" w:color="auto" w:fill="auto"/>
            <w:tcMar>
              <w:top w:w="0" w:type="dxa"/>
              <w:left w:w="0" w:type="dxa"/>
              <w:bottom w:w="0" w:type="dxa"/>
              <w:right w:w="0" w:type="dxa"/>
            </w:tcMar>
            <w:vAlign w:val="center"/>
          </w:tcPr>
          <w:p w14:paraId="03FB4E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35" w:type="dxa"/>
            <w:shd w:val="clear" w:color="auto" w:fill="auto"/>
            <w:tcMar>
              <w:top w:w="0" w:type="dxa"/>
              <w:left w:w="0" w:type="dxa"/>
              <w:bottom w:w="0" w:type="dxa"/>
              <w:right w:w="0" w:type="dxa"/>
            </w:tcMar>
            <w:vAlign w:val="center"/>
          </w:tcPr>
          <w:p w14:paraId="3D925E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99" w:type="dxa"/>
            <w:shd w:val="clear" w:color="auto" w:fill="auto"/>
            <w:tcMar>
              <w:top w:w="0" w:type="dxa"/>
              <w:left w:w="0" w:type="dxa"/>
              <w:bottom w:w="0" w:type="dxa"/>
              <w:right w:w="0" w:type="dxa"/>
            </w:tcMar>
            <w:vAlign w:val="center"/>
          </w:tcPr>
          <w:p w14:paraId="6270FC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547" w:type="dxa"/>
            <w:shd w:val="clear" w:color="auto" w:fill="auto"/>
            <w:tcMar>
              <w:top w:w="0" w:type="dxa"/>
              <w:left w:w="0" w:type="dxa"/>
              <w:bottom w:w="0" w:type="dxa"/>
              <w:right w:w="0" w:type="dxa"/>
            </w:tcMar>
            <w:vAlign w:val="center"/>
          </w:tcPr>
          <w:p w14:paraId="52087C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0130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26740B5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w:t>
            </w:r>
            <w:r>
              <w:rPr>
                <w:rFonts w:hint="eastAsia" w:cs="Times New Roman"/>
                <w:color w:val="auto"/>
                <w:sz w:val="21"/>
                <w:szCs w:val="21"/>
                <w:highlight w:val="none"/>
                <w:lang w:val="en-US" w:eastAsia="zh-CN"/>
              </w:rPr>
              <w:t>9</w:t>
            </w:r>
          </w:p>
        </w:tc>
        <w:tc>
          <w:tcPr>
            <w:tcW w:w="1058" w:type="dxa"/>
            <w:shd w:val="clear" w:color="auto" w:fill="auto"/>
            <w:tcMar>
              <w:top w:w="0" w:type="dxa"/>
              <w:left w:w="0" w:type="dxa"/>
              <w:bottom w:w="0" w:type="dxa"/>
              <w:right w:w="0" w:type="dxa"/>
            </w:tcMar>
            <w:vAlign w:val="center"/>
          </w:tcPr>
          <w:p w14:paraId="4AFA110E">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 原料区-声屏障</w:t>
            </w:r>
          </w:p>
        </w:tc>
        <w:tc>
          <w:tcPr>
            <w:tcW w:w="1650" w:type="dxa"/>
            <w:shd w:val="clear" w:color="auto" w:fill="auto"/>
            <w:tcMar>
              <w:top w:w="0" w:type="dxa"/>
              <w:left w:w="0" w:type="dxa"/>
              <w:bottom w:w="0" w:type="dxa"/>
              <w:right w:w="0" w:type="dxa"/>
            </w:tcMar>
            <w:vAlign w:val="center"/>
          </w:tcPr>
          <w:p w14:paraId="3A3F8D9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拉链机</w:t>
            </w:r>
            <w:r>
              <w:rPr>
                <w:rFonts w:hint="eastAsia" w:ascii="Times New Roman" w:hAnsi="Times New Roman" w:eastAsia="宋体" w:cs="Times New Roman"/>
                <w:color w:val="auto"/>
                <w:sz w:val="21"/>
                <w:szCs w:val="21"/>
                <w:highlight w:val="none"/>
                <w:lang w:val="en-US" w:eastAsia="zh-CN"/>
              </w:rPr>
              <w:t>1</w:t>
            </w:r>
          </w:p>
        </w:tc>
        <w:tc>
          <w:tcPr>
            <w:tcW w:w="655" w:type="dxa"/>
            <w:shd w:val="clear" w:color="auto" w:fill="auto"/>
            <w:tcMar>
              <w:top w:w="0" w:type="dxa"/>
              <w:left w:w="0" w:type="dxa"/>
              <w:bottom w:w="0" w:type="dxa"/>
              <w:right w:w="0" w:type="dxa"/>
            </w:tcMar>
            <w:vAlign w:val="center"/>
          </w:tcPr>
          <w:p w14:paraId="52C1FE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09DBF6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3BCBD6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33.7</w:t>
            </w:r>
          </w:p>
        </w:tc>
        <w:tc>
          <w:tcPr>
            <w:tcW w:w="455" w:type="dxa"/>
            <w:shd w:val="clear" w:color="auto" w:fill="auto"/>
            <w:tcMar>
              <w:top w:w="0" w:type="dxa"/>
              <w:left w:w="0" w:type="dxa"/>
              <w:bottom w:w="0" w:type="dxa"/>
              <w:right w:w="0" w:type="dxa"/>
            </w:tcMar>
            <w:vAlign w:val="center"/>
          </w:tcPr>
          <w:p w14:paraId="602E87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10.1</w:t>
            </w:r>
          </w:p>
        </w:tc>
        <w:tc>
          <w:tcPr>
            <w:tcW w:w="403" w:type="dxa"/>
            <w:shd w:val="clear" w:color="auto" w:fill="auto"/>
            <w:tcMar>
              <w:top w:w="0" w:type="dxa"/>
              <w:left w:w="0" w:type="dxa"/>
              <w:bottom w:w="0" w:type="dxa"/>
              <w:right w:w="0" w:type="dxa"/>
            </w:tcMar>
            <w:vAlign w:val="center"/>
          </w:tcPr>
          <w:p w14:paraId="1E6C59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2A0532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16.6</w:t>
            </w:r>
          </w:p>
        </w:tc>
        <w:tc>
          <w:tcPr>
            <w:tcW w:w="393" w:type="dxa"/>
            <w:shd w:val="clear" w:color="auto" w:fill="auto"/>
            <w:tcMar>
              <w:top w:w="0" w:type="dxa"/>
              <w:left w:w="0" w:type="dxa"/>
              <w:bottom w:w="0" w:type="dxa"/>
              <w:right w:w="0" w:type="dxa"/>
            </w:tcMar>
            <w:vAlign w:val="center"/>
          </w:tcPr>
          <w:p w14:paraId="26CDA9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30.3</w:t>
            </w:r>
          </w:p>
        </w:tc>
        <w:tc>
          <w:tcPr>
            <w:tcW w:w="517" w:type="dxa"/>
            <w:shd w:val="clear" w:color="auto" w:fill="auto"/>
            <w:tcMar>
              <w:top w:w="0" w:type="dxa"/>
              <w:left w:w="0" w:type="dxa"/>
              <w:bottom w:w="0" w:type="dxa"/>
              <w:right w:w="0" w:type="dxa"/>
            </w:tcMar>
            <w:vAlign w:val="center"/>
          </w:tcPr>
          <w:p w14:paraId="6452A6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110.4</w:t>
            </w:r>
          </w:p>
        </w:tc>
        <w:tc>
          <w:tcPr>
            <w:tcW w:w="455" w:type="dxa"/>
            <w:shd w:val="clear" w:color="auto" w:fill="auto"/>
            <w:tcMar>
              <w:top w:w="0" w:type="dxa"/>
              <w:left w:w="0" w:type="dxa"/>
              <w:bottom w:w="0" w:type="dxa"/>
              <w:right w:w="0" w:type="dxa"/>
            </w:tcMar>
            <w:vAlign w:val="center"/>
          </w:tcPr>
          <w:p w14:paraId="746654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31.0</w:t>
            </w:r>
          </w:p>
        </w:tc>
        <w:tc>
          <w:tcPr>
            <w:tcW w:w="455" w:type="dxa"/>
            <w:shd w:val="clear" w:color="auto" w:fill="auto"/>
            <w:tcMar>
              <w:top w:w="0" w:type="dxa"/>
              <w:left w:w="0" w:type="dxa"/>
              <w:bottom w:w="0" w:type="dxa"/>
              <w:right w:w="0" w:type="dxa"/>
            </w:tcMar>
            <w:vAlign w:val="center"/>
          </w:tcPr>
          <w:p w14:paraId="79913E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61.5</w:t>
            </w:r>
          </w:p>
        </w:tc>
        <w:tc>
          <w:tcPr>
            <w:tcW w:w="455" w:type="dxa"/>
            <w:shd w:val="clear" w:color="auto" w:fill="auto"/>
            <w:tcMar>
              <w:top w:w="0" w:type="dxa"/>
              <w:left w:w="0" w:type="dxa"/>
              <w:bottom w:w="0" w:type="dxa"/>
              <w:right w:w="0" w:type="dxa"/>
            </w:tcMar>
            <w:vAlign w:val="center"/>
          </w:tcPr>
          <w:p w14:paraId="67ED18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61.4</w:t>
            </w:r>
          </w:p>
        </w:tc>
        <w:tc>
          <w:tcPr>
            <w:tcW w:w="455" w:type="dxa"/>
            <w:shd w:val="clear" w:color="auto" w:fill="auto"/>
            <w:tcMar>
              <w:top w:w="0" w:type="dxa"/>
              <w:left w:w="0" w:type="dxa"/>
              <w:bottom w:w="0" w:type="dxa"/>
              <w:right w:w="0" w:type="dxa"/>
            </w:tcMar>
            <w:vAlign w:val="center"/>
          </w:tcPr>
          <w:p w14:paraId="44DA66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61.4</w:t>
            </w:r>
          </w:p>
        </w:tc>
        <w:tc>
          <w:tcPr>
            <w:tcW w:w="455" w:type="dxa"/>
            <w:shd w:val="clear" w:color="auto" w:fill="auto"/>
            <w:tcMar>
              <w:top w:w="0" w:type="dxa"/>
              <w:left w:w="0" w:type="dxa"/>
              <w:bottom w:w="0" w:type="dxa"/>
              <w:right w:w="0" w:type="dxa"/>
            </w:tcMar>
            <w:vAlign w:val="center"/>
          </w:tcPr>
          <w:p w14:paraId="177932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61.4</w:t>
            </w:r>
          </w:p>
        </w:tc>
        <w:tc>
          <w:tcPr>
            <w:tcW w:w="455" w:type="dxa"/>
            <w:vMerge w:val="continue"/>
            <w:shd w:val="clear" w:color="auto" w:fill="auto"/>
            <w:tcMar>
              <w:top w:w="0" w:type="dxa"/>
              <w:left w:w="0" w:type="dxa"/>
              <w:bottom w:w="0" w:type="dxa"/>
              <w:right w:w="0" w:type="dxa"/>
            </w:tcMar>
            <w:vAlign w:val="center"/>
          </w:tcPr>
          <w:p w14:paraId="724C77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6E0125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5C1526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24A3A3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0D22C8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45E798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35.0</w:t>
            </w:r>
          </w:p>
        </w:tc>
        <w:tc>
          <w:tcPr>
            <w:tcW w:w="495" w:type="dxa"/>
            <w:shd w:val="clear" w:color="auto" w:fill="auto"/>
            <w:tcMar>
              <w:top w:w="0" w:type="dxa"/>
              <w:left w:w="0" w:type="dxa"/>
              <w:bottom w:w="0" w:type="dxa"/>
              <w:right w:w="0" w:type="dxa"/>
            </w:tcMar>
            <w:vAlign w:val="center"/>
          </w:tcPr>
          <w:p w14:paraId="69CA55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34.9</w:t>
            </w:r>
          </w:p>
        </w:tc>
        <w:tc>
          <w:tcPr>
            <w:tcW w:w="435" w:type="dxa"/>
            <w:shd w:val="clear" w:color="auto" w:fill="auto"/>
            <w:tcMar>
              <w:top w:w="0" w:type="dxa"/>
              <w:left w:w="0" w:type="dxa"/>
              <w:bottom w:w="0" w:type="dxa"/>
              <w:right w:w="0" w:type="dxa"/>
            </w:tcMar>
            <w:vAlign w:val="center"/>
          </w:tcPr>
          <w:p w14:paraId="6DC885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34.9</w:t>
            </w:r>
          </w:p>
        </w:tc>
        <w:tc>
          <w:tcPr>
            <w:tcW w:w="499" w:type="dxa"/>
            <w:shd w:val="clear" w:color="auto" w:fill="auto"/>
            <w:tcMar>
              <w:top w:w="0" w:type="dxa"/>
              <w:left w:w="0" w:type="dxa"/>
              <w:bottom w:w="0" w:type="dxa"/>
              <w:right w:w="0" w:type="dxa"/>
            </w:tcMar>
            <w:vAlign w:val="center"/>
          </w:tcPr>
          <w:p w14:paraId="469EAA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34.9</w:t>
            </w:r>
          </w:p>
        </w:tc>
        <w:tc>
          <w:tcPr>
            <w:tcW w:w="547" w:type="dxa"/>
            <w:shd w:val="clear" w:color="auto" w:fill="auto"/>
            <w:tcMar>
              <w:top w:w="0" w:type="dxa"/>
              <w:left w:w="0" w:type="dxa"/>
              <w:bottom w:w="0" w:type="dxa"/>
              <w:right w:w="0" w:type="dxa"/>
            </w:tcMar>
            <w:vAlign w:val="center"/>
          </w:tcPr>
          <w:p w14:paraId="4E7D7A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58A38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189D39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058" w:type="dxa"/>
            <w:shd w:val="clear" w:color="auto" w:fill="auto"/>
            <w:tcMar>
              <w:top w:w="0" w:type="dxa"/>
              <w:left w:w="0" w:type="dxa"/>
              <w:bottom w:w="0" w:type="dxa"/>
              <w:right w:w="0" w:type="dxa"/>
            </w:tcMar>
            <w:vAlign w:val="center"/>
          </w:tcPr>
          <w:p w14:paraId="56CD0C47">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 原料区-声屏障</w:t>
            </w:r>
          </w:p>
        </w:tc>
        <w:tc>
          <w:tcPr>
            <w:tcW w:w="1650" w:type="dxa"/>
            <w:shd w:val="clear" w:color="auto" w:fill="auto"/>
            <w:tcMar>
              <w:top w:w="0" w:type="dxa"/>
              <w:left w:w="0" w:type="dxa"/>
              <w:bottom w:w="0" w:type="dxa"/>
              <w:right w:w="0" w:type="dxa"/>
            </w:tcMar>
            <w:vAlign w:val="center"/>
          </w:tcPr>
          <w:p w14:paraId="70AF683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拉链机</w:t>
            </w:r>
            <w:r>
              <w:rPr>
                <w:rFonts w:hint="eastAsia" w:ascii="Times New Roman" w:hAnsi="Times New Roman" w:eastAsia="宋体" w:cs="Times New Roman"/>
                <w:color w:val="auto"/>
                <w:sz w:val="21"/>
                <w:szCs w:val="21"/>
                <w:highlight w:val="none"/>
                <w:lang w:val="en-US" w:eastAsia="zh-CN"/>
              </w:rPr>
              <w:t>2</w:t>
            </w:r>
          </w:p>
        </w:tc>
        <w:tc>
          <w:tcPr>
            <w:tcW w:w="655" w:type="dxa"/>
            <w:shd w:val="clear" w:color="auto" w:fill="auto"/>
            <w:tcMar>
              <w:top w:w="0" w:type="dxa"/>
              <w:left w:w="0" w:type="dxa"/>
              <w:bottom w:w="0" w:type="dxa"/>
              <w:right w:w="0" w:type="dxa"/>
            </w:tcMar>
            <w:vAlign w:val="center"/>
          </w:tcPr>
          <w:p w14:paraId="44CDC0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406512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231DA9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19.1</w:t>
            </w:r>
          </w:p>
        </w:tc>
        <w:tc>
          <w:tcPr>
            <w:tcW w:w="455" w:type="dxa"/>
            <w:shd w:val="clear" w:color="auto" w:fill="auto"/>
            <w:tcMar>
              <w:top w:w="0" w:type="dxa"/>
              <w:left w:w="0" w:type="dxa"/>
              <w:bottom w:w="0" w:type="dxa"/>
              <w:right w:w="0" w:type="dxa"/>
            </w:tcMar>
            <w:vAlign w:val="center"/>
          </w:tcPr>
          <w:p w14:paraId="38A278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-87.9</w:t>
            </w:r>
          </w:p>
        </w:tc>
        <w:tc>
          <w:tcPr>
            <w:tcW w:w="403" w:type="dxa"/>
            <w:shd w:val="clear" w:color="auto" w:fill="auto"/>
            <w:tcMar>
              <w:top w:w="0" w:type="dxa"/>
              <w:left w:w="0" w:type="dxa"/>
              <w:bottom w:w="0" w:type="dxa"/>
              <w:right w:w="0" w:type="dxa"/>
            </w:tcMar>
            <w:vAlign w:val="center"/>
          </w:tcPr>
          <w:p w14:paraId="46FE30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400611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8.4</w:t>
            </w:r>
          </w:p>
        </w:tc>
        <w:tc>
          <w:tcPr>
            <w:tcW w:w="393" w:type="dxa"/>
            <w:shd w:val="clear" w:color="auto" w:fill="auto"/>
            <w:tcMar>
              <w:top w:w="0" w:type="dxa"/>
              <w:left w:w="0" w:type="dxa"/>
              <w:bottom w:w="0" w:type="dxa"/>
              <w:right w:w="0" w:type="dxa"/>
            </w:tcMar>
            <w:vAlign w:val="center"/>
          </w:tcPr>
          <w:p w14:paraId="7A9C91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w:t>
            </w:r>
          </w:p>
        </w:tc>
        <w:tc>
          <w:tcPr>
            <w:tcW w:w="517" w:type="dxa"/>
            <w:shd w:val="clear" w:color="auto" w:fill="auto"/>
            <w:tcMar>
              <w:top w:w="0" w:type="dxa"/>
              <w:left w:w="0" w:type="dxa"/>
              <w:bottom w:w="0" w:type="dxa"/>
              <w:right w:w="0" w:type="dxa"/>
            </w:tcMar>
            <w:vAlign w:val="center"/>
          </w:tcPr>
          <w:p w14:paraId="5DAA17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113.8</w:t>
            </w:r>
          </w:p>
        </w:tc>
        <w:tc>
          <w:tcPr>
            <w:tcW w:w="455" w:type="dxa"/>
            <w:shd w:val="clear" w:color="auto" w:fill="auto"/>
            <w:tcMar>
              <w:top w:w="0" w:type="dxa"/>
              <w:left w:w="0" w:type="dxa"/>
              <w:bottom w:w="0" w:type="dxa"/>
              <w:right w:w="0" w:type="dxa"/>
            </w:tcMar>
            <w:vAlign w:val="center"/>
          </w:tcPr>
          <w:p w14:paraId="3CA58E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12.1</w:t>
            </w:r>
          </w:p>
        </w:tc>
        <w:tc>
          <w:tcPr>
            <w:tcW w:w="455" w:type="dxa"/>
            <w:shd w:val="clear" w:color="auto" w:fill="auto"/>
            <w:tcMar>
              <w:top w:w="0" w:type="dxa"/>
              <w:left w:w="0" w:type="dxa"/>
              <w:bottom w:w="0" w:type="dxa"/>
              <w:right w:w="0" w:type="dxa"/>
            </w:tcMar>
            <w:vAlign w:val="center"/>
          </w:tcPr>
          <w:p w14:paraId="35EB58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62.7</w:t>
            </w:r>
          </w:p>
        </w:tc>
        <w:tc>
          <w:tcPr>
            <w:tcW w:w="455" w:type="dxa"/>
            <w:shd w:val="clear" w:color="auto" w:fill="auto"/>
            <w:tcMar>
              <w:top w:w="0" w:type="dxa"/>
              <w:left w:w="0" w:type="dxa"/>
              <w:bottom w:w="0" w:type="dxa"/>
              <w:right w:w="0" w:type="dxa"/>
            </w:tcMar>
            <w:vAlign w:val="center"/>
          </w:tcPr>
          <w:p w14:paraId="6089EE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62.6</w:t>
            </w:r>
          </w:p>
        </w:tc>
        <w:tc>
          <w:tcPr>
            <w:tcW w:w="455" w:type="dxa"/>
            <w:shd w:val="clear" w:color="auto" w:fill="auto"/>
            <w:tcMar>
              <w:top w:w="0" w:type="dxa"/>
              <w:left w:w="0" w:type="dxa"/>
              <w:bottom w:w="0" w:type="dxa"/>
              <w:right w:w="0" w:type="dxa"/>
            </w:tcMar>
            <w:vAlign w:val="center"/>
          </w:tcPr>
          <w:p w14:paraId="156F83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62.5</w:t>
            </w:r>
          </w:p>
        </w:tc>
        <w:tc>
          <w:tcPr>
            <w:tcW w:w="455" w:type="dxa"/>
            <w:shd w:val="clear" w:color="auto" w:fill="auto"/>
            <w:tcMar>
              <w:top w:w="0" w:type="dxa"/>
              <w:left w:w="0" w:type="dxa"/>
              <w:bottom w:w="0" w:type="dxa"/>
              <w:right w:w="0" w:type="dxa"/>
            </w:tcMar>
            <w:vAlign w:val="center"/>
          </w:tcPr>
          <w:p w14:paraId="4A56E2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62.6</w:t>
            </w:r>
          </w:p>
        </w:tc>
        <w:tc>
          <w:tcPr>
            <w:tcW w:w="455" w:type="dxa"/>
            <w:vMerge w:val="continue"/>
            <w:shd w:val="clear" w:color="auto" w:fill="auto"/>
            <w:tcMar>
              <w:top w:w="0" w:type="dxa"/>
              <w:left w:w="0" w:type="dxa"/>
              <w:bottom w:w="0" w:type="dxa"/>
              <w:right w:w="0" w:type="dxa"/>
            </w:tcMar>
            <w:vAlign w:val="center"/>
          </w:tcPr>
          <w:p w14:paraId="741287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698777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51909D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034ED1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571EDC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573A3C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36.2</w:t>
            </w:r>
          </w:p>
        </w:tc>
        <w:tc>
          <w:tcPr>
            <w:tcW w:w="495" w:type="dxa"/>
            <w:shd w:val="clear" w:color="auto" w:fill="auto"/>
            <w:tcMar>
              <w:top w:w="0" w:type="dxa"/>
              <w:left w:w="0" w:type="dxa"/>
              <w:bottom w:w="0" w:type="dxa"/>
              <w:right w:w="0" w:type="dxa"/>
            </w:tcMar>
            <w:vAlign w:val="center"/>
          </w:tcPr>
          <w:p w14:paraId="514BFA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36.1</w:t>
            </w:r>
          </w:p>
        </w:tc>
        <w:tc>
          <w:tcPr>
            <w:tcW w:w="435" w:type="dxa"/>
            <w:shd w:val="clear" w:color="auto" w:fill="auto"/>
            <w:tcMar>
              <w:top w:w="0" w:type="dxa"/>
              <w:left w:w="0" w:type="dxa"/>
              <w:bottom w:w="0" w:type="dxa"/>
              <w:right w:w="0" w:type="dxa"/>
            </w:tcMar>
            <w:vAlign w:val="center"/>
          </w:tcPr>
          <w:p w14:paraId="35D15F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36.0</w:t>
            </w:r>
          </w:p>
        </w:tc>
        <w:tc>
          <w:tcPr>
            <w:tcW w:w="499" w:type="dxa"/>
            <w:shd w:val="clear" w:color="auto" w:fill="auto"/>
            <w:tcMar>
              <w:top w:w="0" w:type="dxa"/>
              <w:left w:w="0" w:type="dxa"/>
              <w:bottom w:w="0" w:type="dxa"/>
              <w:right w:w="0" w:type="dxa"/>
            </w:tcMar>
            <w:vAlign w:val="center"/>
          </w:tcPr>
          <w:p w14:paraId="0459BE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36.1</w:t>
            </w:r>
          </w:p>
        </w:tc>
        <w:tc>
          <w:tcPr>
            <w:tcW w:w="547" w:type="dxa"/>
            <w:shd w:val="clear" w:color="auto" w:fill="auto"/>
            <w:tcMar>
              <w:top w:w="0" w:type="dxa"/>
              <w:left w:w="0" w:type="dxa"/>
              <w:bottom w:w="0" w:type="dxa"/>
              <w:right w:w="0" w:type="dxa"/>
            </w:tcMar>
            <w:vAlign w:val="center"/>
          </w:tcPr>
          <w:p w14:paraId="52BABD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0C30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1ECEDB6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1</w:t>
            </w:r>
          </w:p>
        </w:tc>
        <w:tc>
          <w:tcPr>
            <w:tcW w:w="1058" w:type="dxa"/>
            <w:shd w:val="clear" w:color="auto" w:fill="auto"/>
            <w:tcMar>
              <w:top w:w="0" w:type="dxa"/>
              <w:left w:w="0" w:type="dxa"/>
              <w:bottom w:w="0" w:type="dxa"/>
              <w:right w:w="0" w:type="dxa"/>
            </w:tcMar>
            <w:vAlign w:val="center"/>
          </w:tcPr>
          <w:p w14:paraId="6A232392">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7D1980D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拉链机</w:t>
            </w:r>
            <w:r>
              <w:rPr>
                <w:rFonts w:hint="eastAsia" w:ascii="Times New Roman" w:hAnsi="Times New Roman" w:eastAsia="宋体" w:cs="Times New Roman"/>
                <w:color w:val="auto"/>
                <w:sz w:val="21"/>
                <w:szCs w:val="21"/>
                <w:highlight w:val="none"/>
                <w:lang w:val="en-US" w:eastAsia="zh-CN"/>
              </w:rPr>
              <w:t>3</w:t>
            </w:r>
          </w:p>
        </w:tc>
        <w:tc>
          <w:tcPr>
            <w:tcW w:w="655" w:type="dxa"/>
            <w:shd w:val="clear" w:color="auto" w:fill="auto"/>
            <w:tcMar>
              <w:top w:w="0" w:type="dxa"/>
              <w:left w:w="0" w:type="dxa"/>
              <w:bottom w:w="0" w:type="dxa"/>
              <w:right w:w="0" w:type="dxa"/>
            </w:tcMar>
            <w:vAlign w:val="center"/>
          </w:tcPr>
          <w:p w14:paraId="4E19DD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123D59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6E75C0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19.9</w:t>
            </w:r>
          </w:p>
        </w:tc>
        <w:tc>
          <w:tcPr>
            <w:tcW w:w="455" w:type="dxa"/>
            <w:shd w:val="clear" w:color="auto" w:fill="auto"/>
            <w:tcMar>
              <w:top w:w="0" w:type="dxa"/>
              <w:left w:w="0" w:type="dxa"/>
              <w:bottom w:w="0" w:type="dxa"/>
              <w:right w:w="0" w:type="dxa"/>
            </w:tcMar>
            <w:vAlign w:val="center"/>
          </w:tcPr>
          <w:p w14:paraId="58A358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-81.5</w:t>
            </w:r>
          </w:p>
        </w:tc>
        <w:tc>
          <w:tcPr>
            <w:tcW w:w="403" w:type="dxa"/>
            <w:shd w:val="clear" w:color="auto" w:fill="auto"/>
            <w:tcMar>
              <w:top w:w="0" w:type="dxa"/>
              <w:left w:w="0" w:type="dxa"/>
              <w:bottom w:w="0" w:type="dxa"/>
              <w:right w:w="0" w:type="dxa"/>
            </w:tcMar>
            <w:vAlign w:val="center"/>
          </w:tcPr>
          <w:p w14:paraId="0E50FD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1E937A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8.3</w:t>
            </w:r>
          </w:p>
        </w:tc>
        <w:tc>
          <w:tcPr>
            <w:tcW w:w="393" w:type="dxa"/>
            <w:shd w:val="clear" w:color="auto" w:fill="auto"/>
            <w:tcMar>
              <w:top w:w="0" w:type="dxa"/>
              <w:left w:w="0" w:type="dxa"/>
              <w:bottom w:w="0" w:type="dxa"/>
              <w:right w:w="0" w:type="dxa"/>
            </w:tcMar>
            <w:vAlign w:val="center"/>
          </w:tcPr>
          <w:p w14:paraId="6DC303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17.7</w:t>
            </w:r>
          </w:p>
        </w:tc>
        <w:tc>
          <w:tcPr>
            <w:tcW w:w="517" w:type="dxa"/>
            <w:shd w:val="clear" w:color="auto" w:fill="auto"/>
            <w:tcMar>
              <w:top w:w="0" w:type="dxa"/>
              <w:left w:w="0" w:type="dxa"/>
              <w:bottom w:w="0" w:type="dxa"/>
              <w:right w:w="0" w:type="dxa"/>
            </w:tcMar>
            <w:vAlign w:val="center"/>
          </w:tcPr>
          <w:p w14:paraId="2E257E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113.0</w:t>
            </w:r>
          </w:p>
        </w:tc>
        <w:tc>
          <w:tcPr>
            <w:tcW w:w="455" w:type="dxa"/>
            <w:shd w:val="clear" w:color="auto" w:fill="auto"/>
            <w:tcMar>
              <w:top w:w="0" w:type="dxa"/>
              <w:left w:w="0" w:type="dxa"/>
              <w:bottom w:w="0" w:type="dxa"/>
              <w:right w:w="0" w:type="dxa"/>
            </w:tcMar>
            <w:vAlign w:val="center"/>
          </w:tcPr>
          <w:p w14:paraId="396530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w:t>
            </w:r>
          </w:p>
        </w:tc>
        <w:tc>
          <w:tcPr>
            <w:tcW w:w="455" w:type="dxa"/>
            <w:shd w:val="clear" w:color="auto" w:fill="auto"/>
            <w:tcMar>
              <w:top w:w="0" w:type="dxa"/>
              <w:left w:w="0" w:type="dxa"/>
              <w:bottom w:w="0" w:type="dxa"/>
              <w:right w:w="0" w:type="dxa"/>
            </w:tcMar>
            <w:vAlign w:val="center"/>
          </w:tcPr>
          <w:p w14:paraId="1DB882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62.7</w:t>
            </w:r>
          </w:p>
        </w:tc>
        <w:tc>
          <w:tcPr>
            <w:tcW w:w="455" w:type="dxa"/>
            <w:shd w:val="clear" w:color="auto" w:fill="auto"/>
            <w:tcMar>
              <w:top w:w="0" w:type="dxa"/>
              <w:left w:w="0" w:type="dxa"/>
              <w:bottom w:w="0" w:type="dxa"/>
              <w:right w:w="0" w:type="dxa"/>
            </w:tcMar>
            <w:vAlign w:val="center"/>
          </w:tcPr>
          <w:p w14:paraId="41FB71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62.5</w:t>
            </w:r>
          </w:p>
        </w:tc>
        <w:tc>
          <w:tcPr>
            <w:tcW w:w="455" w:type="dxa"/>
            <w:shd w:val="clear" w:color="auto" w:fill="auto"/>
            <w:tcMar>
              <w:top w:w="0" w:type="dxa"/>
              <w:left w:w="0" w:type="dxa"/>
              <w:bottom w:w="0" w:type="dxa"/>
              <w:right w:w="0" w:type="dxa"/>
            </w:tcMar>
            <w:vAlign w:val="center"/>
          </w:tcPr>
          <w:p w14:paraId="7B373E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62.5</w:t>
            </w:r>
          </w:p>
        </w:tc>
        <w:tc>
          <w:tcPr>
            <w:tcW w:w="455" w:type="dxa"/>
            <w:shd w:val="clear" w:color="auto" w:fill="auto"/>
            <w:tcMar>
              <w:top w:w="0" w:type="dxa"/>
              <w:left w:w="0" w:type="dxa"/>
              <w:bottom w:w="0" w:type="dxa"/>
              <w:right w:w="0" w:type="dxa"/>
            </w:tcMar>
            <w:vAlign w:val="center"/>
          </w:tcPr>
          <w:p w14:paraId="424AE4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63.0</w:t>
            </w:r>
          </w:p>
        </w:tc>
        <w:tc>
          <w:tcPr>
            <w:tcW w:w="455" w:type="dxa"/>
            <w:vMerge w:val="continue"/>
            <w:shd w:val="clear" w:color="auto" w:fill="auto"/>
            <w:tcMar>
              <w:top w:w="0" w:type="dxa"/>
              <w:left w:w="0" w:type="dxa"/>
              <w:bottom w:w="0" w:type="dxa"/>
              <w:right w:w="0" w:type="dxa"/>
            </w:tcMar>
            <w:vAlign w:val="center"/>
          </w:tcPr>
          <w:p w14:paraId="661831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05EC22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074D01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6E9D3A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04F362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73CD6F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36.2</w:t>
            </w:r>
          </w:p>
        </w:tc>
        <w:tc>
          <w:tcPr>
            <w:tcW w:w="495" w:type="dxa"/>
            <w:shd w:val="clear" w:color="auto" w:fill="auto"/>
            <w:tcMar>
              <w:top w:w="0" w:type="dxa"/>
              <w:left w:w="0" w:type="dxa"/>
              <w:bottom w:w="0" w:type="dxa"/>
              <w:right w:w="0" w:type="dxa"/>
            </w:tcMar>
            <w:vAlign w:val="center"/>
          </w:tcPr>
          <w:p w14:paraId="763D6C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36.0</w:t>
            </w:r>
          </w:p>
        </w:tc>
        <w:tc>
          <w:tcPr>
            <w:tcW w:w="435" w:type="dxa"/>
            <w:shd w:val="clear" w:color="auto" w:fill="auto"/>
            <w:tcMar>
              <w:top w:w="0" w:type="dxa"/>
              <w:left w:w="0" w:type="dxa"/>
              <w:bottom w:w="0" w:type="dxa"/>
              <w:right w:w="0" w:type="dxa"/>
            </w:tcMar>
            <w:vAlign w:val="center"/>
          </w:tcPr>
          <w:p w14:paraId="3E0A89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36.0</w:t>
            </w:r>
          </w:p>
        </w:tc>
        <w:tc>
          <w:tcPr>
            <w:tcW w:w="499" w:type="dxa"/>
            <w:shd w:val="clear" w:color="auto" w:fill="auto"/>
            <w:tcMar>
              <w:top w:w="0" w:type="dxa"/>
              <w:left w:w="0" w:type="dxa"/>
              <w:bottom w:w="0" w:type="dxa"/>
              <w:right w:w="0" w:type="dxa"/>
            </w:tcMar>
            <w:vAlign w:val="center"/>
          </w:tcPr>
          <w:p w14:paraId="18853A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36.5</w:t>
            </w:r>
          </w:p>
        </w:tc>
        <w:tc>
          <w:tcPr>
            <w:tcW w:w="547" w:type="dxa"/>
            <w:shd w:val="clear" w:color="auto" w:fill="auto"/>
            <w:tcMar>
              <w:top w:w="0" w:type="dxa"/>
              <w:left w:w="0" w:type="dxa"/>
              <w:bottom w:w="0" w:type="dxa"/>
              <w:right w:w="0" w:type="dxa"/>
            </w:tcMar>
            <w:vAlign w:val="center"/>
          </w:tcPr>
          <w:p w14:paraId="56EC6F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2B34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1B9B76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w:t>
            </w:r>
          </w:p>
        </w:tc>
        <w:tc>
          <w:tcPr>
            <w:tcW w:w="1058" w:type="dxa"/>
            <w:shd w:val="clear" w:color="auto" w:fill="auto"/>
            <w:tcMar>
              <w:top w:w="0" w:type="dxa"/>
              <w:left w:w="0" w:type="dxa"/>
              <w:bottom w:w="0" w:type="dxa"/>
              <w:right w:w="0" w:type="dxa"/>
            </w:tcMar>
            <w:vAlign w:val="center"/>
          </w:tcPr>
          <w:p w14:paraId="47BB3042">
            <w:pPr>
              <w:keepNext w:val="0"/>
              <w:keepLines w:val="0"/>
              <w:pageBreakBefore w:val="0"/>
              <w:widowControl w:val="0"/>
              <w:kinsoku/>
              <w:wordWrap/>
              <w:overflowPunct/>
              <w:topLinePunct w:val="0"/>
              <w:autoSpaceDE/>
              <w:autoSpaceDN/>
              <w:bidi w:val="0"/>
              <w:adjustRightInd w:val="0"/>
              <w:snapToGrid w:val="0"/>
              <w:textAlignment w:val="auto"/>
              <w:rPr>
                <w:rFonts w:ascii="Arial" w:hAnsi="Arial" w:eastAsia="Arial" w:cs="Arial"/>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0A9829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拉链机</w:t>
            </w:r>
            <w:r>
              <w:rPr>
                <w:rFonts w:hint="eastAsia" w:cs="Times New Roman"/>
                <w:color w:val="auto"/>
                <w:sz w:val="21"/>
                <w:szCs w:val="21"/>
                <w:highlight w:val="none"/>
                <w:lang w:val="en-US" w:eastAsia="zh-CN"/>
              </w:rPr>
              <w:t>4</w:t>
            </w:r>
          </w:p>
        </w:tc>
        <w:tc>
          <w:tcPr>
            <w:tcW w:w="655" w:type="dxa"/>
            <w:shd w:val="clear" w:color="auto" w:fill="auto"/>
            <w:tcMar>
              <w:top w:w="0" w:type="dxa"/>
              <w:left w:w="0" w:type="dxa"/>
              <w:bottom w:w="0" w:type="dxa"/>
              <w:right w:w="0" w:type="dxa"/>
            </w:tcMar>
            <w:vAlign w:val="center"/>
          </w:tcPr>
          <w:p w14:paraId="178267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5939CA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3846F1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-22.9</w:t>
            </w:r>
          </w:p>
        </w:tc>
        <w:tc>
          <w:tcPr>
            <w:tcW w:w="455" w:type="dxa"/>
            <w:shd w:val="clear" w:color="auto" w:fill="auto"/>
            <w:tcMar>
              <w:top w:w="0" w:type="dxa"/>
              <w:left w:w="0" w:type="dxa"/>
              <w:bottom w:w="0" w:type="dxa"/>
              <w:right w:w="0" w:type="dxa"/>
            </w:tcMar>
            <w:vAlign w:val="center"/>
          </w:tcPr>
          <w:p w14:paraId="003842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72.6</w:t>
            </w:r>
          </w:p>
        </w:tc>
        <w:tc>
          <w:tcPr>
            <w:tcW w:w="403" w:type="dxa"/>
            <w:shd w:val="clear" w:color="auto" w:fill="auto"/>
            <w:tcMar>
              <w:top w:w="0" w:type="dxa"/>
              <w:left w:w="0" w:type="dxa"/>
              <w:bottom w:w="0" w:type="dxa"/>
              <w:right w:w="0" w:type="dxa"/>
            </w:tcMar>
            <w:vAlign w:val="center"/>
          </w:tcPr>
          <w:p w14:paraId="1E2AE0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0E8D0F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163.0</w:t>
            </w:r>
          </w:p>
        </w:tc>
        <w:tc>
          <w:tcPr>
            <w:tcW w:w="393" w:type="dxa"/>
            <w:shd w:val="clear" w:color="auto" w:fill="auto"/>
            <w:tcMar>
              <w:top w:w="0" w:type="dxa"/>
              <w:left w:w="0" w:type="dxa"/>
              <w:bottom w:w="0" w:type="dxa"/>
              <w:right w:w="0" w:type="dxa"/>
            </w:tcMar>
            <w:vAlign w:val="center"/>
          </w:tcPr>
          <w:p w14:paraId="5623F8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14.1</w:t>
            </w:r>
          </w:p>
        </w:tc>
        <w:tc>
          <w:tcPr>
            <w:tcW w:w="517" w:type="dxa"/>
            <w:shd w:val="clear" w:color="auto" w:fill="auto"/>
            <w:tcMar>
              <w:top w:w="0" w:type="dxa"/>
              <w:left w:w="0" w:type="dxa"/>
              <w:bottom w:w="0" w:type="dxa"/>
              <w:right w:w="0" w:type="dxa"/>
            </w:tcMar>
            <w:vAlign w:val="center"/>
          </w:tcPr>
          <w:p w14:paraId="7230A6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48.1</w:t>
            </w:r>
          </w:p>
        </w:tc>
        <w:tc>
          <w:tcPr>
            <w:tcW w:w="455" w:type="dxa"/>
            <w:shd w:val="clear" w:color="auto" w:fill="auto"/>
            <w:tcMar>
              <w:top w:w="0" w:type="dxa"/>
              <w:left w:w="0" w:type="dxa"/>
              <w:bottom w:w="0" w:type="dxa"/>
              <w:right w:w="0" w:type="dxa"/>
            </w:tcMar>
            <w:vAlign w:val="center"/>
          </w:tcPr>
          <w:p w14:paraId="61C19C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38.3</w:t>
            </w:r>
          </w:p>
        </w:tc>
        <w:tc>
          <w:tcPr>
            <w:tcW w:w="455" w:type="dxa"/>
            <w:shd w:val="clear" w:color="auto" w:fill="auto"/>
            <w:tcMar>
              <w:top w:w="0" w:type="dxa"/>
              <w:left w:w="0" w:type="dxa"/>
              <w:bottom w:w="0" w:type="dxa"/>
              <w:right w:w="0" w:type="dxa"/>
            </w:tcMar>
            <w:vAlign w:val="center"/>
          </w:tcPr>
          <w:p w14:paraId="0CDE18C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54.9</w:t>
            </w:r>
          </w:p>
        </w:tc>
        <w:tc>
          <w:tcPr>
            <w:tcW w:w="455" w:type="dxa"/>
            <w:shd w:val="clear" w:color="auto" w:fill="auto"/>
            <w:tcMar>
              <w:top w:w="0" w:type="dxa"/>
              <w:left w:w="0" w:type="dxa"/>
              <w:bottom w:w="0" w:type="dxa"/>
              <w:right w:w="0" w:type="dxa"/>
            </w:tcMar>
            <w:vAlign w:val="center"/>
          </w:tcPr>
          <w:p w14:paraId="2D6658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55.1</w:t>
            </w:r>
          </w:p>
        </w:tc>
        <w:tc>
          <w:tcPr>
            <w:tcW w:w="455" w:type="dxa"/>
            <w:shd w:val="clear" w:color="auto" w:fill="auto"/>
            <w:tcMar>
              <w:top w:w="0" w:type="dxa"/>
              <w:left w:w="0" w:type="dxa"/>
              <w:bottom w:w="0" w:type="dxa"/>
              <w:right w:w="0" w:type="dxa"/>
            </w:tcMar>
            <w:vAlign w:val="center"/>
          </w:tcPr>
          <w:p w14:paraId="7927B3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55.0</w:t>
            </w:r>
          </w:p>
        </w:tc>
        <w:tc>
          <w:tcPr>
            <w:tcW w:w="455" w:type="dxa"/>
            <w:shd w:val="clear" w:color="auto" w:fill="auto"/>
            <w:tcMar>
              <w:top w:w="0" w:type="dxa"/>
              <w:left w:w="0" w:type="dxa"/>
              <w:bottom w:w="0" w:type="dxa"/>
              <w:right w:w="0" w:type="dxa"/>
            </w:tcMar>
            <w:vAlign w:val="center"/>
          </w:tcPr>
          <w:p w14:paraId="5A6C11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55.0</w:t>
            </w:r>
          </w:p>
        </w:tc>
        <w:tc>
          <w:tcPr>
            <w:tcW w:w="455" w:type="dxa"/>
            <w:vMerge w:val="continue"/>
            <w:shd w:val="clear" w:color="auto" w:fill="auto"/>
            <w:tcMar>
              <w:top w:w="0" w:type="dxa"/>
              <w:left w:w="0" w:type="dxa"/>
              <w:bottom w:w="0" w:type="dxa"/>
              <w:right w:w="0" w:type="dxa"/>
            </w:tcMar>
            <w:vAlign w:val="center"/>
          </w:tcPr>
          <w:p w14:paraId="1FB251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30E901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789C21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6C7154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77D317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3602D7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28.4</w:t>
            </w:r>
          </w:p>
        </w:tc>
        <w:tc>
          <w:tcPr>
            <w:tcW w:w="495" w:type="dxa"/>
            <w:shd w:val="clear" w:color="auto" w:fill="auto"/>
            <w:tcMar>
              <w:top w:w="0" w:type="dxa"/>
              <w:left w:w="0" w:type="dxa"/>
              <w:bottom w:w="0" w:type="dxa"/>
              <w:right w:w="0" w:type="dxa"/>
            </w:tcMar>
            <w:vAlign w:val="center"/>
          </w:tcPr>
          <w:p w14:paraId="376814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28.6</w:t>
            </w:r>
          </w:p>
        </w:tc>
        <w:tc>
          <w:tcPr>
            <w:tcW w:w="435" w:type="dxa"/>
            <w:shd w:val="clear" w:color="auto" w:fill="auto"/>
            <w:tcMar>
              <w:top w:w="0" w:type="dxa"/>
              <w:left w:w="0" w:type="dxa"/>
              <w:bottom w:w="0" w:type="dxa"/>
              <w:right w:w="0" w:type="dxa"/>
            </w:tcMar>
            <w:vAlign w:val="center"/>
          </w:tcPr>
          <w:p w14:paraId="05233A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28.5</w:t>
            </w:r>
          </w:p>
        </w:tc>
        <w:tc>
          <w:tcPr>
            <w:tcW w:w="499" w:type="dxa"/>
            <w:shd w:val="clear" w:color="auto" w:fill="auto"/>
            <w:tcMar>
              <w:top w:w="0" w:type="dxa"/>
              <w:left w:w="0" w:type="dxa"/>
              <w:bottom w:w="0" w:type="dxa"/>
              <w:right w:w="0" w:type="dxa"/>
            </w:tcMar>
            <w:vAlign w:val="center"/>
          </w:tcPr>
          <w:p w14:paraId="4AA4D7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28.5</w:t>
            </w:r>
          </w:p>
        </w:tc>
        <w:tc>
          <w:tcPr>
            <w:tcW w:w="547" w:type="dxa"/>
            <w:shd w:val="clear" w:color="auto" w:fill="auto"/>
            <w:tcMar>
              <w:top w:w="0" w:type="dxa"/>
              <w:left w:w="0" w:type="dxa"/>
              <w:bottom w:w="0" w:type="dxa"/>
              <w:right w:w="0" w:type="dxa"/>
            </w:tcMar>
            <w:vAlign w:val="center"/>
          </w:tcPr>
          <w:p w14:paraId="0CE207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5ADC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56A7D8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w:t>
            </w:r>
          </w:p>
        </w:tc>
        <w:tc>
          <w:tcPr>
            <w:tcW w:w="1058" w:type="dxa"/>
            <w:shd w:val="clear" w:color="auto" w:fill="auto"/>
            <w:tcMar>
              <w:top w:w="0" w:type="dxa"/>
              <w:left w:w="0" w:type="dxa"/>
              <w:bottom w:w="0" w:type="dxa"/>
              <w:right w:w="0" w:type="dxa"/>
            </w:tcMar>
            <w:vAlign w:val="center"/>
          </w:tcPr>
          <w:p w14:paraId="161CF5E3">
            <w:pPr>
              <w:keepNext w:val="0"/>
              <w:keepLines w:val="0"/>
              <w:pageBreakBefore w:val="0"/>
              <w:widowControl w:val="0"/>
              <w:kinsoku/>
              <w:wordWrap/>
              <w:overflowPunct/>
              <w:topLinePunct w:val="0"/>
              <w:autoSpaceDE/>
              <w:autoSpaceDN/>
              <w:bidi w:val="0"/>
              <w:adjustRightInd w:val="0"/>
              <w:snapToGrid w:val="0"/>
              <w:textAlignment w:val="auto"/>
              <w:rPr>
                <w:rFonts w:ascii="Arial" w:hAnsi="Arial" w:eastAsia="Arial" w:cs="Arial"/>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50BFF8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拉链机</w:t>
            </w:r>
            <w:r>
              <w:rPr>
                <w:rFonts w:hint="eastAsia" w:cs="Times New Roman"/>
                <w:color w:val="auto"/>
                <w:sz w:val="21"/>
                <w:szCs w:val="21"/>
                <w:highlight w:val="none"/>
                <w:lang w:val="en-US" w:eastAsia="zh-CN"/>
              </w:rPr>
              <w:t>5</w:t>
            </w:r>
          </w:p>
        </w:tc>
        <w:tc>
          <w:tcPr>
            <w:tcW w:w="655" w:type="dxa"/>
            <w:shd w:val="clear" w:color="auto" w:fill="auto"/>
            <w:tcMar>
              <w:top w:w="0" w:type="dxa"/>
              <w:left w:w="0" w:type="dxa"/>
              <w:bottom w:w="0" w:type="dxa"/>
              <w:right w:w="0" w:type="dxa"/>
            </w:tcMar>
            <w:vAlign w:val="center"/>
          </w:tcPr>
          <w:p w14:paraId="2F1561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4592E5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38F928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30.2</w:t>
            </w:r>
          </w:p>
        </w:tc>
        <w:tc>
          <w:tcPr>
            <w:tcW w:w="455" w:type="dxa"/>
            <w:shd w:val="clear" w:color="auto" w:fill="auto"/>
            <w:tcMar>
              <w:top w:w="0" w:type="dxa"/>
              <w:left w:w="0" w:type="dxa"/>
              <w:bottom w:w="0" w:type="dxa"/>
              <w:right w:w="0" w:type="dxa"/>
            </w:tcMar>
            <w:vAlign w:val="center"/>
          </w:tcPr>
          <w:p w14:paraId="27850E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64.5</w:t>
            </w:r>
          </w:p>
        </w:tc>
        <w:tc>
          <w:tcPr>
            <w:tcW w:w="403" w:type="dxa"/>
            <w:shd w:val="clear" w:color="auto" w:fill="auto"/>
            <w:tcMar>
              <w:top w:w="0" w:type="dxa"/>
              <w:left w:w="0" w:type="dxa"/>
              <w:bottom w:w="0" w:type="dxa"/>
              <w:right w:w="0" w:type="dxa"/>
            </w:tcMar>
            <w:vAlign w:val="center"/>
          </w:tcPr>
          <w:p w14:paraId="061ADC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696A8C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109.3</w:t>
            </w:r>
          </w:p>
        </w:tc>
        <w:tc>
          <w:tcPr>
            <w:tcW w:w="393" w:type="dxa"/>
            <w:shd w:val="clear" w:color="auto" w:fill="auto"/>
            <w:tcMar>
              <w:top w:w="0" w:type="dxa"/>
              <w:left w:w="0" w:type="dxa"/>
              <w:bottom w:w="0" w:type="dxa"/>
              <w:right w:w="0" w:type="dxa"/>
            </w:tcMar>
            <w:vAlign w:val="center"/>
          </w:tcPr>
          <w:p w14:paraId="4540A2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19.0</w:t>
            </w:r>
          </w:p>
        </w:tc>
        <w:tc>
          <w:tcPr>
            <w:tcW w:w="517" w:type="dxa"/>
            <w:shd w:val="clear" w:color="auto" w:fill="auto"/>
            <w:tcMar>
              <w:top w:w="0" w:type="dxa"/>
              <w:left w:w="0" w:type="dxa"/>
              <w:bottom w:w="0" w:type="dxa"/>
              <w:right w:w="0" w:type="dxa"/>
            </w:tcMar>
            <w:vAlign w:val="center"/>
          </w:tcPr>
          <w:p w14:paraId="66B9EB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101.7</w:t>
            </w:r>
          </w:p>
        </w:tc>
        <w:tc>
          <w:tcPr>
            <w:tcW w:w="455" w:type="dxa"/>
            <w:shd w:val="clear" w:color="auto" w:fill="auto"/>
            <w:tcMar>
              <w:top w:w="0" w:type="dxa"/>
              <w:left w:w="0" w:type="dxa"/>
              <w:bottom w:w="0" w:type="dxa"/>
              <w:right w:w="0" w:type="dxa"/>
            </w:tcMar>
            <w:vAlign w:val="center"/>
          </w:tcPr>
          <w:p w14:paraId="705A7E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32.9</w:t>
            </w:r>
          </w:p>
        </w:tc>
        <w:tc>
          <w:tcPr>
            <w:tcW w:w="455" w:type="dxa"/>
            <w:shd w:val="clear" w:color="auto" w:fill="auto"/>
            <w:tcMar>
              <w:top w:w="0" w:type="dxa"/>
              <w:left w:w="0" w:type="dxa"/>
              <w:bottom w:w="0" w:type="dxa"/>
              <w:right w:w="0" w:type="dxa"/>
            </w:tcMar>
            <w:vAlign w:val="center"/>
          </w:tcPr>
          <w:p w14:paraId="043CFF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54.9</w:t>
            </w:r>
          </w:p>
        </w:tc>
        <w:tc>
          <w:tcPr>
            <w:tcW w:w="455" w:type="dxa"/>
            <w:shd w:val="clear" w:color="auto" w:fill="auto"/>
            <w:tcMar>
              <w:top w:w="0" w:type="dxa"/>
              <w:left w:w="0" w:type="dxa"/>
              <w:bottom w:w="0" w:type="dxa"/>
              <w:right w:w="0" w:type="dxa"/>
            </w:tcMar>
            <w:vAlign w:val="center"/>
          </w:tcPr>
          <w:p w14:paraId="7697FE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55.0</w:t>
            </w:r>
          </w:p>
        </w:tc>
        <w:tc>
          <w:tcPr>
            <w:tcW w:w="455" w:type="dxa"/>
            <w:shd w:val="clear" w:color="auto" w:fill="auto"/>
            <w:tcMar>
              <w:top w:w="0" w:type="dxa"/>
              <w:left w:w="0" w:type="dxa"/>
              <w:bottom w:w="0" w:type="dxa"/>
              <w:right w:w="0" w:type="dxa"/>
            </w:tcMar>
            <w:vAlign w:val="center"/>
          </w:tcPr>
          <w:p w14:paraId="00EA71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54.9</w:t>
            </w:r>
          </w:p>
        </w:tc>
        <w:tc>
          <w:tcPr>
            <w:tcW w:w="455" w:type="dxa"/>
            <w:shd w:val="clear" w:color="auto" w:fill="auto"/>
            <w:tcMar>
              <w:top w:w="0" w:type="dxa"/>
              <w:left w:w="0" w:type="dxa"/>
              <w:bottom w:w="0" w:type="dxa"/>
              <w:right w:w="0" w:type="dxa"/>
            </w:tcMar>
            <w:vAlign w:val="center"/>
          </w:tcPr>
          <w:p w14:paraId="25C36C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55.0</w:t>
            </w:r>
          </w:p>
        </w:tc>
        <w:tc>
          <w:tcPr>
            <w:tcW w:w="455" w:type="dxa"/>
            <w:vMerge w:val="continue"/>
            <w:shd w:val="clear" w:color="auto" w:fill="auto"/>
            <w:tcMar>
              <w:top w:w="0" w:type="dxa"/>
              <w:left w:w="0" w:type="dxa"/>
              <w:bottom w:w="0" w:type="dxa"/>
              <w:right w:w="0" w:type="dxa"/>
            </w:tcMar>
            <w:vAlign w:val="center"/>
          </w:tcPr>
          <w:p w14:paraId="2D742F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35CD74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5A2D00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4B1DB2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487ED5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2DA941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28.4</w:t>
            </w:r>
          </w:p>
        </w:tc>
        <w:tc>
          <w:tcPr>
            <w:tcW w:w="495" w:type="dxa"/>
            <w:shd w:val="clear" w:color="auto" w:fill="auto"/>
            <w:tcMar>
              <w:top w:w="0" w:type="dxa"/>
              <w:left w:w="0" w:type="dxa"/>
              <w:bottom w:w="0" w:type="dxa"/>
              <w:right w:w="0" w:type="dxa"/>
            </w:tcMar>
            <w:vAlign w:val="center"/>
          </w:tcPr>
          <w:p w14:paraId="7A6027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28.5</w:t>
            </w:r>
          </w:p>
        </w:tc>
        <w:tc>
          <w:tcPr>
            <w:tcW w:w="435" w:type="dxa"/>
            <w:shd w:val="clear" w:color="auto" w:fill="auto"/>
            <w:tcMar>
              <w:top w:w="0" w:type="dxa"/>
              <w:left w:w="0" w:type="dxa"/>
              <w:bottom w:w="0" w:type="dxa"/>
              <w:right w:w="0" w:type="dxa"/>
            </w:tcMar>
            <w:vAlign w:val="center"/>
          </w:tcPr>
          <w:p w14:paraId="69C38C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28.4</w:t>
            </w:r>
          </w:p>
        </w:tc>
        <w:tc>
          <w:tcPr>
            <w:tcW w:w="499" w:type="dxa"/>
            <w:shd w:val="clear" w:color="auto" w:fill="auto"/>
            <w:tcMar>
              <w:top w:w="0" w:type="dxa"/>
              <w:left w:w="0" w:type="dxa"/>
              <w:bottom w:w="0" w:type="dxa"/>
              <w:right w:w="0" w:type="dxa"/>
            </w:tcMar>
            <w:vAlign w:val="center"/>
          </w:tcPr>
          <w:p w14:paraId="4A2CE6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28.5</w:t>
            </w:r>
          </w:p>
        </w:tc>
        <w:tc>
          <w:tcPr>
            <w:tcW w:w="547" w:type="dxa"/>
            <w:shd w:val="clear" w:color="auto" w:fill="auto"/>
            <w:tcMar>
              <w:top w:w="0" w:type="dxa"/>
              <w:left w:w="0" w:type="dxa"/>
              <w:bottom w:w="0" w:type="dxa"/>
              <w:right w:w="0" w:type="dxa"/>
            </w:tcMar>
            <w:vAlign w:val="center"/>
          </w:tcPr>
          <w:p w14:paraId="0D2320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129B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3240D54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4</w:t>
            </w:r>
          </w:p>
        </w:tc>
        <w:tc>
          <w:tcPr>
            <w:tcW w:w="1058" w:type="dxa"/>
            <w:shd w:val="clear" w:color="auto" w:fill="auto"/>
            <w:tcMar>
              <w:top w:w="0" w:type="dxa"/>
              <w:left w:w="0" w:type="dxa"/>
              <w:bottom w:w="0" w:type="dxa"/>
              <w:right w:w="0" w:type="dxa"/>
            </w:tcMar>
            <w:vAlign w:val="center"/>
          </w:tcPr>
          <w:p w14:paraId="3B73A048">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76FEC37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olor w:val="auto"/>
                <w:szCs w:val="21"/>
                <w:highlight w:val="none"/>
              </w:rPr>
              <w:t>煤粉气力输送</w:t>
            </w:r>
            <w:r>
              <w:rPr>
                <w:rFonts w:hint="eastAsia"/>
                <w:color w:val="auto"/>
                <w:szCs w:val="21"/>
                <w:highlight w:val="none"/>
                <w:lang w:val="en-US" w:eastAsia="zh-CN"/>
              </w:rPr>
              <w:t>1</w:t>
            </w:r>
          </w:p>
        </w:tc>
        <w:tc>
          <w:tcPr>
            <w:tcW w:w="655" w:type="dxa"/>
            <w:shd w:val="clear" w:color="auto" w:fill="auto"/>
            <w:tcMar>
              <w:top w:w="0" w:type="dxa"/>
              <w:left w:w="0" w:type="dxa"/>
              <w:bottom w:w="0" w:type="dxa"/>
              <w:right w:w="0" w:type="dxa"/>
            </w:tcMar>
            <w:vAlign w:val="center"/>
          </w:tcPr>
          <w:p w14:paraId="0DF175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2FBC72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4D26A5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25.3</w:t>
            </w:r>
          </w:p>
        </w:tc>
        <w:tc>
          <w:tcPr>
            <w:tcW w:w="455" w:type="dxa"/>
            <w:shd w:val="clear" w:color="auto" w:fill="auto"/>
            <w:tcMar>
              <w:top w:w="0" w:type="dxa"/>
              <w:left w:w="0" w:type="dxa"/>
              <w:bottom w:w="0" w:type="dxa"/>
              <w:right w:w="0" w:type="dxa"/>
            </w:tcMar>
            <w:vAlign w:val="center"/>
          </w:tcPr>
          <w:p w14:paraId="4B99EE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30.6</w:t>
            </w:r>
          </w:p>
        </w:tc>
        <w:tc>
          <w:tcPr>
            <w:tcW w:w="403" w:type="dxa"/>
            <w:shd w:val="clear" w:color="auto" w:fill="auto"/>
            <w:tcMar>
              <w:top w:w="0" w:type="dxa"/>
              <w:left w:w="0" w:type="dxa"/>
              <w:bottom w:w="0" w:type="dxa"/>
              <w:right w:w="0" w:type="dxa"/>
            </w:tcMar>
            <w:vAlign w:val="center"/>
          </w:tcPr>
          <w:p w14:paraId="10980B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490E3B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30.1</w:t>
            </w:r>
          </w:p>
        </w:tc>
        <w:tc>
          <w:tcPr>
            <w:tcW w:w="393" w:type="dxa"/>
            <w:shd w:val="clear" w:color="auto" w:fill="auto"/>
            <w:tcMar>
              <w:top w:w="0" w:type="dxa"/>
              <w:left w:w="0" w:type="dxa"/>
              <w:bottom w:w="0" w:type="dxa"/>
              <w:right w:w="0" w:type="dxa"/>
            </w:tcMar>
            <w:vAlign w:val="center"/>
          </w:tcPr>
          <w:p w14:paraId="6B1867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48.2</w:t>
            </w:r>
          </w:p>
        </w:tc>
        <w:tc>
          <w:tcPr>
            <w:tcW w:w="517" w:type="dxa"/>
            <w:shd w:val="clear" w:color="auto" w:fill="auto"/>
            <w:tcMar>
              <w:top w:w="0" w:type="dxa"/>
              <w:left w:w="0" w:type="dxa"/>
              <w:bottom w:w="0" w:type="dxa"/>
              <w:right w:w="0" w:type="dxa"/>
            </w:tcMar>
            <w:vAlign w:val="center"/>
          </w:tcPr>
          <w:p w14:paraId="2C9F00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100.1</w:t>
            </w:r>
          </w:p>
        </w:tc>
        <w:tc>
          <w:tcPr>
            <w:tcW w:w="455" w:type="dxa"/>
            <w:shd w:val="clear" w:color="auto" w:fill="auto"/>
            <w:tcMar>
              <w:top w:w="0" w:type="dxa"/>
              <w:left w:w="0" w:type="dxa"/>
              <w:bottom w:w="0" w:type="dxa"/>
              <w:right w:w="0" w:type="dxa"/>
            </w:tcMar>
            <w:vAlign w:val="center"/>
          </w:tcPr>
          <w:p w14:paraId="08D415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13.1</w:t>
            </w:r>
          </w:p>
        </w:tc>
        <w:tc>
          <w:tcPr>
            <w:tcW w:w="455" w:type="dxa"/>
            <w:shd w:val="clear" w:color="auto" w:fill="auto"/>
            <w:tcMar>
              <w:top w:w="0" w:type="dxa"/>
              <w:left w:w="0" w:type="dxa"/>
              <w:bottom w:w="0" w:type="dxa"/>
              <w:right w:w="0" w:type="dxa"/>
            </w:tcMar>
            <w:vAlign w:val="center"/>
          </w:tcPr>
          <w:p w14:paraId="31B776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190766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4545A7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18C16C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56.5</w:t>
            </w:r>
          </w:p>
        </w:tc>
        <w:tc>
          <w:tcPr>
            <w:tcW w:w="455" w:type="dxa"/>
            <w:vMerge w:val="continue"/>
            <w:shd w:val="clear" w:color="auto" w:fill="auto"/>
            <w:tcMar>
              <w:top w:w="0" w:type="dxa"/>
              <w:left w:w="0" w:type="dxa"/>
              <w:bottom w:w="0" w:type="dxa"/>
              <w:right w:w="0" w:type="dxa"/>
            </w:tcMar>
            <w:vAlign w:val="center"/>
          </w:tcPr>
          <w:p w14:paraId="4D78C9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73A6F9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328DD8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680D6D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1942DA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712B7D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95" w:type="dxa"/>
            <w:shd w:val="clear" w:color="auto" w:fill="auto"/>
            <w:tcMar>
              <w:top w:w="0" w:type="dxa"/>
              <w:left w:w="0" w:type="dxa"/>
              <w:bottom w:w="0" w:type="dxa"/>
              <w:right w:w="0" w:type="dxa"/>
            </w:tcMar>
            <w:vAlign w:val="center"/>
          </w:tcPr>
          <w:p w14:paraId="79C920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35" w:type="dxa"/>
            <w:shd w:val="clear" w:color="auto" w:fill="auto"/>
            <w:tcMar>
              <w:top w:w="0" w:type="dxa"/>
              <w:left w:w="0" w:type="dxa"/>
              <w:bottom w:w="0" w:type="dxa"/>
              <w:right w:w="0" w:type="dxa"/>
            </w:tcMar>
            <w:vAlign w:val="center"/>
          </w:tcPr>
          <w:p w14:paraId="0F96CC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99" w:type="dxa"/>
            <w:shd w:val="clear" w:color="auto" w:fill="auto"/>
            <w:tcMar>
              <w:top w:w="0" w:type="dxa"/>
              <w:left w:w="0" w:type="dxa"/>
              <w:bottom w:w="0" w:type="dxa"/>
              <w:right w:w="0" w:type="dxa"/>
            </w:tcMar>
            <w:vAlign w:val="center"/>
          </w:tcPr>
          <w:p w14:paraId="46DD6C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c>
          <w:tcPr>
            <w:tcW w:w="547" w:type="dxa"/>
            <w:shd w:val="clear" w:color="auto" w:fill="auto"/>
            <w:tcMar>
              <w:top w:w="0" w:type="dxa"/>
              <w:left w:w="0" w:type="dxa"/>
              <w:bottom w:w="0" w:type="dxa"/>
              <w:right w:w="0" w:type="dxa"/>
            </w:tcMar>
            <w:vAlign w:val="center"/>
          </w:tcPr>
          <w:p w14:paraId="6A38F4C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0440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0191BE7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1058" w:type="dxa"/>
            <w:shd w:val="clear" w:color="auto" w:fill="auto"/>
            <w:tcMar>
              <w:top w:w="0" w:type="dxa"/>
              <w:left w:w="0" w:type="dxa"/>
              <w:bottom w:w="0" w:type="dxa"/>
              <w:right w:w="0" w:type="dxa"/>
            </w:tcMar>
            <w:vAlign w:val="center"/>
          </w:tcPr>
          <w:p w14:paraId="09FBA1AA">
            <w:pPr>
              <w:keepNext w:val="0"/>
              <w:keepLines w:val="0"/>
              <w:pageBreakBefore w:val="0"/>
              <w:widowControl w:val="0"/>
              <w:kinsoku/>
              <w:wordWrap/>
              <w:overflowPunct/>
              <w:topLinePunct w:val="0"/>
              <w:autoSpaceDE/>
              <w:autoSpaceDN/>
              <w:bidi w:val="0"/>
              <w:adjustRightInd w:val="0"/>
              <w:snapToGrid w:val="0"/>
              <w:textAlignment w:val="auto"/>
              <w:rPr>
                <w:rFonts w:ascii="Arial" w:hAnsi="Arial" w:eastAsia="Arial" w:cs="Arial"/>
                <w:color w:val="auto"/>
                <w:sz w:val="21"/>
                <w:szCs w:val="21"/>
                <w:highlight w:val="none"/>
              </w:rPr>
            </w:pPr>
            <w:r>
              <w:rPr>
                <w:rFonts w:ascii="Arial" w:hAnsi="Arial" w:eastAsia="Arial" w:cs="Arial"/>
                <w:color w:val="auto"/>
                <w:sz w:val="21"/>
                <w:szCs w:val="21"/>
                <w:highlight w:val="none"/>
              </w:rPr>
              <w:t>中发能源褐煤提质项目破碎烘干区-声屏障</w:t>
            </w:r>
          </w:p>
        </w:tc>
        <w:tc>
          <w:tcPr>
            <w:tcW w:w="1650" w:type="dxa"/>
            <w:shd w:val="clear" w:color="auto" w:fill="auto"/>
            <w:tcMar>
              <w:top w:w="0" w:type="dxa"/>
              <w:left w:w="0" w:type="dxa"/>
              <w:bottom w:w="0" w:type="dxa"/>
              <w:right w:w="0" w:type="dxa"/>
            </w:tcMar>
            <w:vAlign w:val="center"/>
          </w:tcPr>
          <w:p w14:paraId="79EB1F2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rPr>
              <w:t>煤粉气力输送</w:t>
            </w:r>
            <w:r>
              <w:rPr>
                <w:rFonts w:hint="eastAsia"/>
                <w:color w:val="auto"/>
                <w:szCs w:val="21"/>
                <w:highlight w:val="none"/>
                <w:lang w:val="en-US" w:eastAsia="zh-CN"/>
              </w:rPr>
              <w:t>2</w:t>
            </w:r>
          </w:p>
        </w:tc>
        <w:tc>
          <w:tcPr>
            <w:tcW w:w="655" w:type="dxa"/>
            <w:shd w:val="clear" w:color="auto" w:fill="auto"/>
            <w:tcMar>
              <w:top w:w="0" w:type="dxa"/>
              <w:left w:w="0" w:type="dxa"/>
              <w:bottom w:w="0" w:type="dxa"/>
              <w:right w:w="0" w:type="dxa"/>
            </w:tcMar>
            <w:vAlign w:val="center"/>
          </w:tcPr>
          <w:p w14:paraId="154DE5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3D2406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6B8182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21.8</w:t>
            </w:r>
          </w:p>
        </w:tc>
        <w:tc>
          <w:tcPr>
            <w:tcW w:w="455" w:type="dxa"/>
            <w:shd w:val="clear" w:color="auto" w:fill="auto"/>
            <w:tcMar>
              <w:top w:w="0" w:type="dxa"/>
              <w:left w:w="0" w:type="dxa"/>
              <w:bottom w:w="0" w:type="dxa"/>
              <w:right w:w="0" w:type="dxa"/>
            </w:tcMar>
            <w:vAlign w:val="center"/>
          </w:tcPr>
          <w:p w14:paraId="68F031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12.3</w:t>
            </w:r>
          </w:p>
        </w:tc>
        <w:tc>
          <w:tcPr>
            <w:tcW w:w="403" w:type="dxa"/>
            <w:shd w:val="clear" w:color="auto" w:fill="auto"/>
            <w:tcMar>
              <w:top w:w="0" w:type="dxa"/>
              <w:left w:w="0" w:type="dxa"/>
              <w:bottom w:w="0" w:type="dxa"/>
              <w:right w:w="0" w:type="dxa"/>
            </w:tcMar>
            <w:vAlign w:val="center"/>
          </w:tcPr>
          <w:p w14:paraId="2EE299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079D5B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28.7</w:t>
            </w:r>
          </w:p>
        </w:tc>
        <w:tc>
          <w:tcPr>
            <w:tcW w:w="393" w:type="dxa"/>
            <w:shd w:val="clear" w:color="auto" w:fill="auto"/>
            <w:tcMar>
              <w:top w:w="0" w:type="dxa"/>
              <w:left w:w="0" w:type="dxa"/>
              <w:bottom w:w="0" w:type="dxa"/>
              <w:right w:w="0" w:type="dxa"/>
            </w:tcMar>
            <w:vAlign w:val="center"/>
          </w:tcPr>
          <w:p w14:paraId="7A9A96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29.6</w:t>
            </w:r>
          </w:p>
        </w:tc>
        <w:tc>
          <w:tcPr>
            <w:tcW w:w="517" w:type="dxa"/>
            <w:shd w:val="clear" w:color="auto" w:fill="auto"/>
            <w:tcMar>
              <w:top w:w="0" w:type="dxa"/>
              <w:left w:w="0" w:type="dxa"/>
              <w:bottom w:w="0" w:type="dxa"/>
              <w:right w:w="0" w:type="dxa"/>
            </w:tcMar>
            <w:vAlign w:val="center"/>
          </w:tcPr>
          <w:p w14:paraId="43532F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98.4</w:t>
            </w:r>
          </w:p>
        </w:tc>
        <w:tc>
          <w:tcPr>
            <w:tcW w:w="455" w:type="dxa"/>
            <w:shd w:val="clear" w:color="auto" w:fill="auto"/>
            <w:tcMar>
              <w:top w:w="0" w:type="dxa"/>
              <w:left w:w="0" w:type="dxa"/>
              <w:bottom w:w="0" w:type="dxa"/>
              <w:right w:w="0" w:type="dxa"/>
            </w:tcMar>
            <w:vAlign w:val="center"/>
          </w:tcPr>
          <w:p w14:paraId="3AEE64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31.7</w:t>
            </w:r>
          </w:p>
        </w:tc>
        <w:tc>
          <w:tcPr>
            <w:tcW w:w="455" w:type="dxa"/>
            <w:shd w:val="clear" w:color="auto" w:fill="auto"/>
            <w:tcMar>
              <w:top w:w="0" w:type="dxa"/>
              <w:left w:w="0" w:type="dxa"/>
              <w:bottom w:w="0" w:type="dxa"/>
              <w:right w:w="0" w:type="dxa"/>
            </w:tcMar>
            <w:vAlign w:val="center"/>
          </w:tcPr>
          <w:p w14:paraId="7F5CF8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3AFD17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77CB14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3A5C04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vMerge w:val="continue"/>
            <w:shd w:val="clear" w:color="auto" w:fill="auto"/>
            <w:tcMar>
              <w:top w:w="0" w:type="dxa"/>
              <w:left w:w="0" w:type="dxa"/>
              <w:bottom w:w="0" w:type="dxa"/>
              <w:right w:w="0" w:type="dxa"/>
            </w:tcMar>
            <w:vAlign w:val="center"/>
          </w:tcPr>
          <w:p w14:paraId="24CB6E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154C5E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563685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0C2FF0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6B75F1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123B9B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95" w:type="dxa"/>
            <w:shd w:val="clear" w:color="auto" w:fill="auto"/>
            <w:tcMar>
              <w:top w:w="0" w:type="dxa"/>
              <w:left w:w="0" w:type="dxa"/>
              <w:bottom w:w="0" w:type="dxa"/>
              <w:right w:w="0" w:type="dxa"/>
            </w:tcMar>
            <w:vAlign w:val="center"/>
          </w:tcPr>
          <w:p w14:paraId="6C51A5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35" w:type="dxa"/>
            <w:shd w:val="clear" w:color="auto" w:fill="auto"/>
            <w:tcMar>
              <w:top w:w="0" w:type="dxa"/>
              <w:left w:w="0" w:type="dxa"/>
              <w:bottom w:w="0" w:type="dxa"/>
              <w:right w:w="0" w:type="dxa"/>
            </w:tcMar>
            <w:vAlign w:val="center"/>
          </w:tcPr>
          <w:p w14:paraId="16E16F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99" w:type="dxa"/>
            <w:shd w:val="clear" w:color="auto" w:fill="auto"/>
            <w:tcMar>
              <w:top w:w="0" w:type="dxa"/>
              <w:left w:w="0" w:type="dxa"/>
              <w:bottom w:w="0" w:type="dxa"/>
              <w:right w:w="0" w:type="dxa"/>
            </w:tcMar>
            <w:vAlign w:val="center"/>
          </w:tcPr>
          <w:p w14:paraId="21A0D1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547" w:type="dxa"/>
            <w:shd w:val="clear" w:color="auto" w:fill="auto"/>
            <w:tcMar>
              <w:top w:w="0" w:type="dxa"/>
              <w:left w:w="0" w:type="dxa"/>
              <w:bottom w:w="0" w:type="dxa"/>
              <w:right w:w="0" w:type="dxa"/>
            </w:tcMar>
            <w:vAlign w:val="center"/>
          </w:tcPr>
          <w:p w14:paraId="2111DD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6870B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755B75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1058" w:type="dxa"/>
            <w:shd w:val="clear" w:color="auto" w:fill="auto"/>
            <w:tcMar>
              <w:top w:w="0" w:type="dxa"/>
              <w:left w:w="0" w:type="dxa"/>
              <w:bottom w:w="0" w:type="dxa"/>
              <w:right w:w="0" w:type="dxa"/>
            </w:tcMar>
            <w:vAlign w:val="center"/>
          </w:tcPr>
          <w:p w14:paraId="169CB935">
            <w:pPr>
              <w:keepNext w:val="0"/>
              <w:keepLines w:val="0"/>
              <w:pageBreakBefore w:val="0"/>
              <w:widowControl w:val="0"/>
              <w:kinsoku/>
              <w:wordWrap/>
              <w:overflowPunct/>
              <w:topLinePunct w:val="0"/>
              <w:autoSpaceDE/>
              <w:autoSpaceDN/>
              <w:bidi w:val="0"/>
              <w:adjustRightInd w:val="0"/>
              <w:snapToGrid w:val="0"/>
              <w:textAlignment w:val="auto"/>
              <w:rPr>
                <w:rFonts w:ascii="Arial" w:hAnsi="Arial" w:eastAsia="Arial" w:cs="Arial"/>
                <w:color w:val="auto"/>
                <w:sz w:val="21"/>
                <w:szCs w:val="21"/>
                <w:highlight w:val="none"/>
              </w:rPr>
            </w:pPr>
            <w:r>
              <w:rPr>
                <w:rFonts w:ascii="Arial" w:hAnsi="Arial" w:eastAsia="Arial" w:cs="Arial"/>
                <w:color w:val="auto"/>
                <w:sz w:val="21"/>
                <w:szCs w:val="21"/>
                <w:highlight w:val="none"/>
              </w:rPr>
              <w:t>中发能源褐煤提质项目成品堆场-声屏障</w:t>
            </w:r>
          </w:p>
        </w:tc>
        <w:tc>
          <w:tcPr>
            <w:tcW w:w="1650" w:type="dxa"/>
            <w:shd w:val="clear" w:color="auto" w:fill="auto"/>
            <w:tcMar>
              <w:top w:w="0" w:type="dxa"/>
              <w:left w:w="0" w:type="dxa"/>
              <w:bottom w:w="0" w:type="dxa"/>
              <w:right w:w="0" w:type="dxa"/>
            </w:tcMar>
            <w:vAlign w:val="center"/>
          </w:tcPr>
          <w:p w14:paraId="4803095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Cs w:val="21"/>
                <w:highlight w:val="none"/>
                <w:lang w:val="en-US" w:eastAsia="zh-CN"/>
              </w:rPr>
            </w:pPr>
            <w:r>
              <w:rPr>
                <w:rFonts w:ascii="Times New Roman" w:hAnsi="Times New Roman"/>
                <w:color w:val="auto"/>
                <w:szCs w:val="21"/>
                <w:highlight w:val="none"/>
              </w:rPr>
              <w:t>胶带输送机</w:t>
            </w:r>
            <w:r>
              <w:rPr>
                <w:rFonts w:hint="eastAsia"/>
                <w:color w:val="auto"/>
                <w:szCs w:val="21"/>
                <w:highlight w:val="none"/>
                <w:lang w:val="en-US" w:eastAsia="zh-CN"/>
              </w:rPr>
              <w:t>8</w:t>
            </w:r>
          </w:p>
        </w:tc>
        <w:tc>
          <w:tcPr>
            <w:tcW w:w="655" w:type="dxa"/>
            <w:shd w:val="clear" w:color="auto" w:fill="auto"/>
            <w:tcMar>
              <w:top w:w="0" w:type="dxa"/>
              <w:left w:w="0" w:type="dxa"/>
              <w:bottom w:w="0" w:type="dxa"/>
              <w:right w:w="0" w:type="dxa"/>
            </w:tcMar>
            <w:vAlign w:val="center"/>
          </w:tcPr>
          <w:p w14:paraId="094991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0AE5DB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206B49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18.3</w:t>
            </w:r>
          </w:p>
        </w:tc>
        <w:tc>
          <w:tcPr>
            <w:tcW w:w="455" w:type="dxa"/>
            <w:shd w:val="clear" w:color="auto" w:fill="auto"/>
            <w:tcMar>
              <w:top w:w="0" w:type="dxa"/>
              <w:left w:w="0" w:type="dxa"/>
              <w:bottom w:w="0" w:type="dxa"/>
              <w:right w:w="0" w:type="dxa"/>
            </w:tcMar>
            <w:vAlign w:val="center"/>
          </w:tcPr>
          <w:p w14:paraId="476BC1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w:t>
            </w:r>
          </w:p>
        </w:tc>
        <w:tc>
          <w:tcPr>
            <w:tcW w:w="403" w:type="dxa"/>
            <w:shd w:val="clear" w:color="auto" w:fill="auto"/>
            <w:tcMar>
              <w:top w:w="0" w:type="dxa"/>
              <w:left w:w="0" w:type="dxa"/>
              <w:bottom w:w="0" w:type="dxa"/>
              <w:right w:w="0" w:type="dxa"/>
            </w:tcMar>
            <w:vAlign w:val="center"/>
          </w:tcPr>
          <w:p w14:paraId="7CF399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2B4219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27.9</w:t>
            </w:r>
          </w:p>
        </w:tc>
        <w:tc>
          <w:tcPr>
            <w:tcW w:w="393" w:type="dxa"/>
            <w:shd w:val="clear" w:color="auto" w:fill="auto"/>
            <w:tcMar>
              <w:top w:w="0" w:type="dxa"/>
              <w:left w:w="0" w:type="dxa"/>
              <w:bottom w:w="0" w:type="dxa"/>
              <w:right w:w="0" w:type="dxa"/>
            </w:tcMar>
            <w:vAlign w:val="center"/>
          </w:tcPr>
          <w:p w14:paraId="0E7FB1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13.3</w:t>
            </w:r>
          </w:p>
        </w:tc>
        <w:tc>
          <w:tcPr>
            <w:tcW w:w="517" w:type="dxa"/>
            <w:shd w:val="clear" w:color="auto" w:fill="auto"/>
            <w:tcMar>
              <w:top w:w="0" w:type="dxa"/>
              <w:left w:w="0" w:type="dxa"/>
              <w:bottom w:w="0" w:type="dxa"/>
              <w:right w:w="0" w:type="dxa"/>
            </w:tcMar>
            <w:vAlign w:val="center"/>
          </w:tcPr>
          <w:p w14:paraId="290350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96.5</w:t>
            </w:r>
          </w:p>
        </w:tc>
        <w:tc>
          <w:tcPr>
            <w:tcW w:w="455" w:type="dxa"/>
            <w:shd w:val="clear" w:color="auto" w:fill="auto"/>
            <w:tcMar>
              <w:top w:w="0" w:type="dxa"/>
              <w:left w:w="0" w:type="dxa"/>
              <w:bottom w:w="0" w:type="dxa"/>
              <w:right w:w="0" w:type="dxa"/>
            </w:tcMar>
            <w:vAlign w:val="center"/>
          </w:tcPr>
          <w:p w14:paraId="614F9B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48.0</w:t>
            </w:r>
          </w:p>
        </w:tc>
        <w:tc>
          <w:tcPr>
            <w:tcW w:w="455" w:type="dxa"/>
            <w:shd w:val="clear" w:color="auto" w:fill="auto"/>
            <w:tcMar>
              <w:top w:w="0" w:type="dxa"/>
              <w:left w:w="0" w:type="dxa"/>
              <w:bottom w:w="0" w:type="dxa"/>
              <w:right w:w="0" w:type="dxa"/>
            </w:tcMar>
            <w:vAlign w:val="center"/>
          </w:tcPr>
          <w:p w14:paraId="7775D2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1DAAB9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56.5</w:t>
            </w:r>
          </w:p>
        </w:tc>
        <w:tc>
          <w:tcPr>
            <w:tcW w:w="455" w:type="dxa"/>
            <w:shd w:val="clear" w:color="auto" w:fill="auto"/>
            <w:tcMar>
              <w:top w:w="0" w:type="dxa"/>
              <w:left w:w="0" w:type="dxa"/>
              <w:bottom w:w="0" w:type="dxa"/>
              <w:right w:w="0" w:type="dxa"/>
            </w:tcMar>
            <w:vAlign w:val="center"/>
          </w:tcPr>
          <w:p w14:paraId="23D182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55742B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vMerge w:val="continue"/>
            <w:shd w:val="clear" w:color="auto" w:fill="auto"/>
            <w:tcMar>
              <w:top w:w="0" w:type="dxa"/>
              <w:left w:w="0" w:type="dxa"/>
              <w:bottom w:w="0" w:type="dxa"/>
              <w:right w:w="0" w:type="dxa"/>
            </w:tcMar>
            <w:vAlign w:val="center"/>
          </w:tcPr>
          <w:p w14:paraId="544965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48A92F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103A68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235970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165C0E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61E5BD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95" w:type="dxa"/>
            <w:shd w:val="clear" w:color="auto" w:fill="auto"/>
            <w:tcMar>
              <w:top w:w="0" w:type="dxa"/>
              <w:left w:w="0" w:type="dxa"/>
              <w:bottom w:w="0" w:type="dxa"/>
              <w:right w:w="0" w:type="dxa"/>
            </w:tcMar>
            <w:vAlign w:val="center"/>
          </w:tcPr>
          <w:p w14:paraId="59BD7F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c>
          <w:tcPr>
            <w:tcW w:w="435" w:type="dxa"/>
            <w:shd w:val="clear" w:color="auto" w:fill="auto"/>
            <w:tcMar>
              <w:top w:w="0" w:type="dxa"/>
              <w:left w:w="0" w:type="dxa"/>
              <w:bottom w:w="0" w:type="dxa"/>
              <w:right w:w="0" w:type="dxa"/>
            </w:tcMar>
            <w:vAlign w:val="center"/>
          </w:tcPr>
          <w:p w14:paraId="0C7EB6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99" w:type="dxa"/>
            <w:shd w:val="clear" w:color="auto" w:fill="auto"/>
            <w:tcMar>
              <w:top w:w="0" w:type="dxa"/>
              <w:left w:w="0" w:type="dxa"/>
              <w:bottom w:w="0" w:type="dxa"/>
              <w:right w:w="0" w:type="dxa"/>
            </w:tcMar>
            <w:vAlign w:val="center"/>
          </w:tcPr>
          <w:p w14:paraId="0709FF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547" w:type="dxa"/>
            <w:shd w:val="clear" w:color="auto" w:fill="auto"/>
            <w:tcMar>
              <w:top w:w="0" w:type="dxa"/>
              <w:left w:w="0" w:type="dxa"/>
              <w:bottom w:w="0" w:type="dxa"/>
              <w:right w:w="0" w:type="dxa"/>
            </w:tcMar>
            <w:vAlign w:val="center"/>
          </w:tcPr>
          <w:p w14:paraId="423BE7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67DB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0D7AD6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w:t>
            </w:r>
          </w:p>
        </w:tc>
        <w:tc>
          <w:tcPr>
            <w:tcW w:w="1058" w:type="dxa"/>
            <w:shd w:val="clear" w:color="auto" w:fill="auto"/>
            <w:tcMar>
              <w:top w:w="0" w:type="dxa"/>
              <w:left w:w="0" w:type="dxa"/>
              <w:bottom w:w="0" w:type="dxa"/>
              <w:right w:w="0" w:type="dxa"/>
            </w:tcMar>
            <w:vAlign w:val="center"/>
          </w:tcPr>
          <w:p w14:paraId="67E28950">
            <w:pPr>
              <w:keepNext w:val="0"/>
              <w:keepLines w:val="0"/>
              <w:pageBreakBefore w:val="0"/>
              <w:widowControl w:val="0"/>
              <w:kinsoku/>
              <w:wordWrap/>
              <w:overflowPunct/>
              <w:topLinePunct w:val="0"/>
              <w:autoSpaceDE/>
              <w:autoSpaceDN/>
              <w:bidi w:val="0"/>
              <w:adjustRightInd w:val="0"/>
              <w:snapToGrid w:val="0"/>
              <w:textAlignment w:val="auto"/>
              <w:rPr>
                <w:rFonts w:ascii="Arial" w:hAnsi="Arial" w:eastAsia="Arial" w:cs="Arial"/>
                <w:color w:val="auto"/>
                <w:sz w:val="21"/>
                <w:szCs w:val="21"/>
                <w:highlight w:val="none"/>
              </w:rPr>
            </w:pPr>
            <w:r>
              <w:rPr>
                <w:rFonts w:ascii="Arial" w:hAnsi="Arial" w:eastAsia="Arial" w:cs="Arial"/>
                <w:color w:val="auto"/>
                <w:sz w:val="21"/>
                <w:szCs w:val="21"/>
                <w:highlight w:val="none"/>
              </w:rPr>
              <w:t>中发能源褐煤提质项目成品堆场-声屏障</w:t>
            </w:r>
          </w:p>
        </w:tc>
        <w:tc>
          <w:tcPr>
            <w:tcW w:w="1650" w:type="dxa"/>
            <w:shd w:val="clear" w:color="auto" w:fill="auto"/>
            <w:tcMar>
              <w:top w:w="0" w:type="dxa"/>
              <w:left w:w="0" w:type="dxa"/>
              <w:bottom w:w="0" w:type="dxa"/>
              <w:right w:w="0" w:type="dxa"/>
            </w:tcMar>
            <w:vAlign w:val="center"/>
          </w:tcPr>
          <w:p w14:paraId="149F306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Cs w:val="21"/>
                <w:highlight w:val="none"/>
                <w:lang w:val="en-US" w:eastAsia="zh-CN"/>
              </w:rPr>
            </w:pPr>
            <w:r>
              <w:rPr>
                <w:rFonts w:ascii="Times New Roman" w:hAnsi="Times New Roman"/>
                <w:color w:val="auto"/>
                <w:szCs w:val="21"/>
                <w:highlight w:val="none"/>
              </w:rPr>
              <w:t>胶带输送机</w:t>
            </w:r>
            <w:r>
              <w:rPr>
                <w:rFonts w:hint="eastAsia"/>
                <w:color w:val="auto"/>
                <w:szCs w:val="21"/>
                <w:highlight w:val="none"/>
                <w:lang w:val="en-US" w:eastAsia="zh-CN"/>
              </w:rPr>
              <w:t>9</w:t>
            </w:r>
          </w:p>
        </w:tc>
        <w:tc>
          <w:tcPr>
            <w:tcW w:w="655" w:type="dxa"/>
            <w:shd w:val="clear" w:color="auto" w:fill="auto"/>
            <w:tcMar>
              <w:top w:w="0" w:type="dxa"/>
              <w:left w:w="0" w:type="dxa"/>
              <w:bottom w:w="0" w:type="dxa"/>
              <w:right w:w="0" w:type="dxa"/>
            </w:tcMar>
            <w:vAlign w:val="center"/>
          </w:tcPr>
          <w:p w14:paraId="612ADB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402C38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459716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46.3</w:t>
            </w:r>
          </w:p>
        </w:tc>
        <w:tc>
          <w:tcPr>
            <w:tcW w:w="455" w:type="dxa"/>
            <w:shd w:val="clear" w:color="auto" w:fill="auto"/>
            <w:tcMar>
              <w:top w:w="0" w:type="dxa"/>
              <w:left w:w="0" w:type="dxa"/>
              <w:bottom w:w="0" w:type="dxa"/>
              <w:right w:w="0" w:type="dxa"/>
            </w:tcMar>
            <w:vAlign w:val="center"/>
          </w:tcPr>
          <w:p w14:paraId="6C6C13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23.3</w:t>
            </w:r>
          </w:p>
        </w:tc>
        <w:tc>
          <w:tcPr>
            <w:tcW w:w="403" w:type="dxa"/>
            <w:shd w:val="clear" w:color="auto" w:fill="auto"/>
            <w:tcMar>
              <w:top w:w="0" w:type="dxa"/>
              <w:left w:w="0" w:type="dxa"/>
              <w:bottom w:w="0" w:type="dxa"/>
              <w:right w:w="0" w:type="dxa"/>
            </w:tcMar>
            <w:vAlign w:val="center"/>
          </w:tcPr>
          <w:p w14:paraId="5DFFE6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11F9CF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7.9</w:t>
            </w:r>
          </w:p>
        </w:tc>
        <w:tc>
          <w:tcPr>
            <w:tcW w:w="393" w:type="dxa"/>
            <w:shd w:val="clear" w:color="auto" w:fill="auto"/>
            <w:tcMar>
              <w:top w:w="0" w:type="dxa"/>
              <w:left w:w="0" w:type="dxa"/>
              <w:bottom w:w="0" w:type="dxa"/>
              <w:right w:w="0" w:type="dxa"/>
            </w:tcMar>
            <w:vAlign w:val="center"/>
          </w:tcPr>
          <w:p w14:paraId="59132D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46.1</w:t>
            </w:r>
          </w:p>
        </w:tc>
        <w:tc>
          <w:tcPr>
            <w:tcW w:w="517" w:type="dxa"/>
            <w:shd w:val="clear" w:color="auto" w:fill="auto"/>
            <w:tcMar>
              <w:top w:w="0" w:type="dxa"/>
              <w:left w:w="0" w:type="dxa"/>
              <w:bottom w:w="0" w:type="dxa"/>
              <w:right w:w="0" w:type="dxa"/>
            </w:tcMar>
            <w:vAlign w:val="center"/>
          </w:tcPr>
          <w:p w14:paraId="250F5A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121.7</w:t>
            </w:r>
          </w:p>
        </w:tc>
        <w:tc>
          <w:tcPr>
            <w:tcW w:w="455" w:type="dxa"/>
            <w:shd w:val="clear" w:color="auto" w:fill="auto"/>
            <w:tcMar>
              <w:top w:w="0" w:type="dxa"/>
              <w:left w:w="0" w:type="dxa"/>
              <w:bottom w:w="0" w:type="dxa"/>
              <w:right w:w="0" w:type="dxa"/>
            </w:tcMar>
            <w:vAlign w:val="center"/>
          </w:tcPr>
          <w:p w14:paraId="1D15B0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15.2</w:t>
            </w:r>
          </w:p>
        </w:tc>
        <w:tc>
          <w:tcPr>
            <w:tcW w:w="455" w:type="dxa"/>
            <w:shd w:val="clear" w:color="auto" w:fill="auto"/>
            <w:tcMar>
              <w:top w:w="0" w:type="dxa"/>
              <w:left w:w="0" w:type="dxa"/>
              <w:bottom w:w="0" w:type="dxa"/>
              <w:right w:w="0" w:type="dxa"/>
            </w:tcMar>
            <w:vAlign w:val="center"/>
          </w:tcPr>
          <w:p w14:paraId="680792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56.8</w:t>
            </w:r>
          </w:p>
        </w:tc>
        <w:tc>
          <w:tcPr>
            <w:tcW w:w="455" w:type="dxa"/>
            <w:shd w:val="clear" w:color="auto" w:fill="auto"/>
            <w:tcMar>
              <w:top w:w="0" w:type="dxa"/>
              <w:left w:w="0" w:type="dxa"/>
              <w:bottom w:w="0" w:type="dxa"/>
              <w:right w:w="0" w:type="dxa"/>
            </w:tcMar>
            <w:vAlign w:val="center"/>
          </w:tcPr>
          <w:p w14:paraId="57DC60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72058B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0EF6CA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56.5</w:t>
            </w:r>
          </w:p>
        </w:tc>
        <w:tc>
          <w:tcPr>
            <w:tcW w:w="455" w:type="dxa"/>
            <w:vMerge w:val="continue"/>
            <w:shd w:val="clear" w:color="auto" w:fill="auto"/>
            <w:tcMar>
              <w:top w:w="0" w:type="dxa"/>
              <w:left w:w="0" w:type="dxa"/>
              <w:bottom w:w="0" w:type="dxa"/>
              <w:right w:w="0" w:type="dxa"/>
            </w:tcMar>
            <w:vAlign w:val="center"/>
          </w:tcPr>
          <w:p w14:paraId="5EB6A8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5DE937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4FD2C1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3FD6A0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116352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02ED94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30.3</w:t>
            </w:r>
          </w:p>
        </w:tc>
        <w:tc>
          <w:tcPr>
            <w:tcW w:w="495" w:type="dxa"/>
            <w:shd w:val="clear" w:color="auto" w:fill="auto"/>
            <w:tcMar>
              <w:top w:w="0" w:type="dxa"/>
              <w:left w:w="0" w:type="dxa"/>
              <w:bottom w:w="0" w:type="dxa"/>
              <w:right w:w="0" w:type="dxa"/>
            </w:tcMar>
            <w:vAlign w:val="center"/>
          </w:tcPr>
          <w:p w14:paraId="502D31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35" w:type="dxa"/>
            <w:shd w:val="clear" w:color="auto" w:fill="auto"/>
            <w:tcMar>
              <w:top w:w="0" w:type="dxa"/>
              <w:left w:w="0" w:type="dxa"/>
              <w:bottom w:w="0" w:type="dxa"/>
              <w:right w:w="0" w:type="dxa"/>
            </w:tcMar>
            <w:vAlign w:val="center"/>
          </w:tcPr>
          <w:p w14:paraId="5A9324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99" w:type="dxa"/>
            <w:shd w:val="clear" w:color="auto" w:fill="auto"/>
            <w:tcMar>
              <w:top w:w="0" w:type="dxa"/>
              <w:left w:w="0" w:type="dxa"/>
              <w:bottom w:w="0" w:type="dxa"/>
              <w:right w:w="0" w:type="dxa"/>
            </w:tcMar>
            <w:vAlign w:val="center"/>
          </w:tcPr>
          <w:p w14:paraId="294D99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c>
          <w:tcPr>
            <w:tcW w:w="547" w:type="dxa"/>
            <w:shd w:val="clear" w:color="auto" w:fill="auto"/>
            <w:tcMar>
              <w:top w:w="0" w:type="dxa"/>
              <w:left w:w="0" w:type="dxa"/>
              <w:bottom w:w="0" w:type="dxa"/>
              <w:right w:w="0" w:type="dxa"/>
            </w:tcMar>
            <w:vAlign w:val="center"/>
          </w:tcPr>
          <w:p w14:paraId="17767E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423C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5CD7CB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w:t>
            </w:r>
          </w:p>
        </w:tc>
        <w:tc>
          <w:tcPr>
            <w:tcW w:w="1058" w:type="dxa"/>
            <w:shd w:val="clear" w:color="auto" w:fill="auto"/>
            <w:tcMar>
              <w:top w:w="0" w:type="dxa"/>
              <w:left w:w="0" w:type="dxa"/>
              <w:bottom w:w="0" w:type="dxa"/>
              <w:right w:w="0" w:type="dxa"/>
            </w:tcMar>
            <w:vAlign w:val="center"/>
          </w:tcPr>
          <w:p w14:paraId="0448A0EB">
            <w:pPr>
              <w:keepNext w:val="0"/>
              <w:keepLines w:val="0"/>
              <w:pageBreakBefore w:val="0"/>
              <w:widowControl w:val="0"/>
              <w:kinsoku/>
              <w:wordWrap/>
              <w:overflowPunct/>
              <w:topLinePunct w:val="0"/>
              <w:autoSpaceDE/>
              <w:autoSpaceDN/>
              <w:bidi w:val="0"/>
              <w:adjustRightInd w:val="0"/>
              <w:snapToGrid w:val="0"/>
              <w:textAlignment w:val="auto"/>
              <w:rPr>
                <w:rFonts w:ascii="Arial" w:hAnsi="Arial" w:eastAsia="Arial" w:cs="Arial"/>
                <w:color w:val="auto"/>
                <w:sz w:val="21"/>
                <w:szCs w:val="21"/>
                <w:highlight w:val="none"/>
              </w:rPr>
            </w:pPr>
            <w:r>
              <w:rPr>
                <w:rFonts w:ascii="Arial" w:hAnsi="Arial" w:eastAsia="Arial" w:cs="Arial"/>
                <w:color w:val="auto"/>
                <w:sz w:val="21"/>
                <w:szCs w:val="21"/>
                <w:highlight w:val="none"/>
              </w:rPr>
              <w:t>中发能源褐煤提质项目成品堆场-声屏障</w:t>
            </w:r>
          </w:p>
        </w:tc>
        <w:tc>
          <w:tcPr>
            <w:tcW w:w="1650" w:type="dxa"/>
            <w:shd w:val="clear" w:color="auto" w:fill="auto"/>
            <w:tcMar>
              <w:top w:w="0" w:type="dxa"/>
              <w:left w:w="0" w:type="dxa"/>
              <w:bottom w:w="0" w:type="dxa"/>
              <w:right w:w="0" w:type="dxa"/>
            </w:tcMar>
            <w:vAlign w:val="center"/>
          </w:tcPr>
          <w:p w14:paraId="39A9DA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Cs w:val="21"/>
                <w:highlight w:val="none"/>
                <w:lang w:val="en-US" w:eastAsia="zh-CN"/>
              </w:rPr>
            </w:pPr>
            <w:r>
              <w:rPr>
                <w:rFonts w:ascii="Times New Roman" w:hAnsi="Times New Roman"/>
                <w:color w:val="auto"/>
                <w:szCs w:val="21"/>
                <w:highlight w:val="none"/>
              </w:rPr>
              <w:t>胶带输送机</w:t>
            </w:r>
            <w:r>
              <w:rPr>
                <w:rFonts w:hint="eastAsia"/>
                <w:color w:val="auto"/>
                <w:szCs w:val="21"/>
                <w:highlight w:val="none"/>
                <w:lang w:val="en-US" w:eastAsia="zh-CN"/>
              </w:rPr>
              <w:t>10</w:t>
            </w:r>
          </w:p>
        </w:tc>
        <w:tc>
          <w:tcPr>
            <w:tcW w:w="655" w:type="dxa"/>
            <w:shd w:val="clear" w:color="auto" w:fill="auto"/>
            <w:tcMar>
              <w:top w:w="0" w:type="dxa"/>
              <w:left w:w="0" w:type="dxa"/>
              <w:bottom w:w="0" w:type="dxa"/>
              <w:right w:w="0" w:type="dxa"/>
            </w:tcMar>
            <w:vAlign w:val="center"/>
          </w:tcPr>
          <w:p w14:paraId="4B5724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6472EC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43B2CF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39.1</w:t>
            </w:r>
          </w:p>
        </w:tc>
        <w:tc>
          <w:tcPr>
            <w:tcW w:w="455" w:type="dxa"/>
            <w:shd w:val="clear" w:color="auto" w:fill="auto"/>
            <w:tcMar>
              <w:top w:w="0" w:type="dxa"/>
              <w:left w:w="0" w:type="dxa"/>
              <w:bottom w:w="0" w:type="dxa"/>
              <w:right w:w="0" w:type="dxa"/>
            </w:tcMar>
            <w:vAlign w:val="center"/>
          </w:tcPr>
          <w:p w14:paraId="4B57E9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w:t>
            </w:r>
          </w:p>
        </w:tc>
        <w:tc>
          <w:tcPr>
            <w:tcW w:w="403" w:type="dxa"/>
            <w:shd w:val="clear" w:color="auto" w:fill="auto"/>
            <w:tcMar>
              <w:top w:w="0" w:type="dxa"/>
              <w:left w:w="0" w:type="dxa"/>
              <w:bottom w:w="0" w:type="dxa"/>
              <w:right w:w="0" w:type="dxa"/>
            </w:tcMar>
            <w:vAlign w:val="center"/>
          </w:tcPr>
          <w:p w14:paraId="6AA58C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6551F8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393" w:type="dxa"/>
            <w:shd w:val="clear" w:color="auto" w:fill="auto"/>
            <w:tcMar>
              <w:top w:w="0" w:type="dxa"/>
              <w:left w:w="0" w:type="dxa"/>
              <w:bottom w:w="0" w:type="dxa"/>
              <w:right w:w="0" w:type="dxa"/>
            </w:tcMar>
            <w:vAlign w:val="center"/>
          </w:tcPr>
          <w:p w14:paraId="566036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19.0</w:t>
            </w:r>
          </w:p>
        </w:tc>
        <w:tc>
          <w:tcPr>
            <w:tcW w:w="517" w:type="dxa"/>
            <w:shd w:val="clear" w:color="auto" w:fill="auto"/>
            <w:tcMar>
              <w:top w:w="0" w:type="dxa"/>
              <w:left w:w="0" w:type="dxa"/>
              <w:bottom w:w="0" w:type="dxa"/>
              <w:right w:w="0" w:type="dxa"/>
            </w:tcMar>
            <w:vAlign w:val="center"/>
          </w:tcPr>
          <w:p w14:paraId="74C730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117.1</w:t>
            </w:r>
          </w:p>
        </w:tc>
        <w:tc>
          <w:tcPr>
            <w:tcW w:w="455" w:type="dxa"/>
            <w:shd w:val="clear" w:color="auto" w:fill="auto"/>
            <w:tcMar>
              <w:top w:w="0" w:type="dxa"/>
              <w:left w:w="0" w:type="dxa"/>
              <w:bottom w:w="0" w:type="dxa"/>
              <w:right w:w="0" w:type="dxa"/>
            </w:tcMar>
            <w:vAlign w:val="center"/>
          </w:tcPr>
          <w:p w14:paraId="71312A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42.2</w:t>
            </w:r>
          </w:p>
        </w:tc>
        <w:tc>
          <w:tcPr>
            <w:tcW w:w="455" w:type="dxa"/>
            <w:shd w:val="clear" w:color="auto" w:fill="auto"/>
            <w:tcMar>
              <w:top w:w="0" w:type="dxa"/>
              <w:left w:w="0" w:type="dxa"/>
              <w:bottom w:w="0" w:type="dxa"/>
              <w:right w:w="0" w:type="dxa"/>
            </w:tcMar>
            <w:vAlign w:val="center"/>
          </w:tcPr>
          <w:p w14:paraId="4170C7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56.8</w:t>
            </w:r>
          </w:p>
        </w:tc>
        <w:tc>
          <w:tcPr>
            <w:tcW w:w="455" w:type="dxa"/>
            <w:shd w:val="clear" w:color="auto" w:fill="auto"/>
            <w:tcMar>
              <w:top w:w="0" w:type="dxa"/>
              <w:left w:w="0" w:type="dxa"/>
              <w:bottom w:w="0" w:type="dxa"/>
              <w:right w:w="0" w:type="dxa"/>
            </w:tcMar>
            <w:vAlign w:val="center"/>
          </w:tcPr>
          <w:p w14:paraId="67F8DE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5C6F7F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shd w:val="clear" w:color="auto" w:fill="auto"/>
            <w:tcMar>
              <w:top w:w="0" w:type="dxa"/>
              <w:left w:w="0" w:type="dxa"/>
              <w:bottom w:w="0" w:type="dxa"/>
              <w:right w:w="0" w:type="dxa"/>
            </w:tcMar>
            <w:vAlign w:val="center"/>
          </w:tcPr>
          <w:p w14:paraId="5C1B33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56.4</w:t>
            </w:r>
          </w:p>
        </w:tc>
        <w:tc>
          <w:tcPr>
            <w:tcW w:w="455" w:type="dxa"/>
            <w:vMerge w:val="continue"/>
            <w:shd w:val="clear" w:color="auto" w:fill="auto"/>
            <w:tcMar>
              <w:top w:w="0" w:type="dxa"/>
              <w:left w:w="0" w:type="dxa"/>
              <w:bottom w:w="0" w:type="dxa"/>
              <w:right w:w="0" w:type="dxa"/>
            </w:tcMar>
            <w:vAlign w:val="center"/>
          </w:tcPr>
          <w:p w14:paraId="62ACF4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7E5F55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7F13AE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682714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50A8B5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4A0165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30.3</w:t>
            </w:r>
          </w:p>
        </w:tc>
        <w:tc>
          <w:tcPr>
            <w:tcW w:w="495" w:type="dxa"/>
            <w:shd w:val="clear" w:color="auto" w:fill="auto"/>
            <w:tcMar>
              <w:top w:w="0" w:type="dxa"/>
              <w:left w:w="0" w:type="dxa"/>
              <w:bottom w:w="0" w:type="dxa"/>
              <w:right w:w="0" w:type="dxa"/>
            </w:tcMar>
            <w:vAlign w:val="center"/>
          </w:tcPr>
          <w:p w14:paraId="661301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35" w:type="dxa"/>
            <w:shd w:val="clear" w:color="auto" w:fill="auto"/>
            <w:tcMar>
              <w:top w:w="0" w:type="dxa"/>
              <w:left w:w="0" w:type="dxa"/>
              <w:bottom w:w="0" w:type="dxa"/>
              <w:right w:w="0" w:type="dxa"/>
            </w:tcMar>
            <w:vAlign w:val="center"/>
          </w:tcPr>
          <w:p w14:paraId="75393F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499" w:type="dxa"/>
            <w:shd w:val="clear" w:color="auto" w:fill="auto"/>
            <w:tcMar>
              <w:top w:w="0" w:type="dxa"/>
              <w:left w:w="0" w:type="dxa"/>
              <w:bottom w:w="0" w:type="dxa"/>
              <w:right w:w="0" w:type="dxa"/>
            </w:tcMar>
            <w:vAlign w:val="center"/>
          </w:tcPr>
          <w:p w14:paraId="06FC23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29.9</w:t>
            </w:r>
          </w:p>
        </w:tc>
        <w:tc>
          <w:tcPr>
            <w:tcW w:w="547" w:type="dxa"/>
            <w:shd w:val="clear" w:color="auto" w:fill="auto"/>
            <w:tcMar>
              <w:top w:w="0" w:type="dxa"/>
              <w:left w:w="0" w:type="dxa"/>
              <w:bottom w:w="0" w:type="dxa"/>
              <w:right w:w="0" w:type="dxa"/>
            </w:tcMar>
            <w:vAlign w:val="center"/>
          </w:tcPr>
          <w:p w14:paraId="2C04A2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142A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3C27C1D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p>
        </w:tc>
        <w:tc>
          <w:tcPr>
            <w:tcW w:w="1058" w:type="dxa"/>
            <w:shd w:val="clear" w:color="auto" w:fill="auto"/>
            <w:tcMar>
              <w:top w:w="0" w:type="dxa"/>
              <w:left w:w="0" w:type="dxa"/>
              <w:bottom w:w="0" w:type="dxa"/>
              <w:right w:w="0" w:type="dxa"/>
            </w:tcMar>
            <w:vAlign w:val="center"/>
          </w:tcPr>
          <w:p w14:paraId="26C80FFA">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中发能源褐煤提质项目成品</w:t>
            </w:r>
            <w:r>
              <w:rPr>
                <w:rFonts w:hint="eastAsia" w:ascii="Arial" w:hAnsi="Arial" w:eastAsia="宋体" w:cs="Arial"/>
                <w:color w:val="auto"/>
                <w:sz w:val="21"/>
                <w:szCs w:val="21"/>
                <w:highlight w:val="none"/>
                <w:lang w:eastAsia="zh-CN"/>
              </w:rPr>
              <w:t>发运</w:t>
            </w:r>
            <w:r>
              <w:rPr>
                <w:rFonts w:ascii="Arial" w:hAnsi="Arial" w:eastAsia="Arial" w:cs="Arial"/>
                <w:color w:val="auto"/>
                <w:sz w:val="21"/>
                <w:szCs w:val="21"/>
                <w:highlight w:val="none"/>
              </w:rPr>
              <w:t>-声屏障</w:t>
            </w:r>
          </w:p>
        </w:tc>
        <w:tc>
          <w:tcPr>
            <w:tcW w:w="1650" w:type="dxa"/>
            <w:shd w:val="clear" w:color="auto" w:fill="auto"/>
            <w:tcMar>
              <w:top w:w="0" w:type="dxa"/>
              <w:left w:w="0" w:type="dxa"/>
              <w:bottom w:w="0" w:type="dxa"/>
              <w:right w:w="0" w:type="dxa"/>
            </w:tcMar>
            <w:vAlign w:val="center"/>
          </w:tcPr>
          <w:p w14:paraId="4D671D3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汽车散装机</w:t>
            </w:r>
            <w:r>
              <w:rPr>
                <w:rFonts w:hint="eastAsia" w:ascii="Times New Roman" w:hAnsi="Times New Roman" w:eastAsia="宋体" w:cs="Times New Roman"/>
                <w:color w:val="auto"/>
                <w:sz w:val="21"/>
                <w:szCs w:val="21"/>
                <w:highlight w:val="none"/>
                <w:lang w:val="en-US" w:eastAsia="zh-CN"/>
              </w:rPr>
              <w:t>1</w:t>
            </w:r>
          </w:p>
        </w:tc>
        <w:tc>
          <w:tcPr>
            <w:tcW w:w="655" w:type="dxa"/>
            <w:shd w:val="clear" w:color="auto" w:fill="auto"/>
            <w:tcMar>
              <w:top w:w="0" w:type="dxa"/>
              <w:left w:w="0" w:type="dxa"/>
              <w:bottom w:w="0" w:type="dxa"/>
              <w:right w:w="0" w:type="dxa"/>
            </w:tcMar>
            <w:vAlign w:val="center"/>
          </w:tcPr>
          <w:p w14:paraId="1CF1DF9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8</w:t>
            </w:r>
            <w:r>
              <w:rPr>
                <w:rFonts w:hint="eastAsia" w:ascii="Times New Roman" w:hAnsi="Times New Roman" w:eastAsia="宋体" w:cs="Times New Roman"/>
                <w:color w:val="auto"/>
                <w:sz w:val="21"/>
                <w:szCs w:val="21"/>
                <w:highlight w:val="none"/>
                <w:lang w:val="en-US" w:eastAsia="zh-CN"/>
              </w:rPr>
              <w:t>0</w:t>
            </w:r>
          </w:p>
        </w:tc>
        <w:tc>
          <w:tcPr>
            <w:tcW w:w="612" w:type="dxa"/>
            <w:vMerge w:val="continue"/>
            <w:shd w:val="clear" w:color="auto" w:fill="auto"/>
            <w:tcMar>
              <w:top w:w="0" w:type="dxa"/>
              <w:left w:w="0" w:type="dxa"/>
              <w:bottom w:w="0" w:type="dxa"/>
              <w:right w:w="0" w:type="dxa"/>
            </w:tcMar>
            <w:vAlign w:val="center"/>
          </w:tcPr>
          <w:p w14:paraId="5121B6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5F3BB0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-78.1</w:t>
            </w:r>
          </w:p>
        </w:tc>
        <w:tc>
          <w:tcPr>
            <w:tcW w:w="455" w:type="dxa"/>
            <w:shd w:val="clear" w:color="auto" w:fill="auto"/>
            <w:tcMar>
              <w:top w:w="0" w:type="dxa"/>
              <w:left w:w="0" w:type="dxa"/>
              <w:bottom w:w="0" w:type="dxa"/>
              <w:right w:w="0" w:type="dxa"/>
            </w:tcMar>
            <w:vAlign w:val="center"/>
          </w:tcPr>
          <w:p w14:paraId="504F7A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-64.2</w:t>
            </w:r>
          </w:p>
        </w:tc>
        <w:tc>
          <w:tcPr>
            <w:tcW w:w="403" w:type="dxa"/>
            <w:shd w:val="clear" w:color="auto" w:fill="auto"/>
            <w:tcMar>
              <w:top w:w="0" w:type="dxa"/>
              <w:left w:w="0" w:type="dxa"/>
              <w:bottom w:w="0" w:type="dxa"/>
              <w:right w:w="0" w:type="dxa"/>
            </w:tcMar>
            <w:vAlign w:val="center"/>
          </w:tcPr>
          <w:p w14:paraId="4C0E21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6E8483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161.0</w:t>
            </w:r>
          </w:p>
        </w:tc>
        <w:tc>
          <w:tcPr>
            <w:tcW w:w="393" w:type="dxa"/>
            <w:shd w:val="clear" w:color="auto" w:fill="auto"/>
            <w:tcMar>
              <w:top w:w="0" w:type="dxa"/>
              <w:left w:w="0" w:type="dxa"/>
              <w:bottom w:w="0" w:type="dxa"/>
              <w:right w:w="0" w:type="dxa"/>
            </w:tcMar>
            <w:vAlign w:val="center"/>
          </w:tcPr>
          <w:p w14:paraId="4288D2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c>
          <w:tcPr>
            <w:tcW w:w="517" w:type="dxa"/>
            <w:shd w:val="clear" w:color="auto" w:fill="auto"/>
            <w:tcMar>
              <w:top w:w="0" w:type="dxa"/>
              <w:left w:w="0" w:type="dxa"/>
              <w:bottom w:w="0" w:type="dxa"/>
              <w:right w:w="0" w:type="dxa"/>
            </w:tcMar>
            <w:vAlign w:val="center"/>
          </w:tcPr>
          <w:p w14:paraId="6E1CD9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117.5</w:t>
            </w:r>
          </w:p>
        </w:tc>
        <w:tc>
          <w:tcPr>
            <w:tcW w:w="455" w:type="dxa"/>
            <w:shd w:val="clear" w:color="auto" w:fill="auto"/>
            <w:tcMar>
              <w:top w:w="0" w:type="dxa"/>
              <w:left w:w="0" w:type="dxa"/>
              <w:bottom w:w="0" w:type="dxa"/>
              <w:right w:w="0" w:type="dxa"/>
            </w:tcMar>
            <w:vAlign w:val="center"/>
          </w:tcPr>
          <w:p w14:paraId="28E428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35.5</w:t>
            </w:r>
          </w:p>
        </w:tc>
        <w:tc>
          <w:tcPr>
            <w:tcW w:w="455" w:type="dxa"/>
            <w:shd w:val="clear" w:color="auto" w:fill="auto"/>
            <w:tcMar>
              <w:top w:w="0" w:type="dxa"/>
              <w:left w:w="0" w:type="dxa"/>
              <w:bottom w:w="0" w:type="dxa"/>
              <w:right w:w="0" w:type="dxa"/>
            </w:tcMar>
            <w:vAlign w:val="center"/>
          </w:tcPr>
          <w:p w14:paraId="2CEFBF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60.4</w:t>
            </w:r>
          </w:p>
        </w:tc>
        <w:tc>
          <w:tcPr>
            <w:tcW w:w="455" w:type="dxa"/>
            <w:shd w:val="clear" w:color="auto" w:fill="auto"/>
            <w:tcMar>
              <w:top w:w="0" w:type="dxa"/>
              <w:left w:w="0" w:type="dxa"/>
              <w:bottom w:w="0" w:type="dxa"/>
              <w:right w:w="0" w:type="dxa"/>
            </w:tcMar>
            <w:vAlign w:val="center"/>
          </w:tcPr>
          <w:p w14:paraId="00B7C9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60.7</w:t>
            </w:r>
          </w:p>
        </w:tc>
        <w:tc>
          <w:tcPr>
            <w:tcW w:w="455" w:type="dxa"/>
            <w:shd w:val="clear" w:color="auto" w:fill="auto"/>
            <w:tcMar>
              <w:top w:w="0" w:type="dxa"/>
              <w:left w:w="0" w:type="dxa"/>
              <w:bottom w:w="0" w:type="dxa"/>
              <w:right w:w="0" w:type="dxa"/>
            </w:tcMar>
            <w:vAlign w:val="center"/>
          </w:tcPr>
          <w:p w14:paraId="467BE6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60.4</w:t>
            </w:r>
          </w:p>
        </w:tc>
        <w:tc>
          <w:tcPr>
            <w:tcW w:w="455" w:type="dxa"/>
            <w:shd w:val="clear" w:color="auto" w:fill="auto"/>
            <w:tcMar>
              <w:top w:w="0" w:type="dxa"/>
              <w:left w:w="0" w:type="dxa"/>
              <w:bottom w:w="0" w:type="dxa"/>
              <w:right w:w="0" w:type="dxa"/>
            </w:tcMar>
            <w:vAlign w:val="center"/>
          </w:tcPr>
          <w:p w14:paraId="1C93B8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60.4</w:t>
            </w:r>
          </w:p>
        </w:tc>
        <w:tc>
          <w:tcPr>
            <w:tcW w:w="455" w:type="dxa"/>
            <w:vMerge w:val="continue"/>
            <w:shd w:val="clear" w:color="auto" w:fill="auto"/>
            <w:tcMar>
              <w:top w:w="0" w:type="dxa"/>
              <w:left w:w="0" w:type="dxa"/>
              <w:bottom w:w="0" w:type="dxa"/>
              <w:right w:w="0" w:type="dxa"/>
            </w:tcMar>
            <w:vAlign w:val="center"/>
          </w:tcPr>
          <w:p w14:paraId="75D2A7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721902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16C604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7280D7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66E1B4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6CFD26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33.9</w:t>
            </w:r>
          </w:p>
        </w:tc>
        <w:tc>
          <w:tcPr>
            <w:tcW w:w="495" w:type="dxa"/>
            <w:shd w:val="clear" w:color="auto" w:fill="auto"/>
            <w:tcMar>
              <w:top w:w="0" w:type="dxa"/>
              <w:left w:w="0" w:type="dxa"/>
              <w:bottom w:w="0" w:type="dxa"/>
              <w:right w:w="0" w:type="dxa"/>
            </w:tcMar>
            <w:vAlign w:val="center"/>
          </w:tcPr>
          <w:p w14:paraId="422362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34.2</w:t>
            </w:r>
          </w:p>
        </w:tc>
        <w:tc>
          <w:tcPr>
            <w:tcW w:w="435" w:type="dxa"/>
            <w:shd w:val="clear" w:color="auto" w:fill="auto"/>
            <w:tcMar>
              <w:top w:w="0" w:type="dxa"/>
              <w:left w:w="0" w:type="dxa"/>
              <w:bottom w:w="0" w:type="dxa"/>
              <w:right w:w="0" w:type="dxa"/>
            </w:tcMar>
            <w:vAlign w:val="center"/>
          </w:tcPr>
          <w:p w14:paraId="19714A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33.9</w:t>
            </w:r>
          </w:p>
        </w:tc>
        <w:tc>
          <w:tcPr>
            <w:tcW w:w="499" w:type="dxa"/>
            <w:shd w:val="clear" w:color="auto" w:fill="auto"/>
            <w:tcMar>
              <w:top w:w="0" w:type="dxa"/>
              <w:left w:w="0" w:type="dxa"/>
              <w:bottom w:w="0" w:type="dxa"/>
              <w:right w:w="0" w:type="dxa"/>
            </w:tcMar>
            <w:vAlign w:val="center"/>
          </w:tcPr>
          <w:p w14:paraId="1A147E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33.9</w:t>
            </w:r>
          </w:p>
        </w:tc>
        <w:tc>
          <w:tcPr>
            <w:tcW w:w="547" w:type="dxa"/>
            <w:shd w:val="clear" w:color="auto" w:fill="auto"/>
            <w:tcMar>
              <w:top w:w="0" w:type="dxa"/>
              <w:left w:w="0" w:type="dxa"/>
              <w:bottom w:w="0" w:type="dxa"/>
              <w:right w:w="0" w:type="dxa"/>
            </w:tcMar>
            <w:vAlign w:val="center"/>
          </w:tcPr>
          <w:p w14:paraId="4F7475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3635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1E51ED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058" w:type="dxa"/>
            <w:shd w:val="clear" w:color="auto" w:fill="auto"/>
            <w:tcMar>
              <w:top w:w="0" w:type="dxa"/>
              <w:left w:w="0" w:type="dxa"/>
              <w:bottom w:w="0" w:type="dxa"/>
              <w:right w:w="0" w:type="dxa"/>
            </w:tcMar>
            <w:vAlign w:val="center"/>
          </w:tcPr>
          <w:p w14:paraId="1800475D">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中发能源褐煤提质项目成品</w:t>
            </w:r>
            <w:r>
              <w:rPr>
                <w:rFonts w:hint="eastAsia" w:ascii="Arial" w:hAnsi="Arial" w:eastAsia="宋体" w:cs="Arial"/>
                <w:color w:val="auto"/>
                <w:sz w:val="21"/>
                <w:szCs w:val="21"/>
                <w:highlight w:val="none"/>
                <w:lang w:eastAsia="zh-CN"/>
              </w:rPr>
              <w:t>发运</w:t>
            </w:r>
            <w:r>
              <w:rPr>
                <w:rFonts w:ascii="Arial" w:hAnsi="Arial" w:eastAsia="Arial" w:cs="Arial"/>
                <w:color w:val="auto"/>
                <w:sz w:val="21"/>
                <w:szCs w:val="21"/>
                <w:highlight w:val="none"/>
              </w:rPr>
              <w:t>-声屏障</w:t>
            </w:r>
          </w:p>
        </w:tc>
        <w:tc>
          <w:tcPr>
            <w:tcW w:w="1650" w:type="dxa"/>
            <w:shd w:val="clear" w:color="auto" w:fill="auto"/>
            <w:tcMar>
              <w:top w:w="0" w:type="dxa"/>
              <w:left w:w="0" w:type="dxa"/>
              <w:bottom w:w="0" w:type="dxa"/>
              <w:right w:w="0" w:type="dxa"/>
            </w:tcMar>
            <w:vAlign w:val="center"/>
          </w:tcPr>
          <w:p w14:paraId="052F60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汽车散装机</w:t>
            </w:r>
            <w:r>
              <w:rPr>
                <w:rFonts w:hint="eastAsia" w:ascii="Times New Roman" w:hAnsi="Times New Roman" w:eastAsia="宋体" w:cs="Times New Roman"/>
                <w:color w:val="auto"/>
                <w:sz w:val="21"/>
                <w:szCs w:val="21"/>
                <w:highlight w:val="none"/>
                <w:lang w:val="en-US" w:eastAsia="zh-CN"/>
              </w:rPr>
              <w:t>2</w:t>
            </w:r>
          </w:p>
        </w:tc>
        <w:tc>
          <w:tcPr>
            <w:tcW w:w="655" w:type="dxa"/>
            <w:shd w:val="clear" w:color="auto" w:fill="auto"/>
            <w:tcMar>
              <w:top w:w="0" w:type="dxa"/>
              <w:left w:w="0" w:type="dxa"/>
              <w:bottom w:w="0" w:type="dxa"/>
              <w:right w:w="0" w:type="dxa"/>
            </w:tcMar>
            <w:vAlign w:val="center"/>
          </w:tcPr>
          <w:p w14:paraId="49CED8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r>
              <w:rPr>
                <w:rFonts w:hint="eastAsia" w:ascii="Times New Roman" w:hAnsi="Times New Roman" w:eastAsia="宋体" w:cs="Times New Roman"/>
                <w:color w:val="auto"/>
                <w:sz w:val="21"/>
                <w:szCs w:val="21"/>
                <w:highlight w:val="none"/>
                <w:lang w:val="en-US" w:eastAsia="zh-CN"/>
              </w:rPr>
              <w:t>0</w:t>
            </w:r>
          </w:p>
        </w:tc>
        <w:tc>
          <w:tcPr>
            <w:tcW w:w="612" w:type="dxa"/>
            <w:vMerge w:val="continue"/>
            <w:shd w:val="clear" w:color="auto" w:fill="auto"/>
            <w:tcMar>
              <w:top w:w="0" w:type="dxa"/>
              <w:left w:w="0" w:type="dxa"/>
              <w:bottom w:w="0" w:type="dxa"/>
              <w:right w:w="0" w:type="dxa"/>
            </w:tcMar>
            <w:vAlign w:val="center"/>
          </w:tcPr>
          <w:p w14:paraId="16DE4B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687EAD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w:t>
            </w:r>
          </w:p>
        </w:tc>
        <w:tc>
          <w:tcPr>
            <w:tcW w:w="455" w:type="dxa"/>
            <w:shd w:val="clear" w:color="auto" w:fill="auto"/>
            <w:tcMar>
              <w:top w:w="0" w:type="dxa"/>
              <w:left w:w="0" w:type="dxa"/>
              <w:bottom w:w="0" w:type="dxa"/>
              <w:right w:w="0" w:type="dxa"/>
            </w:tcMar>
            <w:vAlign w:val="center"/>
          </w:tcPr>
          <w:p w14:paraId="53E173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-71.5</w:t>
            </w:r>
          </w:p>
        </w:tc>
        <w:tc>
          <w:tcPr>
            <w:tcW w:w="403" w:type="dxa"/>
            <w:shd w:val="clear" w:color="auto" w:fill="auto"/>
            <w:tcMar>
              <w:top w:w="0" w:type="dxa"/>
              <w:left w:w="0" w:type="dxa"/>
              <w:bottom w:w="0" w:type="dxa"/>
              <w:right w:w="0" w:type="dxa"/>
            </w:tcMar>
            <w:vAlign w:val="center"/>
          </w:tcPr>
          <w:p w14:paraId="4DB95B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5E8E3F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73.6</w:t>
            </w:r>
          </w:p>
        </w:tc>
        <w:tc>
          <w:tcPr>
            <w:tcW w:w="393" w:type="dxa"/>
            <w:shd w:val="clear" w:color="auto" w:fill="auto"/>
            <w:tcMar>
              <w:top w:w="0" w:type="dxa"/>
              <w:left w:w="0" w:type="dxa"/>
              <w:bottom w:w="0" w:type="dxa"/>
              <w:right w:w="0" w:type="dxa"/>
            </w:tcMar>
            <w:vAlign w:val="center"/>
          </w:tcPr>
          <w:p w14:paraId="409B65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18.4</w:t>
            </w:r>
          </w:p>
        </w:tc>
        <w:tc>
          <w:tcPr>
            <w:tcW w:w="517" w:type="dxa"/>
            <w:shd w:val="clear" w:color="auto" w:fill="auto"/>
            <w:tcMar>
              <w:top w:w="0" w:type="dxa"/>
              <w:left w:w="0" w:type="dxa"/>
              <w:bottom w:w="0" w:type="dxa"/>
              <w:right w:w="0" w:type="dxa"/>
            </w:tcMar>
            <w:vAlign w:val="center"/>
          </w:tcPr>
          <w:p w14:paraId="44E7B0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47.9</w:t>
            </w:r>
          </w:p>
        </w:tc>
        <w:tc>
          <w:tcPr>
            <w:tcW w:w="455" w:type="dxa"/>
            <w:shd w:val="clear" w:color="auto" w:fill="auto"/>
            <w:tcMar>
              <w:top w:w="0" w:type="dxa"/>
              <w:left w:w="0" w:type="dxa"/>
              <w:bottom w:w="0" w:type="dxa"/>
              <w:right w:w="0" w:type="dxa"/>
            </w:tcMar>
            <w:vAlign w:val="center"/>
          </w:tcPr>
          <w:p w14:paraId="697B09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7.6</w:t>
            </w:r>
          </w:p>
        </w:tc>
        <w:tc>
          <w:tcPr>
            <w:tcW w:w="455" w:type="dxa"/>
            <w:shd w:val="clear" w:color="auto" w:fill="auto"/>
            <w:tcMar>
              <w:top w:w="0" w:type="dxa"/>
              <w:left w:w="0" w:type="dxa"/>
              <w:bottom w:w="0" w:type="dxa"/>
              <w:right w:w="0" w:type="dxa"/>
            </w:tcMar>
            <w:vAlign w:val="center"/>
          </w:tcPr>
          <w:p w14:paraId="5F5622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57.5</w:t>
            </w:r>
          </w:p>
        </w:tc>
        <w:tc>
          <w:tcPr>
            <w:tcW w:w="455" w:type="dxa"/>
            <w:shd w:val="clear" w:color="auto" w:fill="auto"/>
            <w:tcMar>
              <w:top w:w="0" w:type="dxa"/>
              <w:left w:w="0" w:type="dxa"/>
              <w:bottom w:w="0" w:type="dxa"/>
              <w:right w:w="0" w:type="dxa"/>
            </w:tcMar>
            <w:vAlign w:val="center"/>
          </w:tcPr>
          <w:p w14:paraId="0C6D57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57.5</w:t>
            </w:r>
          </w:p>
        </w:tc>
        <w:tc>
          <w:tcPr>
            <w:tcW w:w="455" w:type="dxa"/>
            <w:shd w:val="clear" w:color="auto" w:fill="auto"/>
            <w:tcMar>
              <w:top w:w="0" w:type="dxa"/>
              <w:left w:w="0" w:type="dxa"/>
              <w:bottom w:w="0" w:type="dxa"/>
              <w:right w:w="0" w:type="dxa"/>
            </w:tcMar>
            <w:vAlign w:val="center"/>
          </w:tcPr>
          <w:p w14:paraId="18C380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57.5</w:t>
            </w:r>
          </w:p>
        </w:tc>
        <w:tc>
          <w:tcPr>
            <w:tcW w:w="455" w:type="dxa"/>
            <w:shd w:val="clear" w:color="auto" w:fill="auto"/>
            <w:tcMar>
              <w:top w:w="0" w:type="dxa"/>
              <w:left w:w="0" w:type="dxa"/>
              <w:bottom w:w="0" w:type="dxa"/>
              <w:right w:w="0" w:type="dxa"/>
            </w:tcMar>
            <w:vAlign w:val="center"/>
          </w:tcPr>
          <w:p w14:paraId="27199B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57.8</w:t>
            </w:r>
          </w:p>
        </w:tc>
        <w:tc>
          <w:tcPr>
            <w:tcW w:w="455" w:type="dxa"/>
            <w:vMerge w:val="continue"/>
            <w:shd w:val="clear" w:color="auto" w:fill="auto"/>
            <w:tcMar>
              <w:top w:w="0" w:type="dxa"/>
              <w:left w:w="0" w:type="dxa"/>
              <w:bottom w:w="0" w:type="dxa"/>
              <w:right w:w="0" w:type="dxa"/>
            </w:tcMar>
            <w:vAlign w:val="center"/>
          </w:tcPr>
          <w:p w14:paraId="3E4B60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4A9BEC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3CCD07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28D64D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0D82E1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204528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31.0</w:t>
            </w:r>
          </w:p>
        </w:tc>
        <w:tc>
          <w:tcPr>
            <w:tcW w:w="495" w:type="dxa"/>
            <w:shd w:val="clear" w:color="auto" w:fill="auto"/>
            <w:tcMar>
              <w:top w:w="0" w:type="dxa"/>
              <w:left w:w="0" w:type="dxa"/>
              <w:bottom w:w="0" w:type="dxa"/>
              <w:right w:w="0" w:type="dxa"/>
            </w:tcMar>
            <w:vAlign w:val="center"/>
          </w:tcPr>
          <w:p w14:paraId="4F50A8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31.0</w:t>
            </w:r>
          </w:p>
        </w:tc>
        <w:tc>
          <w:tcPr>
            <w:tcW w:w="435" w:type="dxa"/>
            <w:shd w:val="clear" w:color="auto" w:fill="auto"/>
            <w:tcMar>
              <w:top w:w="0" w:type="dxa"/>
              <w:left w:w="0" w:type="dxa"/>
              <w:bottom w:w="0" w:type="dxa"/>
              <w:right w:w="0" w:type="dxa"/>
            </w:tcMar>
            <w:vAlign w:val="center"/>
          </w:tcPr>
          <w:p w14:paraId="26072B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31.0</w:t>
            </w:r>
          </w:p>
        </w:tc>
        <w:tc>
          <w:tcPr>
            <w:tcW w:w="499" w:type="dxa"/>
            <w:shd w:val="clear" w:color="auto" w:fill="auto"/>
            <w:tcMar>
              <w:top w:w="0" w:type="dxa"/>
              <w:left w:w="0" w:type="dxa"/>
              <w:bottom w:w="0" w:type="dxa"/>
              <w:right w:w="0" w:type="dxa"/>
            </w:tcMar>
            <w:vAlign w:val="center"/>
          </w:tcPr>
          <w:p w14:paraId="3DC1F4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31.3</w:t>
            </w:r>
          </w:p>
        </w:tc>
        <w:tc>
          <w:tcPr>
            <w:tcW w:w="547" w:type="dxa"/>
            <w:shd w:val="clear" w:color="auto" w:fill="auto"/>
            <w:tcMar>
              <w:top w:w="0" w:type="dxa"/>
              <w:left w:w="0" w:type="dxa"/>
              <w:bottom w:w="0" w:type="dxa"/>
              <w:right w:w="0" w:type="dxa"/>
            </w:tcMar>
            <w:vAlign w:val="center"/>
          </w:tcPr>
          <w:p w14:paraId="6EDB97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3CDA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605711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w:t>
            </w:r>
          </w:p>
        </w:tc>
        <w:tc>
          <w:tcPr>
            <w:tcW w:w="1058" w:type="dxa"/>
            <w:shd w:val="clear" w:color="auto" w:fill="auto"/>
            <w:tcMar>
              <w:top w:w="0" w:type="dxa"/>
              <w:left w:w="0" w:type="dxa"/>
              <w:bottom w:w="0" w:type="dxa"/>
              <w:right w:w="0" w:type="dxa"/>
            </w:tcMar>
            <w:vAlign w:val="center"/>
          </w:tcPr>
          <w:p w14:paraId="5178EB84">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Arial" w:hAnsi="Arial" w:eastAsia="Arial" w:cs="Arial"/>
                <w:color w:val="auto"/>
                <w:sz w:val="21"/>
                <w:szCs w:val="21"/>
                <w:highlight w:val="none"/>
              </w:rPr>
              <w:t>中发能源褐煤提质项目成品</w:t>
            </w:r>
            <w:r>
              <w:rPr>
                <w:rFonts w:hint="eastAsia" w:ascii="Arial" w:hAnsi="Arial" w:eastAsia="宋体" w:cs="Arial"/>
                <w:color w:val="auto"/>
                <w:sz w:val="21"/>
                <w:szCs w:val="21"/>
                <w:highlight w:val="none"/>
                <w:lang w:eastAsia="zh-CN"/>
              </w:rPr>
              <w:t>发运</w:t>
            </w:r>
            <w:r>
              <w:rPr>
                <w:rFonts w:ascii="Arial" w:hAnsi="Arial" w:eastAsia="Arial" w:cs="Arial"/>
                <w:color w:val="auto"/>
                <w:sz w:val="21"/>
                <w:szCs w:val="21"/>
                <w:highlight w:val="none"/>
              </w:rPr>
              <w:t>-声屏障</w:t>
            </w:r>
          </w:p>
        </w:tc>
        <w:tc>
          <w:tcPr>
            <w:tcW w:w="1650" w:type="dxa"/>
            <w:shd w:val="clear" w:color="auto" w:fill="auto"/>
            <w:tcMar>
              <w:top w:w="0" w:type="dxa"/>
              <w:left w:w="0" w:type="dxa"/>
              <w:bottom w:w="0" w:type="dxa"/>
              <w:right w:w="0" w:type="dxa"/>
            </w:tcMar>
            <w:vAlign w:val="center"/>
          </w:tcPr>
          <w:p w14:paraId="12A3DE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汽车散装机</w:t>
            </w:r>
            <w:r>
              <w:rPr>
                <w:rFonts w:hint="eastAsia" w:ascii="Times New Roman" w:hAnsi="Times New Roman" w:eastAsia="宋体" w:cs="Times New Roman"/>
                <w:color w:val="auto"/>
                <w:sz w:val="21"/>
                <w:szCs w:val="21"/>
                <w:highlight w:val="none"/>
                <w:lang w:val="en-US" w:eastAsia="zh-CN"/>
              </w:rPr>
              <w:t>3</w:t>
            </w:r>
          </w:p>
        </w:tc>
        <w:tc>
          <w:tcPr>
            <w:tcW w:w="655" w:type="dxa"/>
            <w:shd w:val="clear" w:color="auto" w:fill="auto"/>
            <w:tcMar>
              <w:top w:w="0" w:type="dxa"/>
              <w:left w:w="0" w:type="dxa"/>
              <w:bottom w:w="0" w:type="dxa"/>
              <w:right w:w="0" w:type="dxa"/>
            </w:tcMar>
            <w:vAlign w:val="center"/>
          </w:tcPr>
          <w:p w14:paraId="1E640D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r>
              <w:rPr>
                <w:rFonts w:hint="eastAsia" w:ascii="Times New Roman" w:hAnsi="Times New Roman" w:eastAsia="宋体" w:cs="Times New Roman"/>
                <w:color w:val="auto"/>
                <w:sz w:val="21"/>
                <w:szCs w:val="21"/>
                <w:highlight w:val="none"/>
                <w:lang w:val="en-US" w:eastAsia="zh-CN"/>
              </w:rPr>
              <w:t>0</w:t>
            </w:r>
          </w:p>
        </w:tc>
        <w:tc>
          <w:tcPr>
            <w:tcW w:w="612" w:type="dxa"/>
            <w:vMerge w:val="continue"/>
            <w:shd w:val="clear" w:color="auto" w:fill="auto"/>
            <w:tcMar>
              <w:top w:w="0" w:type="dxa"/>
              <w:left w:w="0" w:type="dxa"/>
              <w:bottom w:w="0" w:type="dxa"/>
              <w:right w:w="0" w:type="dxa"/>
            </w:tcMar>
            <w:vAlign w:val="center"/>
          </w:tcPr>
          <w:p w14:paraId="57E3B1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438F69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-17.5</w:t>
            </w:r>
          </w:p>
        </w:tc>
        <w:tc>
          <w:tcPr>
            <w:tcW w:w="455" w:type="dxa"/>
            <w:shd w:val="clear" w:color="auto" w:fill="auto"/>
            <w:tcMar>
              <w:top w:w="0" w:type="dxa"/>
              <w:left w:w="0" w:type="dxa"/>
              <w:bottom w:w="0" w:type="dxa"/>
              <w:right w:w="0" w:type="dxa"/>
            </w:tcMar>
            <w:vAlign w:val="center"/>
          </w:tcPr>
          <w:p w14:paraId="202682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-81.5</w:t>
            </w:r>
          </w:p>
        </w:tc>
        <w:tc>
          <w:tcPr>
            <w:tcW w:w="403" w:type="dxa"/>
            <w:shd w:val="clear" w:color="auto" w:fill="auto"/>
            <w:tcMar>
              <w:top w:w="0" w:type="dxa"/>
              <w:left w:w="0" w:type="dxa"/>
              <w:bottom w:w="0" w:type="dxa"/>
              <w:right w:w="0" w:type="dxa"/>
            </w:tcMar>
            <w:vAlign w:val="center"/>
          </w:tcPr>
          <w:p w14:paraId="7288D9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03F6F5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45.4</w:t>
            </w:r>
          </w:p>
        </w:tc>
        <w:tc>
          <w:tcPr>
            <w:tcW w:w="393" w:type="dxa"/>
            <w:shd w:val="clear" w:color="auto" w:fill="auto"/>
            <w:tcMar>
              <w:top w:w="0" w:type="dxa"/>
              <w:left w:w="0" w:type="dxa"/>
              <w:bottom w:w="0" w:type="dxa"/>
              <w:right w:w="0" w:type="dxa"/>
            </w:tcMar>
            <w:vAlign w:val="center"/>
          </w:tcPr>
          <w:p w14:paraId="484254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12.4</w:t>
            </w:r>
          </w:p>
        </w:tc>
        <w:tc>
          <w:tcPr>
            <w:tcW w:w="517" w:type="dxa"/>
            <w:shd w:val="clear" w:color="auto" w:fill="auto"/>
            <w:tcMar>
              <w:top w:w="0" w:type="dxa"/>
              <w:left w:w="0" w:type="dxa"/>
              <w:bottom w:w="0" w:type="dxa"/>
              <w:right w:w="0" w:type="dxa"/>
            </w:tcMar>
            <w:vAlign w:val="center"/>
          </w:tcPr>
          <w:p w14:paraId="094E20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76.7</w:t>
            </w:r>
          </w:p>
        </w:tc>
        <w:tc>
          <w:tcPr>
            <w:tcW w:w="455" w:type="dxa"/>
            <w:shd w:val="clear" w:color="auto" w:fill="auto"/>
            <w:tcMar>
              <w:top w:w="0" w:type="dxa"/>
              <w:left w:w="0" w:type="dxa"/>
              <w:bottom w:w="0" w:type="dxa"/>
              <w:right w:w="0" w:type="dxa"/>
            </w:tcMar>
            <w:vAlign w:val="center"/>
          </w:tcPr>
          <w:p w14:paraId="5C6381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12.5</w:t>
            </w:r>
          </w:p>
        </w:tc>
        <w:tc>
          <w:tcPr>
            <w:tcW w:w="455" w:type="dxa"/>
            <w:shd w:val="clear" w:color="auto" w:fill="auto"/>
            <w:tcMar>
              <w:top w:w="0" w:type="dxa"/>
              <w:left w:w="0" w:type="dxa"/>
              <w:bottom w:w="0" w:type="dxa"/>
              <w:right w:w="0" w:type="dxa"/>
            </w:tcMar>
            <w:vAlign w:val="center"/>
          </w:tcPr>
          <w:p w14:paraId="334DA8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57.5</w:t>
            </w:r>
          </w:p>
        </w:tc>
        <w:tc>
          <w:tcPr>
            <w:tcW w:w="455" w:type="dxa"/>
            <w:shd w:val="clear" w:color="auto" w:fill="auto"/>
            <w:tcMar>
              <w:top w:w="0" w:type="dxa"/>
              <w:left w:w="0" w:type="dxa"/>
              <w:bottom w:w="0" w:type="dxa"/>
              <w:right w:w="0" w:type="dxa"/>
            </w:tcMar>
            <w:vAlign w:val="center"/>
          </w:tcPr>
          <w:p w14:paraId="1943D1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57.6</w:t>
            </w:r>
          </w:p>
        </w:tc>
        <w:tc>
          <w:tcPr>
            <w:tcW w:w="455" w:type="dxa"/>
            <w:shd w:val="clear" w:color="auto" w:fill="auto"/>
            <w:tcMar>
              <w:top w:w="0" w:type="dxa"/>
              <w:left w:w="0" w:type="dxa"/>
              <w:bottom w:w="0" w:type="dxa"/>
              <w:right w:w="0" w:type="dxa"/>
            </w:tcMar>
            <w:vAlign w:val="center"/>
          </w:tcPr>
          <w:p w14:paraId="0B0F41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57.5</w:t>
            </w:r>
          </w:p>
        </w:tc>
        <w:tc>
          <w:tcPr>
            <w:tcW w:w="455" w:type="dxa"/>
            <w:shd w:val="clear" w:color="auto" w:fill="auto"/>
            <w:tcMar>
              <w:top w:w="0" w:type="dxa"/>
              <w:left w:w="0" w:type="dxa"/>
              <w:bottom w:w="0" w:type="dxa"/>
              <w:right w:w="0" w:type="dxa"/>
            </w:tcMar>
            <w:vAlign w:val="center"/>
          </w:tcPr>
          <w:p w14:paraId="7D935D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57.6</w:t>
            </w:r>
          </w:p>
        </w:tc>
        <w:tc>
          <w:tcPr>
            <w:tcW w:w="455" w:type="dxa"/>
            <w:vMerge w:val="continue"/>
            <w:shd w:val="clear" w:color="auto" w:fill="auto"/>
            <w:tcMar>
              <w:top w:w="0" w:type="dxa"/>
              <w:left w:w="0" w:type="dxa"/>
              <w:bottom w:w="0" w:type="dxa"/>
              <w:right w:w="0" w:type="dxa"/>
            </w:tcMar>
            <w:vAlign w:val="center"/>
          </w:tcPr>
          <w:p w14:paraId="482801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08D9C8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245C9A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15FF71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0425D3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095BFD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31.0</w:t>
            </w:r>
          </w:p>
        </w:tc>
        <w:tc>
          <w:tcPr>
            <w:tcW w:w="495" w:type="dxa"/>
            <w:shd w:val="clear" w:color="auto" w:fill="auto"/>
            <w:tcMar>
              <w:top w:w="0" w:type="dxa"/>
              <w:left w:w="0" w:type="dxa"/>
              <w:bottom w:w="0" w:type="dxa"/>
              <w:right w:w="0" w:type="dxa"/>
            </w:tcMar>
            <w:vAlign w:val="center"/>
          </w:tcPr>
          <w:p w14:paraId="6120B1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31.1</w:t>
            </w:r>
          </w:p>
        </w:tc>
        <w:tc>
          <w:tcPr>
            <w:tcW w:w="435" w:type="dxa"/>
            <w:shd w:val="clear" w:color="auto" w:fill="auto"/>
            <w:tcMar>
              <w:top w:w="0" w:type="dxa"/>
              <w:left w:w="0" w:type="dxa"/>
              <w:bottom w:w="0" w:type="dxa"/>
              <w:right w:w="0" w:type="dxa"/>
            </w:tcMar>
            <w:vAlign w:val="center"/>
          </w:tcPr>
          <w:p w14:paraId="5213B4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31.0</w:t>
            </w:r>
          </w:p>
        </w:tc>
        <w:tc>
          <w:tcPr>
            <w:tcW w:w="499" w:type="dxa"/>
            <w:shd w:val="clear" w:color="auto" w:fill="auto"/>
            <w:tcMar>
              <w:top w:w="0" w:type="dxa"/>
              <w:left w:w="0" w:type="dxa"/>
              <w:bottom w:w="0" w:type="dxa"/>
              <w:right w:w="0" w:type="dxa"/>
            </w:tcMar>
            <w:vAlign w:val="center"/>
          </w:tcPr>
          <w:p w14:paraId="124BBE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31.1</w:t>
            </w:r>
          </w:p>
        </w:tc>
        <w:tc>
          <w:tcPr>
            <w:tcW w:w="547" w:type="dxa"/>
            <w:shd w:val="clear" w:color="auto" w:fill="auto"/>
            <w:tcMar>
              <w:top w:w="0" w:type="dxa"/>
              <w:left w:w="0" w:type="dxa"/>
              <w:bottom w:w="0" w:type="dxa"/>
              <w:right w:w="0" w:type="dxa"/>
            </w:tcMar>
            <w:vAlign w:val="center"/>
          </w:tcPr>
          <w:p w14:paraId="224552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27C1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10B6E840">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1058" w:type="dxa"/>
            <w:shd w:val="clear" w:color="auto" w:fill="auto"/>
            <w:tcMar>
              <w:top w:w="0" w:type="dxa"/>
              <w:left w:w="0" w:type="dxa"/>
              <w:bottom w:w="0" w:type="dxa"/>
              <w:right w:w="0" w:type="dxa"/>
            </w:tcMar>
            <w:vAlign w:val="center"/>
          </w:tcPr>
          <w:p w14:paraId="02BDE9D6">
            <w:pPr>
              <w:keepNext w:val="0"/>
              <w:keepLines w:val="0"/>
              <w:pageBreakBefore w:val="0"/>
              <w:widowControl w:val="0"/>
              <w:kinsoku/>
              <w:wordWrap/>
              <w:overflowPunct/>
              <w:topLinePunct w:val="0"/>
              <w:autoSpaceDE/>
              <w:autoSpaceDN/>
              <w:bidi w:val="0"/>
              <w:adjustRightInd w:val="0"/>
              <w:snapToGrid w:val="0"/>
              <w:textAlignment w:val="auto"/>
              <w:rPr>
                <w:rFonts w:ascii="Arial" w:hAnsi="Arial" w:eastAsia="Arial" w:cs="Arial"/>
                <w:color w:val="auto"/>
                <w:sz w:val="21"/>
                <w:szCs w:val="21"/>
                <w:highlight w:val="none"/>
              </w:rPr>
            </w:pPr>
            <w:r>
              <w:rPr>
                <w:rFonts w:ascii="Arial" w:hAnsi="Arial" w:eastAsia="Arial" w:cs="Arial"/>
                <w:color w:val="auto"/>
                <w:sz w:val="21"/>
                <w:szCs w:val="21"/>
                <w:highlight w:val="none"/>
              </w:rPr>
              <w:t>中发能源褐煤提质项目成品</w:t>
            </w:r>
            <w:r>
              <w:rPr>
                <w:rFonts w:hint="eastAsia" w:ascii="Arial" w:hAnsi="Arial" w:eastAsia="宋体" w:cs="Arial"/>
                <w:color w:val="auto"/>
                <w:sz w:val="21"/>
                <w:szCs w:val="21"/>
                <w:highlight w:val="none"/>
                <w:lang w:eastAsia="zh-CN"/>
              </w:rPr>
              <w:t>发运</w:t>
            </w:r>
            <w:r>
              <w:rPr>
                <w:rFonts w:ascii="Arial" w:hAnsi="Arial" w:eastAsia="Arial" w:cs="Arial"/>
                <w:color w:val="auto"/>
                <w:sz w:val="21"/>
                <w:szCs w:val="21"/>
                <w:highlight w:val="none"/>
              </w:rPr>
              <w:t>-声屏障</w:t>
            </w:r>
          </w:p>
        </w:tc>
        <w:tc>
          <w:tcPr>
            <w:tcW w:w="1650" w:type="dxa"/>
            <w:shd w:val="clear" w:color="auto" w:fill="auto"/>
            <w:tcMar>
              <w:top w:w="0" w:type="dxa"/>
              <w:left w:w="0" w:type="dxa"/>
              <w:bottom w:w="0" w:type="dxa"/>
              <w:right w:w="0" w:type="dxa"/>
            </w:tcMar>
            <w:vAlign w:val="center"/>
          </w:tcPr>
          <w:p w14:paraId="0D62DEB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汽车散装机</w:t>
            </w:r>
            <w:r>
              <w:rPr>
                <w:rFonts w:hint="eastAsia" w:cs="Times New Roman"/>
                <w:color w:val="auto"/>
                <w:sz w:val="21"/>
                <w:szCs w:val="21"/>
                <w:highlight w:val="none"/>
                <w:lang w:val="en-US" w:eastAsia="zh-CN"/>
              </w:rPr>
              <w:t>4</w:t>
            </w:r>
          </w:p>
        </w:tc>
        <w:tc>
          <w:tcPr>
            <w:tcW w:w="655" w:type="dxa"/>
            <w:shd w:val="clear" w:color="auto" w:fill="auto"/>
            <w:tcMar>
              <w:top w:w="0" w:type="dxa"/>
              <w:left w:w="0" w:type="dxa"/>
              <w:bottom w:w="0" w:type="dxa"/>
              <w:right w:w="0" w:type="dxa"/>
            </w:tcMar>
            <w:vAlign w:val="center"/>
          </w:tcPr>
          <w:p w14:paraId="21CB16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612" w:type="dxa"/>
            <w:vMerge w:val="continue"/>
            <w:shd w:val="clear" w:color="auto" w:fill="auto"/>
            <w:tcMar>
              <w:top w:w="0" w:type="dxa"/>
              <w:left w:w="0" w:type="dxa"/>
              <w:bottom w:w="0" w:type="dxa"/>
              <w:right w:w="0" w:type="dxa"/>
            </w:tcMar>
            <w:vAlign w:val="center"/>
          </w:tcPr>
          <w:p w14:paraId="4267FB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0E65C3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54.1</w:t>
            </w:r>
          </w:p>
        </w:tc>
        <w:tc>
          <w:tcPr>
            <w:tcW w:w="455" w:type="dxa"/>
            <w:shd w:val="clear" w:color="auto" w:fill="auto"/>
            <w:tcMar>
              <w:top w:w="0" w:type="dxa"/>
              <w:left w:w="0" w:type="dxa"/>
              <w:bottom w:w="0" w:type="dxa"/>
              <w:right w:w="0" w:type="dxa"/>
            </w:tcMar>
            <w:vAlign w:val="center"/>
          </w:tcPr>
          <w:p w14:paraId="53620B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-59.4</w:t>
            </w:r>
          </w:p>
        </w:tc>
        <w:tc>
          <w:tcPr>
            <w:tcW w:w="403" w:type="dxa"/>
            <w:shd w:val="clear" w:color="auto" w:fill="auto"/>
            <w:tcMar>
              <w:top w:w="0" w:type="dxa"/>
              <w:left w:w="0" w:type="dxa"/>
              <w:bottom w:w="0" w:type="dxa"/>
              <w:right w:w="0" w:type="dxa"/>
            </w:tcMar>
            <w:vAlign w:val="center"/>
          </w:tcPr>
          <w:p w14:paraId="4F8A2A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5BC912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33.9</w:t>
            </w:r>
          </w:p>
        </w:tc>
        <w:tc>
          <w:tcPr>
            <w:tcW w:w="393" w:type="dxa"/>
            <w:shd w:val="clear" w:color="auto" w:fill="auto"/>
            <w:tcMar>
              <w:top w:w="0" w:type="dxa"/>
              <w:left w:w="0" w:type="dxa"/>
              <w:bottom w:w="0" w:type="dxa"/>
              <w:right w:w="0" w:type="dxa"/>
            </w:tcMar>
            <w:vAlign w:val="center"/>
          </w:tcPr>
          <w:p w14:paraId="773F7F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22.6</w:t>
            </w:r>
          </w:p>
        </w:tc>
        <w:tc>
          <w:tcPr>
            <w:tcW w:w="517" w:type="dxa"/>
            <w:shd w:val="clear" w:color="auto" w:fill="auto"/>
            <w:tcMar>
              <w:top w:w="0" w:type="dxa"/>
              <w:left w:w="0" w:type="dxa"/>
              <w:bottom w:w="0" w:type="dxa"/>
              <w:right w:w="0" w:type="dxa"/>
            </w:tcMar>
            <w:vAlign w:val="center"/>
          </w:tcPr>
          <w:p w14:paraId="04DEAE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10.6</w:t>
            </w:r>
          </w:p>
        </w:tc>
        <w:tc>
          <w:tcPr>
            <w:tcW w:w="455" w:type="dxa"/>
            <w:shd w:val="clear" w:color="auto" w:fill="auto"/>
            <w:tcMar>
              <w:top w:w="0" w:type="dxa"/>
              <w:left w:w="0" w:type="dxa"/>
              <w:bottom w:w="0" w:type="dxa"/>
              <w:right w:w="0" w:type="dxa"/>
            </w:tcMar>
            <w:vAlign w:val="center"/>
          </w:tcPr>
          <w:p w14:paraId="320997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7.7</w:t>
            </w:r>
          </w:p>
        </w:tc>
        <w:tc>
          <w:tcPr>
            <w:tcW w:w="455" w:type="dxa"/>
            <w:shd w:val="clear" w:color="auto" w:fill="auto"/>
            <w:tcMar>
              <w:top w:w="0" w:type="dxa"/>
              <w:left w:w="0" w:type="dxa"/>
              <w:bottom w:w="0" w:type="dxa"/>
              <w:right w:w="0" w:type="dxa"/>
            </w:tcMar>
            <w:vAlign w:val="center"/>
          </w:tcPr>
          <w:p w14:paraId="031909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65.4</w:t>
            </w:r>
          </w:p>
        </w:tc>
        <w:tc>
          <w:tcPr>
            <w:tcW w:w="455" w:type="dxa"/>
            <w:shd w:val="clear" w:color="auto" w:fill="auto"/>
            <w:tcMar>
              <w:top w:w="0" w:type="dxa"/>
              <w:left w:w="0" w:type="dxa"/>
              <w:bottom w:w="0" w:type="dxa"/>
              <w:right w:w="0" w:type="dxa"/>
            </w:tcMar>
            <w:vAlign w:val="center"/>
          </w:tcPr>
          <w:p w14:paraId="3BEEF0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65.4</w:t>
            </w:r>
          </w:p>
        </w:tc>
        <w:tc>
          <w:tcPr>
            <w:tcW w:w="455" w:type="dxa"/>
            <w:shd w:val="clear" w:color="auto" w:fill="auto"/>
            <w:tcMar>
              <w:top w:w="0" w:type="dxa"/>
              <w:left w:w="0" w:type="dxa"/>
              <w:bottom w:w="0" w:type="dxa"/>
              <w:right w:w="0" w:type="dxa"/>
            </w:tcMar>
            <w:vAlign w:val="center"/>
          </w:tcPr>
          <w:p w14:paraId="38AEE2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65.5</w:t>
            </w:r>
          </w:p>
        </w:tc>
        <w:tc>
          <w:tcPr>
            <w:tcW w:w="455" w:type="dxa"/>
            <w:shd w:val="clear" w:color="auto" w:fill="auto"/>
            <w:tcMar>
              <w:top w:w="0" w:type="dxa"/>
              <w:left w:w="0" w:type="dxa"/>
              <w:bottom w:w="0" w:type="dxa"/>
              <w:right w:w="0" w:type="dxa"/>
            </w:tcMar>
            <w:vAlign w:val="center"/>
          </w:tcPr>
          <w:p w14:paraId="0A8D88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65.6</w:t>
            </w:r>
          </w:p>
        </w:tc>
        <w:tc>
          <w:tcPr>
            <w:tcW w:w="455" w:type="dxa"/>
            <w:vMerge w:val="continue"/>
            <w:shd w:val="clear" w:color="auto" w:fill="auto"/>
            <w:tcMar>
              <w:top w:w="0" w:type="dxa"/>
              <w:left w:w="0" w:type="dxa"/>
              <w:bottom w:w="0" w:type="dxa"/>
              <w:right w:w="0" w:type="dxa"/>
            </w:tcMar>
            <w:vAlign w:val="center"/>
          </w:tcPr>
          <w:p w14:paraId="559C2A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0427E4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25B8C6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62E6EA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459A63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60D720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38.9</w:t>
            </w:r>
          </w:p>
        </w:tc>
        <w:tc>
          <w:tcPr>
            <w:tcW w:w="495" w:type="dxa"/>
            <w:shd w:val="clear" w:color="auto" w:fill="auto"/>
            <w:tcMar>
              <w:top w:w="0" w:type="dxa"/>
              <w:left w:w="0" w:type="dxa"/>
              <w:bottom w:w="0" w:type="dxa"/>
              <w:right w:w="0" w:type="dxa"/>
            </w:tcMar>
            <w:vAlign w:val="center"/>
          </w:tcPr>
          <w:p w14:paraId="64B467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38.9</w:t>
            </w:r>
          </w:p>
        </w:tc>
        <w:tc>
          <w:tcPr>
            <w:tcW w:w="435" w:type="dxa"/>
            <w:shd w:val="clear" w:color="auto" w:fill="auto"/>
            <w:tcMar>
              <w:top w:w="0" w:type="dxa"/>
              <w:left w:w="0" w:type="dxa"/>
              <w:bottom w:w="0" w:type="dxa"/>
              <w:right w:w="0" w:type="dxa"/>
            </w:tcMar>
            <w:vAlign w:val="center"/>
          </w:tcPr>
          <w:p w14:paraId="06C500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39.0</w:t>
            </w:r>
          </w:p>
        </w:tc>
        <w:tc>
          <w:tcPr>
            <w:tcW w:w="499" w:type="dxa"/>
            <w:shd w:val="clear" w:color="auto" w:fill="auto"/>
            <w:tcMar>
              <w:top w:w="0" w:type="dxa"/>
              <w:left w:w="0" w:type="dxa"/>
              <w:bottom w:w="0" w:type="dxa"/>
              <w:right w:w="0" w:type="dxa"/>
            </w:tcMar>
            <w:vAlign w:val="center"/>
          </w:tcPr>
          <w:p w14:paraId="622D99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39.1</w:t>
            </w:r>
          </w:p>
        </w:tc>
        <w:tc>
          <w:tcPr>
            <w:tcW w:w="547" w:type="dxa"/>
            <w:shd w:val="clear" w:color="auto" w:fill="auto"/>
            <w:tcMar>
              <w:top w:w="0" w:type="dxa"/>
              <w:left w:w="0" w:type="dxa"/>
              <w:bottom w:w="0" w:type="dxa"/>
              <w:right w:w="0" w:type="dxa"/>
            </w:tcMar>
            <w:vAlign w:val="center"/>
          </w:tcPr>
          <w:p w14:paraId="408FDE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1DEA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dxa"/>
            <w:shd w:val="clear" w:color="auto" w:fill="auto"/>
            <w:tcMar>
              <w:top w:w="0" w:type="dxa"/>
              <w:left w:w="0" w:type="dxa"/>
              <w:bottom w:w="0" w:type="dxa"/>
              <w:right w:w="0" w:type="dxa"/>
            </w:tcMar>
            <w:vAlign w:val="center"/>
          </w:tcPr>
          <w:p w14:paraId="0185E72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1058" w:type="dxa"/>
            <w:shd w:val="clear" w:color="auto" w:fill="auto"/>
            <w:tcMar>
              <w:top w:w="0" w:type="dxa"/>
              <w:left w:w="0" w:type="dxa"/>
              <w:bottom w:w="0" w:type="dxa"/>
              <w:right w:w="0" w:type="dxa"/>
            </w:tcMar>
            <w:vAlign w:val="center"/>
          </w:tcPr>
          <w:p w14:paraId="1B6270D1">
            <w:pPr>
              <w:keepNext w:val="0"/>
              <w:keepLines w:val="0"/>
              <w:pageBreakBefore w:val="0"/>
              <w:widowControl w:val="0"/>
              <w:kinsoku/>
              <w:wordWrap/>
              <w:overflowPunct/>
              <w:topLinePunct w:val="0"/>
              <w:autoSpaceDE/>
              <w:autoSpaceDN/>
              <w:bidi w:val="0"/>
              <w:adjustRightInd w:val="0"/>
              <w:snapToGrid w:val="0"/>
              <w:textAlignment w:val="auto"/>
              <w:rPr>
                <w:rFonts w:ascii="Arial" w:hAnsi="Arial" w:eastAsia="Arial" w:cs="Arial"/>
                <w:color w:val="auto"/>
                <w:sz w:val="21"/>
                <w:szCs w:val="21"/>
                <w:highlight w:val="none"/>
              </w:rPr>
            </w:pPr>
            <w:r>
              <w:rPr>
                <w:rFonts w:ascii="Arial" w:hAnsi="Arial" w:eastAsia="Arial" w:cs="Arial"/>
                <w:color w:val="auto"/>
                <w:sz w:val="21"/>
                <w:szCs w:val="21"/>
                <w:highlight w:val="none"/>
              </w:rPr>
              <w:t>中发能源褐煤提质项目成品</w:t>
            </w:r>
            <w:r>
              <w:rPr>
                <w:rFonts w:hint="eastAsia" w:ascii="Arial" w:hAnsi="Arial" w:eastAsia="宋体" w:cs="Arial"/>
                <w:color w:val="auto"/>
                <w:sz w:val="21"/>
                <w:szCs w:val="21"/>
                <w:highlight w:val="none"/>
                <w:lang w:eastAsia="zh-CN"/>
              </w:rPr>
              <w:t>发运</w:t>
            </w:r>
            <w:r>
              <w:rPr>
                <w:rFonts w:ascii="Arial" w:hAnsi="Arial" w:eastAsia="Arial" w:cs="Arial"/>
                <w:color w:val="auto"/>
                <w:sz w:val="21"/>
                <w:szCs w:val="21"/>
                <w:highlight w:val="none"/>
              </w:rPr>
              <w:t>-声屏障</w:t>
            </w:r>
          </w:p>
        </w:tc>
        <w:tc>
          <w:tcPr>
            <w:tcW w:w="1650" w:type="dxa"/>
            <w:shd w:val="clear" w:color="auto" w:fill="auto"/>
            <w:tcMar>
              <w:top w:w="0" w:type="dxa"/>
              <w:left w:w="0" w:type="dxa"/>
              <w:bottom w:w="0" w:type="dxa"/>
              <w:right w:w="0" w:type="dxa"/>
            </w:tcMar>
            <w:vAlign w:val="center"/>
          </w:tcPr>
          <w:p w14:paraId="14644A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ascii="Times New Roman" w:hAnsi="Times New Roman"/>
                <w:color w:val="auto"/>
                <w:szCs w:val="21"/>
                <w:highlight w:val="none"/>
              </w:rPr>
              <w:t>胶带输送机</w:t>
            </w:r>
            <w:r>
              <w:rPr>
                <w:rFonts w:hint="eastAsia"/>
                <w:color w:val="auto"/>
                <w:szCs w:val="21"/>
                <w:highlight w:val="none"/>
                <w:lang w:val="en-US" w:eastAsia="zh-CN"/>
              </w:rPr>
              <w:t>11</w:t>
            </w:r>
          </w:p>
        </w:tc>
        <w:tc>
          <w:tcPr>
            <w:tcW w:w="655" w:type="dxa"/>
            <w:shd w:val="clear" w:color="auto" w:fill="auto"/>
            <w:tcMar>
              <w:top w:w="0" w:type="dxa"/>
              <w:left w:w="0" w:type="dxa"/>
              <w:bottom w:w="0" w:type="dxa"/>
              <w:right w:w="0" w:type="dxa"/>
            </w:tcMar>
            <w:vAlign w:val="center"/>
          </w:tcPr>
          <w:p w14:paraId="5DED66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612" w:type="dxa"/>
            <w:vMerge w:val="continue"/>
            <w:shd w:val="clear" w:color="auto" w:fill="auto"/>
            <w:tcMar>
              <w:top w:w="0" w:type="dxa"/>
              <w:left w:w="0" w:type="dxa"/>
              <w:bottom w:w="0" w:type="dxa"/>
              <w:right w:w="0" w:type="dxa"/>
            </w:tcMar>
            <w:vAlign w:val="center"/>
          </w:tcPr>
          <w:p w14:paraId="321394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455" w:type="dxa"/>
            <w:shd w:val="clear" w:color="auto" w:fill="auto"/>
            <w:tcMar>
              <w:top w:w="0" w:type="dxa"/>
              <w:left w:w="0" w:type="dxa"/>
              <w:bottom w:w="0" w:type="dxa"/>
              <w:right w:w="0" w:type="dxa"/>
            </w:tcMar>
            <w:vAlign w:val="center"/>
          </w:tcPr>
          <w:p w14:paraId="6D5D22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69.8</w:t>
            </w:r>
          </w:p>
        </w:tc>
        <w:tc>
          <w:tcPr>
            <w:tcW w:w="455" w:type="dxa"/>
            <w:shd w:val="clear" w:color="auto" w:fill="auto"/>
            <w:tcMar>
              <w:top w:w="0" w:type="dxa"/>
              <w:left w:w="0" w:type="dxa"/>
              <w:bottom w:w="0" w:type="dxa"/>
              <w:right w:w="0" w:type="dxa"/>
            </w:tcMar>
            <w:vAlign w:val="center"/>
          </w:tcPr>
          <w:p w14:paraId="22EB56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-62.6</w:t>
            </w:r>
          </w:p>
        </w:tc>
        <w:tc>
          <w:tcPr>
            <w:tcW w:w="403" w:type="dxa"/>
            <w:shd w:val="clear" w:color="auto" w:fill="auto"/>
            <w:tcMar>
              <w:top w:w="0" w:type="dxa"/>
              <w:left w:w="0" w:type="dxa"/>
              <w:bottom w:w="0" w:type="dxa"/>
              <w:right w:w="0" w:type="dxa"/>
            </w:tcMar>
            <w:vAlign w:val="center"/>
          </w:tcPr>
          <w:p w14:paraId="77C1D0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07" w:type="dxa"/>
            <w:shd w:val="clear" w:color="auto" w:fill="auto"/>
            <w:tcMar>
              <w:top w:w="0" w:type="dxa"/>
              <w:left w:w="0" w:type="dxa"/>
              <w:bottom w:w="0" w:type="dxa"/>
              <w:right w:w="0" w:type="dxa"/>
            </w:tcMar>
            <w:vAlign w:val="center"/>
          </w:tcPr>
          <w:p w14:paraId="2D3C0F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17.9</w:t>
            </w:r>
          </w:p>
        </w:tc>
        <w:tc>
          <w:tcPr>
            <w:tcW w:w="393" w:type="dxa"/>
            <w:shd w:val="clear" w:color="auto" w:fill="auto"/>
            <w:tcMar>
              <w:top w:w="0" w:type="dxa"/>
              <w:left w:w="0" w:type="dxa"/>
              <w:bottom w:w="0" w:type="dxa"/>
              <w:right w:w="0" w:type="dxa"/>
            </w:tcMar>
            <w:vAlign w:val="center"/>
          </w:tcPr>
          <w:p w14:paraId="355EA6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22.2</w:t>
            </w:r>
          </w:p>
        </w:tc>
        <w:tc>
          <w:tcPr>
            <w:tcW w:w="517" w:type="dxa"/>
            <w:shd w:val="clear" w:color="auto" w:fill="auto"/>
            <w:tcMar>
              <w:top w:w="0" w:type="dxa"/>
              <w:left w:w="0" w:type="dxa"/>
              <w:bottom w:w="0" w:type="dxa"/>
              <w:right w:w="0" w:type="dxa"/>
            </w:tcMar>
            <w:vAlign w:val="center"/>
          </w:tcPr>
          <w:p w14:paraId="2A3970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26.6</w:t>
            </w:r>
          </w:p>
        </w:tc>
        <w:tc>
          <w:tcPr>
            <w:tcW w:w="455" w:type="dxa"/>
            <w:shd w:val="clear" w:color="auto" w:fill="auto"/>
            <w:tcMar>
              <w:top w:w="0" w:type="dxa"/>
              <w:left w:w="0" w:type="dxa"/>
              <w:bottom w:w="0" w:type="dxa"/>
              <w:right w:w="0" w:type="dxa"/>
            </w:tcMar>
            <w:vAlign w:val="center"/>
          </w:tcPr>
          <w:p w14:paraId="5D6717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8.1</w:t>
            </w:r>
          </w:p>
        </w:tc>
        <w:tc>
          <w:tcPr>
            <w:tcW w:w="455" w:type="dxa"/>
            <w:shd w:val="clear" w:color="auto" w:fill="auto"/>
            <w:tcMar>
              <w:top w:w="0" w:type="dxa"/>
              <w:left w:w="0" w:type="dxa"/>
              <w:bottom w:w="0" w:type="dxa"/>
              <w:right w:w="0" w:type="dxa"/>
            </w:tcMar>
            <w:vAlign w:val="center"/>
          </w:tcPr>
          <w:p w14:paraId="26601C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65.5</w:t>
            </w:r>
          </w:p>
        </w:tc>
        <w:tc>
          <w:tcPr>
            <w:tcW w:w="455" w:type="dxa"/>
            <w:shd w:val="clear" w:color="auto" w:fill="auto"/>
            <w:tcMar>
              <w:top w:w="0" w:type="dxa"/>
              <w:left w:w="0" w:type="dxa"/>
              <w:bottom w:w="0" w:type="dxa"/>
              <w:right w:w="0" w:type="dxa"/>
            </w:tcMar>
            <w:vAlign w:val="center"/>
          </w:tcPr>
          <w:p w14:paraId="11F17E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65.4</w:t>
            </w:r>
          </w:p>
        </w:tc>
        <w:tc>
          <w:tcPr>
            <w:tcW w:w="455" w:type="dxa"/>
            <w:shd w:val="clear" w:color="auto" w:fill="auto"/>
            <w:tcMar>
              <w:top w:w="0" w:type="dxa"/>
              <w:left w:w="0" w:type="dxa"/>
              <w:bottom w:w="0" w:type="dxa"/>
              <w:right w:w="0" w:type="dxa"/>
            </w:tcMar>
            <w:vAlign w:val="center"/>
          </w:tcPr>
          <w:p w14:paraId="1577C0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65.4</w:t>
            </w:r>
          </w:p>
        </w:tc>
        <w:tc>
          <w:tcPr>
            <w:tcW w:w="455" w:type="dxa"/>
            <w:shd w:val="clear" w:color="auto" w:fill="auto"/>
            <w:tcMar>
              <w:top w:w="0" w:type="dxa"/>
              <w:left w:w="0" w:type="dxa"/>
              <w:bottom w:w="0" w:type="dxa"/>
              <w:right w:w="0" w:type="dxa"/>
            </w:tcMar>
            <w:vAlign w:val="center"/>
          </w:tcPr>
          <w:p w14:paraId="41292C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65.6</w:t>
            </w:r>
          </w:p>
        </w:tc>
        <w:tc>
          <w:tcPr>
            <w:tcW w:w="455" w:type="dxa"/>
            <w:vMerge w:val="continue"/>
            <w:shd w:val="clear" w:color="auto" w:fill="auto"/>
            <w:tcMar>
              <w:top w:w="0" w:type="dxa"/>
              <w:left w:w="0" w:type="dxa"/>
              <w:bottom w:w="0" w:type="dxa"/>
              <w:right w:w="0" w:type="dxa"/>
            </w:tcMar>
            <w:vAlign w:val="center"/>
          </w:tcPr>
          <w:p w14:paraId="61524F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443" w:type="dxa"/>
            <w:shd w:val="clear" w:color="auto" w:fill="auto"/>
            <w:tcMar>
              <w:top w:w="0" w:type="dxa"/>
              <w:left w:w="0" w:type="dxa"/>
              <w:bottom w:w="0" w:type="dxa"/>
              <w:right w:w="0" w:type="dxa"/>
            </w:tcMar>
            <w:vAlign w:val="center"/>
          </w:tcPr>
          <w:p w14:paraId="4FE5DF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50" w:type="dxa"/>
            <w:shd w:val="clear" w:color="auto" w:fill="auto"/>
            <w:tcMar>
              <w:top w:w="0" w:type="dxa"/>
              <w:left w:w="0" w:type="dxa"/>
              <w:bottom w:w="0" w:type="dxa"/>
              <w:right w:w="0" w:type="dxa"/>
            </w:tcMar>
            <w:vAlign w:val="center"/>
          </w:tcPr>
          <w:p w14:paraId="4FDD6C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65" w:type="dxa"/>
            <w:shd w:val="clear" w:color="auto" w:fill="auto"/>
            <w:tcMar>
              <w:top w:w="0" w:type="dxa"/>
              <w:left w:w="0" w:type="dxa"/>
              <w:bottom w:w="0" w:type="dxa"/>
              <w:right w:w="0" w:type="dxa"/>
            </w:tcMar>
            <w:vAlign w:val="center"/>
          </w:tcPr>
          <w:p w14:paraId="7F2AF5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20" w:type="dxa"/>
            <w:shd w:val="clear" w:color="auto" w:fill="auto"/>
            <w:tcMar>
              <w:top w:w="0" w:type="dxa"/>
              <w:left w:w="0" w:type="dxa"/>
              <w:bottom w:w="0" w:type="dxa"/>
              <w:right w:w="0" w:type="dxa"/>
            </w:tcMar>
            <w:vAlign w:val="center"/>
          </w:tcPr>
          <w:p w14:paraId="60B0CE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26.5</w:t>
            </w:r>
          </w:p>
        </w:tc>
        <w:tc>
          <w:tcPr>
            <w:tcW w:w="435" w:type="dxa"/>
            <w:shd w:val="clear" w:color="auto" w:fill="auto"/>
            <w:tcMar>
              <w:top w:w="0" w:type="dxa"/>
              <w:left w:w="0" w:type="dxa"/>
              <w:bottom w:w="0" w:type="dxa"/>
              <w:right w:w="0" w:type="dxa"/>
            </w:tcMar>
            <w:vAlign w:val="center"/>
          </w:tcPr>
          <w:p w14:paraId="59AD84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39.0</w:t>
            </w:r>
          </w:p>
        </w:tc>
        <w:tc>
          <w:tcPr>
            <w:tcW w:w="495" w:type="dxa"/>
            <w:shd w:val="clear" w:color="auto" w:fill="auto"/>
            <w:tcMar>
              <w:top w:w="0" w:type="dxa"/>
              <w:left w:w="0" w:type="dxa"/>
              <w:bottom w:w="0" w:type="dxa"/>
              <w:right w:w="0" w:type="dxa"/>
            </w:tcMar>
            <w:vAlign w:val="center"/>
          </w:tcPr>
          <w:p w14:paraId="6F87F7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38.9</w:t>
            </w:r>
          </w:p>
        </w:tc>
        <w:tc>
          <w:tcPr>
            <w:tcW w:w="435" w:type="dxa"/>
            <w:shd w:val="clear" w:color="auto" w:fill="auto"/>
            <w:tcMar>
              <w:top w:w="0" w:type="dxa"/>
              <w:left w:w="0" w:type="dxa"/>
              <w:bottom w:w="0" w:type="dxa"/>
              <w:right w:w="0" w:type="dxa"/>
            </w:tcMar>
            <w:vAlign w:val="center"/>
          </w:tcPr>
          <w:p w14:paraId="4A4262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38.9</w:t>
            </w:r>
          </w:p>
        </w:tc>
        <w:tc>
          <w:tcPr>
            <w:tcW w:w="499" w:type="dxa"/>
            <w:shd w:val="clear" w:color="auto" w:fill="auto"/>
            <w:tcMar>
              <w:top w:w="0" w:type="dxa"/>
              <w:left w:w="0" w:type="dxa"/>
              <w:bottom w:w="0" w:type="dxa"/>
              <w:right w:w="0" w:type="dxa"/>
            </w:tcMar>
            <w:vAlign w:val="center"/>
          </w:tcPr>
          <w:p w14:paraId="22E798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39.1</w:t>
            </w:r>
          </w:p>
        </w:tc>
        <w:tc>
          <w:tcPr>
            <w:tcW w:w="547" w:type="dxa"/>
            <w:shd w:val="clear" w:color="auto" w:fill="auto"/>
            <w:tcMar>
              <w:top w:w="0" w:type="dxa"/>
              <w:left w:w="0" w:type="dxa"/>
              <w:bottom w:w="0" w:type="dxa"/>
              <w:right w:w="0" w:type="dxa"/>
            </w:tcMar>
            <w:vAlign w:val="center"/>
          </w:tcPr>
          <w:p w14:paraId="11235D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bl>
    <w:p w14:paraId="5D5ACD66">
      <w:pPr>
        <w:pStyle w:val="43"/>
        <w:rPr>
          <w:rFonts w:hint="default" w:ascii="Times New Roman" w:hAnsi="Times New Roman" w:eastAsia="宋体" w:cs="Times New Roman"/>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14:paraId="13423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1" w:hRule="atLeast"/>
          <w:jc w:val="center"/>
        </w:trPr>
        <w:tc>
          <w:tcPr>
            <w:tcW w:w="358" w:type="dxa"/>
            <w:tcMar>
              <w:left w:w="28" w:type="dxa"/>
              <w:right w:w="28" w:type="dxa"/>
            </w:tcMar>
            <w:vAlign w:val="center"/>
          </w:tcPr>
          <w:p w14:paraId="451F761F">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14:paraId="12D58A72">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14:paraId="0611F9B2">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14:paraId="7AF15A26">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14:paraId="588C8F38">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14:paraId="04D7E434">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14:paraId="3E9865B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表中坐标以厂界中心（</w:t>
            </w:r>
            <w:r>
              <w:rPr>
                <w:rFonts w:hint="default" w:ascii="Times New Roman" w:hAnsi="Times New Roman" w:eastAsia="宋体" w:cs="Times New Roman"/>
                <w:bCs/>
                <w:color w:val="auto"/>
                <w:sz w:val="24"/>
                <w:szCs w:val="24"/>
                <w:highlight w:val="none"/>
                <w:lang w:val="en-US" w:eastAsia="zh-CN"/>
              </w:rPr>
              <w:t>103</w:t>
            </w:r>
            <w:r>
              <w:rPr>
                <w:rFonts w:hint="default" w:ascii="Times New Roman" w:hAnsi="Times New Roman" w:eastAsia="宋体" w:cs="Times New Roman"/>
                <w:bCs/>
                <w:color w:val="auto"/>
                <w:sz w:val="24"/>
                <w:szCs w:val="24"/>
                <w:highlight w:val="none"/>
              </w:rPr>
              <w:t>度</w:t>
            </w:r>
            <w:r>
              <w:rPr>
                <w:rFonts w:hint="default" w:ascii="Times New Roman" w:hAnsi="Times New Roman" w:eastAsia="宋体" w:cs="Times New Roman"/>
                <w:bCs/>
                <w:color w:val="auto"/>
                <w:sz w:val="24"/>
                <w:szCs w:val="24"/>
                <w:highlight w:val="none"/>
                <w:lang w:val="en-US" w:eastAsia="zh-CN"/>
              </w:rPr>
              <w:t>1</w:t>
            </w: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分</w:t>
            </w:r>
            <w:r>
              <w:rPr>
                <w:rFonts w:hint="eastAsia" w:ascii="Times New Roman" w:hAnsi="Times New Roman" w:eastAsia="宋体" w:cs="Times New Roman"/>
                <w:bCs/>
                <w:color w:val="auto"/>
                <w:sz w:val="24"/>
                <w:szCs w:val="24"/>
                <w:highlight w:val="none"/>
                <w:lang w:val="en-US" w:eastAsia="zh-CN"/>
              </w:rPr>
              <w:t>4</w:t>
            </w:r>
            <w:r>
              <w:rPr>
                <w:rFonts w:hint="eastAsia" w:cs="Times New Roman"/>
                <w:bCs/>
                <w:color w:val="auto"/>
                <w:sz w:val="24"/>
                <w:szCs w:val="24"/>
                <w:highlight w:val="none"/>
                <w:lang w:val="en-US" w:eastAsia="zh-CN"/>
              </w:rPr>
              <w:t>4.826</w:t>
            </w:r>
            <w:r>
              <w:rPr>
                <w:rFonts w:hint="default" w:ascii="Times New Roman" w:hAnsi="Times New Roman" w:eastAsia="宋体" w:cs="Times New Roman"/>
                <w:bCs/>
                <w:color w:val="auto"/>
                <w:sz w:val="24"/>
                <w:szCs w:val="24"/>
                <w:highlight w:val="none"/>
              </w:rPr>
              <w:t>秒，</w:t>
            </w:r>
            <w:r>
              <w:rPr>
                <w:rFonts w:hint="default" w:ascii="Times New Roman" w:hAnsi="Times New Roman" w:eastAsia="宋体" w:cs="Times New Roman"/>
                <w:bCs/>
                <w:color w:val="auto"/>
                <w:sz w:val="24"/>
                <w:szCs w:val="24"/>
                <w:highlight w:val="none"/>
                <w:lang w:val="en-US" w:eastAsia="zh-CN"/>
              </w:rPr>
              <w:t>25</w:t>
            </w:r>
            <w:r>
              <w:rPr>
                <w:rFonts w:hint="default" w:ascii="Times New Roman" w:hAnsi="Times New Roman" w:eastAsia="宋体" w:cs="Times New Roman"/>
                <w:bCs/>
                <w:color w:val="auto"/>
                <w:sz w:val="24"/>
                <w:szCs w:val="24"/>
                <w:highlight w:val="none"/>
              </w:rPr>
              <w:t>度</w:t>
            </w:r>
            <w:r>
              <w:rPr>
                <w:rFonts w:hint="eastAsia" w:ascii="Times New Roman" w:hAnsi="Times New Roman" w:eastAsia="宋体" w:cs="Times New Roman"/>
                <w:bCs/>
                <w:color w:val="auto"/>
                <w:sz w:val="24"/>
                <w:szCs w:val="24"/>
                <w:highlight w:val="none"/>
                <w:lang w:val="en-US" w:eastAsia="zh-CN"/>
              </w:rPr>
              <w:t>33</w:t>
            </w:r>
            <w:r>
              <w:rPr>
                <w:rFonts w:hint="default" w:ascii="Times New Roman" w:hAnsi="Times New Roman" w:eastAsia="宋体" w:cs="Times New Roman"/>
                <w:bCs/>
                <w:color w:val="auto"/>
                <w:sz w:val="24"/>
                <w:szCs w:val="24"/>
                <w:highlight w:val="none"/>
              </w:rPr>
              <w:t>分</w:t>
            </w:r>
            <w:r>
              <w:rPr>
                <w:rFonts w:hint="eastAsia" w:ascii="Times New Roman" w:hAnsi="Times New Roman" w:eastAsia="宋体" w:cs="Times New Roman"/>
                <w:bCs/>
                <w:color w:val="auto"/>
                <w:sz w:val="24"/>
                <w:szCs w:val="24"/>
                <w:highlight w:val="none"/>
                <w:lang w:val="en-US" w:eastAsia="zh-CN"/>
              </w:rPr>
              <w:t>4</w:t>
            </w:r>
            <w:r>
              <w:rPr>
                <w:rFonts w:hint="eastAsia" w:cs="Times New Roman"/>
                <w:bCs/>
                <w:color w:val="auto"/>
                <w:sz w:val="24"/>
                <w:szCs w:val="24"/>
                <w:highlight w:val="none"/>
                <w:lang w:val="en-US" w:eastAsia="zh-CN"/>
              </w:rPr>
              <w:t>0.417</w:t>
            </w:r>
            <w:r>
              <w:rPr>
                <w:rFonts w:hint="default" w:ascii="Times New Roman" w:hAnsi="Times New Roman" w:eastAsia="宋体" w:cs="Times New Roman"/>
                <w:bCs/>
                <w:color w:val="auto"/>
                <w:sz w:val="24"/>
                <w:szCs w:val="24"/>
                <w:highlight w:val="none"/>
              </w:rPr>
              <w:t>秒</w:t>
            </w:r>
            <w:r>
              <w:rPr>
                <w:rFonts w:hint="default" w:ascii="Times New Roman" w:hAnsi="Times New Roman" w:eastAsia="宋体" w:cs="Times New Roman"/>
                <w:color w:val="auto"/>
                <w:sz w:val="24"/>
                <w:highlight w:val="none"/>
                <w:lang w:val="en-US" w:eastAsia="zh-CN"/>
              </w:rPr>
              <w:t>）为坐标原点，正东向为X轴正方向，正北向为Y轴正方向。</w:t>
            </w:r>
          </w:p>
          <w:p w14:paraId="5EEC98D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（2）预测范围、点位与评价因子</w:t>
            </w:r>
          </w:p>
          <w:p w14:paraId="719FAD7C">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①噪声预测范围为：厂界外1m。</w:t>
            </w:r>
          </w:p>
          <w:p w14:paraId="54264CD6">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②预测点位：厂界噪声，在东、南、西、北厂界各设置一个。</w:t>
            </w:r>
          </w:p>
          <w:p w14:paraId="74A74DE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③</w:t>
            </w:r>
            <w:r>
              <w:rPr>
                <w:rFonts w:hint="default" w:ascii="Times New Roman" w:hAnsi="Times New Roman" w:eastAsia="宋体" w:cs="Times New Roman"/>
                <w:color w:val="auto"/>
                <w:sz w:val="24"/>
                <w:highlight w:val="none"/>
              </w:rPr>
              <w:t>厂界噪声预测因子：昼夜等效连续A声级。</w:t>
            </w:r>
          </w:p>
          <w:p w14:paraId="1FE2BFD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④</w:t>
            </w:r>
            <w:r>
              <w:rPr>
                <w:rFonts w:hint="default" w:ascii="Times New Roman" w:hAnsi="Times New Roman" w:eastAsia="宋体" w:cs="Times New Roman"/>
                <w:color w:val="auto"/>
                <w:sz w:val="24"/>
                <w:highlight w:val="none"/>
              </w:rPr>
              <w:t>基础数据</w:t>
            </w:r>
          </w:p>
          <w:p w14:paraId="49C2CBB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项目噪声环境影响预测基础数据见表4-</w:t>
            </w:r>
            <w:r>
              <w:rPr>
                <w:rFonts w:hint="eastAsia" w:cs="Times New Roman"/>
                <w:color w:val="auto"/>
                <w:sz w:val="24"/>
                <w:highlight w:val="none"/>
                <w:lang w:val="en-US" w:eastAsia="zh-CN"/>
              </w:rPr>
              <w:t>33</w:t>
            </w:r>
            <w:r>
              <w:rPr>
                <w:rFonts w:hint="default" w:ascii="Times New Roman" w:hAnsi="Times New Roman" w:eastAsia="宋体" w:cs="Times New Roman"/>
                <w:color w:val="auto"/>
                <w:sz w:val="24"/>
                <w:highlight w:val="none"/>
              </w:rPr>
              <w:t>。</w:t>
            </w:r>
          </w:p>
          <w:p w14:paraId="10E83CA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33</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项目噪声环境影响预测基础数据表</w:t>
            </w:r>
          </w:p>
          <w:tbl>
            <w:tblPr>
              <w:tblStyle w:val="27"/>
              <w:tblW w:w="839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40"/>
              <w:gridCol w:w="2755"/>
              <w:gridCol w:w="2102"/>
              <w:gridCol w:w="2102"/>
            </w:tblGrid>
            <w:tr w14:paraId="34EF31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14:paraId="3FB4B339">
                  <w:pPr>
                    <w:jc w:val="center"/>
                    <w:rPr>
                      <w:rFonts w:hint="default" w:ascii="Times New Roman" w:hAnsi="Times New Roman" w:eastAsia="宋体" w:cs="Times New Roman"/>
                      <w:b/>
                      <w:bCs w:val="0"/>
                      <w:color w:val="auto"/>
                      <w:szCs w:val="21"/>
                      <w:highlight w:val="none"/>
                    </w:rPr>
                  </w:pPr>
                  <w:bookmarkStart w:id="22" w:name="PT_4"/>
                  <w:r>
                    <w:rPr>
                      <w:rFonts w:hint="default" w:ascii="Times New Roman" w:hAnsi="Times New Roman" w:eastAsia="宋体" w:cs="Times New Roman"/>
                      <w:b/>
                      <w:bCs w:val="0"/>
                      <w:color w:val="auto"/>
                      <w:szCs w:val="21"/>
                      <w:highlight w:val="none"/>
                    </w:rPr>
                    <w:t>序号</w:t>
                  </w:r>
                </w:p>
              </w:tc>
              <w:tc>
                <w:tcPr>
                  <w:tcW w:w="2755" w:type="dxa"/>
                  <w:noWrap w:val="0"/>
                  <w:vAlign w:val="center"/>
                </w:tcPr>
                <w:p w14:paraId="570DD87D">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名称</w:t>
                  </w:r>
                </w:p>
              </w:tc>
              <w:tc>
                <w:tcPr>
                  <w:tcW w:w="2102" w:type="dxa"/>
                  <w:noWrap w:val="0"/>
                  <w:vAlign w:val="center"/>
                </w:tcPr>
                <w:p w14:paraId="5D79D606">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2102" w:type="dxa"/>
                  <w:noWrap w:val="0"/>
                  <w:vAlign w:val="center"/>
                </w:tcPr>
                <w:p w14:paraId="3D085BAB">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数据</w:t>
                  </w:r>
                </w:p>
                <w:bookmarkEnd w:id="22"/>
              </w:tc>
            </w:tr>
            <w:tr w14:paraId="1CF9AD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14:paraId="7CBFF2B6">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2755" w:type="dxa"/>
                  <w:noWrap w:val="0"/>
                  <w:vAlign w:val="center"/>
                </w:tcPr>
                <w:p w14:paraId="40D7DF35">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年平均风速</w:t>
                  </w:r>
                </w:p>
              </w:tc>
              <w:tc>
                <w:tcPr>
                  <w:tcW w:w="2102" w:type="dxa"/>
                  <w:noWrap w:val="0"/>
                  <w:vAlign w:val="center"/>
                </w:tcPr>
                <w:p w14:paraId="78683B2D">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m/s</w:t>
                  </w:r>
                </w:p>
              </w:tc>
              <w:tc>
                <w:tcPr>
                  <w:tcW w:w="2102" w:type="dxa"/>
                  <w:noWrap w:val="0"/>
                  <w:vAlign w:val="center"/>
                </w:tcPr>
                <w:p w14:paraId="678934A6">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3.0</w:t>
                  </w:r>
                </w:p>
              </w:tc>
            </w:tr>
            <w:tr w14:paraId="42DD46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14:paraId="442BF7FB">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2755" w:type="dxa"/>
                  <w:noWrap w:val="0"/>
                  <w:vAlign w:val="center"/>
                </w:tcPr>
                <w:p w14:paraId="03D2E7B4">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主导风向</w:t>
                  </w:r>
                </w:p>
              </w:tc>
              <w:tc>
                <w:tcPr>
                  <w:tcW w:w="2102" w:type="dxa"/>
                  <w:noWrap w:val="0"/>
                  <w:vAlign w:val="center"/>
                </w:tcPr>
                <w:p w14:paraId="71D410EB">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02" w:type="dxa"/>
                  <w:noWrap w:val="0"/>
                  <w:vAlign w:val="center"/>
                </w:tcPr>
                <w:p w14:paraId="1479E3CD">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西南风</w:t>
                  </w:r>
                </w:p>
              </w:tc>
            </w:tr>
            <w:tr w14:paraId="3FDB48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14:paraId="6747E341">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2755" w:type="dxa"/>
                  <w:noWrap w:val="0"/>
                  <w:vAlign w:val="center"/>
                </w:tcPr>
                <w:p w14:paraId="68E254BE">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年平均气温</w:t>
                  </w:r>
                </w:p>
              </w:tc>
              <w:tc>
                <w:tcPr>
                  <w:tcW w:w="2102" w:type="dxa"/>
                  <w:noWrap w:val="0"/>
                  <w:vAlign w:val="center"/>
                </w:tcPr>
                <w:p w14:paraId="29E8C46C">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02" w:type="dxa"/>
                  <w:noWrap w:val="0"/>
                  <w:vAlign w:val="center"/>
                </w:tcPr>
                <w:p w14:paraId="4DE9D9DF">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14.4</w:t>
                  </w:r>
                </w:p>
              </w:tc>
            </w:tr>
            <w:tr w14:paraId="06393D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14:paraId="161C3976">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2755" w:type="dxa"/>
                  <w:noWrap w:val="0"/>
                  <w:vAlign w:val="center"/>
                </w:tcPr>
                <w:p w14:paraId="690DD011">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年平均相对湿度</w:t>
                  </w:r>
                </w:p>
              </w:tc>
              <w:tc>
                <w:tcPr>
                  <w:tcW w:w="2102" w:type="dxa"/>
                  <w:noWrap w:val="0"/>
                  <w:vAlign w:val="center"/>
                </w:tcPr>
                <w:p w14:paraId="17370528">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02" w:type="dxa"/>
                  <w:noWrap w:val="0"/>
                  <w:vAlign w:val="center"/>
                </w:tcPr>
                <w:p w14:paraId="5368D478">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r>
            <w:tr w14:paraId="32812D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14:paraId="2C2E8F7D">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w:t>
                  </w:r>
                </w:p>
              </w:tc>
              <w:tc>
                <w:tcPr>
                  <w:tcW w:w="2755" w:type="dxa"/>
                  <w:noWrap w:val="0"/>
                  <w:vAlign w:val="center"/>
                </w:tcPr>
                <w:p w14:paraId="09142887">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大气压强</w:t>
                  </w:r>
                </w:p>
              </w:tc>
              <w:tc>
                <w:tcPr>
                  <w:tcW w:w="2102" w:type="dxa"/>
                  <w:noWrap w:val="0"/>
                  <w:vAlign w:val="center"/>
                </w:tcPr>
                <w:p w14:paraId="56957EE0">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atm</w:t>
                  </w:r>
                </w:p>
              </w:tc>
              <w:tc>
                <w:tcPr>
                  <w:tcW w:w="2102" w:type="dxa"/>
                  <w:noWrap w:val="0"/>
                  <w:vAlign w:val="center"/>
                </w:tcPr>
                <w:p w14:paraId="7BF1E3CE">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r>
          </w:tbl>
          <w:p w14:paraId="4C87B806">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声源和预测点间的地形、高差、障碍物、树林、灌木等的分布情况以及地面覆盖情况（如草地、水面、水泥地面、土质地面等）根据现场踏勘、项目</w:t>
            </w:r>
            <w:bookmarkStart w:id="32" w:name="_GoBack"/>
            <w:bookmarkEnd w:id="32"/>
            <w:r>
              <w:rPr>
                <w:rFonts w:hint="eastAsia" w:cs="Times New Roman"/>
                <w:color w:val="auto"/>
                <w:sz w:val="24"/>
                <w:highlight w:val="none"/>
                <w:lang w:eastAsia="zh-CN"/>
              </w:rPr>
              <w:t>总平面图</w:t>
            </w:r>
            <w:r>
              <w:rPr>
                <w:rFonts w:hint="default" w:ascii="Times New Roman" w:hAnsi="Times New Roman" w:eastAsia="宋体" w:cs="Times New Roman"/>
                <w:color w:val="auto"/>
                <w:sz w:val="24"/>
                <w:highlight w:val="none"/>
              </w:rPr>
              <w:t>等，并结合卫星图片地理信息数据确定，数据精度为10m。</w:t>
            </w:r>
          </w:p>
          <w:p w14:paraId="05AF080C">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（3）声环境影响预测</w:t>
            </w:r>
          </w:p>
          <w:p w14:paraId="46940C68">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建筑物插入损失</w:t>
            </w:r>
            <w:r>
              <w:rPr>
                <w:rFonts w:hint="default" w:ascii="Times New Roman" w:hAnsi="Times New Roman" w:eastAsia="宋体" w:cs="Times New Roman"/>
                <w:color w:val="auto"/>
                <w:sz w:val="24"/>
                <w:highlight w:val="none"/>
                <w:lang w:val="en-US" w:eastAsia="zh-CN"/>
              </w:rPr>
              <w:t>计算</w:t>
            </w:r>
          </w:p>
          <w:p w14:paraId="6664011E">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根据</w:t>
            </w:r>
            <w:r>
              <w:rPr>
                <w:rFonts w:hint="default" w:ascii="Times New Roman" w:hAnsi="Times New Roman" w:eastAsia="宋体" w:cs="Times New Roman"/>
                <w:color w:val="auto"/>
                <w:sz w:val="24"/>
                <w:highlight w:val="none"/>
              </w:rPr>
              <w:t>《环境影响评</w:t>
            </w:r>
            <w:r>
              <w:rPr>
                <w:rFonts w:hint="default" w:ascii="Times New Roman" w:hAnsi="Times New Roman" w:eastAsia="宋体" w:cs="Times New Roman"/>
                <w:color w:val="auto"/>
                <w:kern w:val="0"/>
                <w:sz w:val="24"/>
                <w:highlight w:val="none"/>
                <w:lang w:bidi="ar"/>
              </w:rPr>
              <w:t>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sz w:val="24"/>
                <w:highlight w:val="none"/>
                <w:lang w:eastAsia="zh-CN"/>
              </w:rPr>
              <w:t>附录</w:t>
            </w:r>
            <w:r>
              <w:rPr>
                <w:rFonts w:hint="default" w:ascii="Times New Roman" w:hAnsi="Times New Roman" w:eastAsia="宋体" w:cs="Times New Roman"/>
                <w:color w:val="auto"/>
                <w:sz w:val="24"/>
                <w:highlight w:val="none"/>
                <w:lang w:val="en-US" w:eastAsia="zh-CN"/>
              </w:rPr>
              <w:t>B可知，</w:t>
            </w:r>
            <w:r>
              <w:rPr>
                <w:rFonts w:hint="default" w:ascii="Times New Roman" w:hAnsi="Times New Roman" w:eastAsia="宋体" w:cs="Times New Roman"/>
                <w:color w:val="auto"/>
                <w:sz w:val="24"/>
                <w:highlight w:val="none"/>
              </w:rPr>
              <w:t>室内声源可采用等效室外声源声功率级法进行计算。设靠近开口处（或窗户）室内、室外某倍频带的声压级分别为L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和L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。若声源所在室内声场为近似扩散声场，则室外的倍频带声压级可按以下公式近似求出：</w:t>
            </w:r>
          </w:p>
          <w:p w14:paraId="32D64993">
            <w:pPr>
              <w:snapToGrid w:val="0"/>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-（TL+6）</w:t>
            </w:r>
          </w:p>
          <w:p w14:paraId="32E3664D">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式中：TL—隔墙（或窗户）倍频带的隔声量，dB。</w:t>
            </w:r>
          </w:p>
          <w:p w14:paraId="5AC2D417">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综上可知，建筑物插入损失等于建筑物隔音量+6。本项目高噪声设备安装消声减振装置，根据《不同厚度墙壁和常用板材的隔声量汇表》可知，单层板平均隔声量为20.5dB（A），</w:t>
            </w:r>
            <w:r>
              <w:rPr>
                <w:rFonts w:hint="eastAsia"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eastAsia="zh-CN"/>
              </w:rPr>
              <w:t>建筑物隔音量选取</w:t>
            </w:r>
            <w:r>
              <w:rPr>
                <w:rFonts w:hint="eastAsia" w:cs="Times New Roman"/>
                <w:color w:val="auto"/>
                <w:sz w:val="24"/>
                <w:szCs w:val="24"/>
                <w:highlight w:val="none"/>
                <w:lang w:val="en-US" w:eastAsia="zh-CN"/>
              </w:rPr>
              <w:t>20.5</w:t>
            </w:r>
            <w:r>
              <w:rPr>
                <w:rFonts w:hint="default" w:ascii="Times New Roman" w:hAnsi="Times New Roman" w:eastAsia="宋体" w:cs="Times New Roman"/>
                <w:color w:val="auto"/>
                <w:sz w:val="24"/>
                <w:szCs w:val="24"/>
                <w:highlight w:val="none"/>
                <w:lang w:eastAsia="zh-CN"/>
              </w:rPr>
              <w:t>dB（A），则建筑物插入损失即为26.5dB（A）</w:t>
            </w:r>
            <w:r>
              <w:rPr>
                <w:rFonts w:hint="eastAsia" w:cs="Times New Roman"/>
                <w:color w:val="auto"/>
                <w:sz w:val="24"/>
                <w:szCs w:val="24"/>
                <w:highlight w:val="none"/>
                <w:lang w:eastAsia="zh-CN"/>
              </w:rPr>
              <w:t>。</w:t>
            </w:r>
          </w:p>
          <w:p w14:paraId="06E3EA2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预测方法</w:t>
            </w:r>
          </w:p>
          <w:p w14:paraId="7084153B">
            <w:pPr>
              <w:widowControl/>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噪声传播过程中有三个要素：即声源、传播途径和接受者。根据项目采取的治理措施及降噪效果，采用《环境影响评价技术导则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推荐的工业噪声预测模式，本评价只考虑几何发散引起的衰减量来预测项目对厂界的贡献点的影响。</w:t>
            </w:r>
          </w:p>
          <w:p w14:paraId="66A63B9C">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highlight w:val="none"/>
                <w:lang w:bidi="ar"/>
              </w:rPr>
              <w:t>预测方法为：依据各噪声源与各预测点的距离计算出各噪声设备产生的噪声对各预测点的影响值，并根据能量合成法叠加各噪声设备对各预测点的噪声贡献值，来预测分析本项目</w:t>
            </w:r>
            <w:r>
              <w:rPr>
                <w:rFonts w:hint="default" w:ascii="Times New Roman" w:hAnsi="Times New Roman" w:eastAsia="宋体" w:cs="Times New Roman"/>
                <w:color w:val="auto"/>
                <w:kern w:val="0"/>
                <w:sz w:val="24"/>
                <w:highlight w:val="none"/>
                <w:lang w:eastAsia="zh-CN" w:bidi="ar"/>
              </w:rPr>
              <w:t>运营期</w:t>
            </w:r>
            <w:r>
              <w:rPr>
                <w:rFonts w:hint="default" w:ascii="Times New Roman" w:hAnsi="Times New Roman" w:eastAsia="宋体" w:cs="Times New Roman"/>
                <w:color w:val="auto"/>
                <w:kern w:val="0"/>
                <w:sz w:val="24"/>
                <w:highlight w:val="none"/>
                <w:lang w:bidi="ar"/>
              </w:rPr>
              <w:t>对厂界及周围声环境的影响。</w:t>
            </w:r>
          </w:p>
          <w:p w14:paraId="79F905B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预测模式</w:t>
            </w:r>
          </w:p>
          <w:p w14:paraId="15B9B888">
            <w:pPr>
              <w:widowControl/>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采用《环境影响评价技术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中的噪声预测模式预测本项目的主要噪声设备对周围声环境的影响。预测模式如下：</w:t>
            </w:r>
          </w:p>
          <w:p w14:paraId="7210DF9E">
            <w:pPr>
              <w:pStyle w:val="56"/>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A、</w:t>
            </w:r>
            <w:r>
              <w:rPr>
                <w:rFonts w:hint="default" w:ascii="Times New Roman" w:hAnsi="Times New Roman" w:eastAsia="宋体" w:cs="Times New Roman"/>
                <w:color w:val="auto"/>
                <w:highlight w:val="none"/>
              </w:rPr>
              <w:t>本项目只考虑几何发散衰减，公式按照：</w:t>
            </w:r>
          </w:p>
          <w:p w14:paraId="2D2D170F">
            <w:pPr>
              <w:pStyle w:val="56"/>
              <w:keepNext w:val="0"/>
              <w:keepLines w:val="0"/>
              <w:pageBreakBefore w:val="0"/>
              <w:tabs>
                <w:tab w:val="bar" w:pos="9540"/>
              </w:tabs>
              <w:kinsoku/>
              <w:wordWrap/>
              <w:overflowPunct/>
              <w:topLinePunct w:val="0"/>
              <w:bidi w:val="0"/>
              <w:snapToGrid w:val="0"/>
              <w:spacing w:after="0" w:line="360" w:lineRule="auto"/>
              <w:ind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vertAlign w:val="subscript"/>
              </w:rPr>
              <w:t>0</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p>
          <w:p w14:paraId="01473D8E">
            <w:pPr>
              <w:pStyle w:val="15"/>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——距声源r处的A声级，dB（A）；</w:t>
            </w:r>
          </w:p>
          <w:p w14:paraId="2706704B">
            <w:pPr>
              <w:pStyle w:val="15"/>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处的A声级，dB（A）；</w:t>
            </w:r>
          </w:p>
          <w:p w14:paraId="37B7D499">
            <w:pPr>
              <w:pStyle w:val="56"/>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r>
              <w:rPr>
                <w:rFonts w:hint="default" w:ascii="Times New Roman" w:hAnsi="Times New Roman" w:eastAsia="宋体" w:cs="Times New Roman"/>
                <w:color w:val="auto"/>
                <w:highlight w:val="none"/>
              </w:rPr>
              <w:t>——几何发散引起的衰减，dB；</w:t>
            </w:r>
          </w:p>
          <w:p w14:paraId="5F7C88A2">
            <w:pPr>
              <w:pStyle w:val="56"/>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B、</w:t>
            </w:r>
            <w:r>
              <w:rPr>
                <w:rFonts w:hint="default" w:ascii="Times New Roman" w:hAnsi="Times New Roman" w:eastAsia="宋体" w:cs="Times New Roman"/>
                <w:color w:val="auto"/>
                <w:highlight w:val="none"/>
              </w:rPr>
              <w:t>声源的几何发散衰减公式：</w:t>
            </w:r>
          </w:p>
          <w:p w14:paraId="73A80F37">
            <w:pPr>
              <w:pStyle w:val="15"/>
              <w:keepNext w:val="0"/>
              <w:keepLines w:val="0"/>
              <w:pageBreakBefore w:val="0"/>
              <w:kinsoku/>
              <w:wordWrap/>
              <w:overflowPunct/>
              <w:topLinePunct w:val="0"/>
              <w:bidi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=20lg（r/r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w:t>
            </w:r>
          </w:p>
          <w:p w14:paraId="2907237C">
            <w:pPr>
              <w:pStyle w:val="15"/>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——几何发散引起的衰减，dB；</w:t>
            </w:r>
          </w:p>
          <w:p w14:paraId="43BB1A66">
            <w:pPr>
              <w:pStyle w:val="56"/>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r——预测点距声源的距离；</w:t>
            </w:r>
          </w:p>
          <w:p w14:paraId="6C90A5F0">
            <w:pPr>
              <w:pStyle w:val="15"/>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——参考位置距声源的距离；</w:t>
            </w:r>
          </w:p>
          <w:p w14:paraId="5A9CF945">
            <w:pPr>
              <w:pStyle w:val="56"/>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C、</w:t>
            </w:r>
            <w:r>
              <w:rPr>
                <w:rFonts w:hint="default" w:ascii="Times New Roman" w:hAnsi="Times New Roman" w:eastAsia="宋体" w:cs="Times New Roman"/>
                <w:color w:val="auto"/>
                <w:highlight w:val="none"/>
              </w:rPr>
              <w:t>工业企业噪声计算公式：</w:t>
            </w:r>
          </w:p>
          <w:p w14:paraId="424AB244">
            <w:pPr>
              <w:pStyle w:val="15"/>
              <w:keepNext w:val="0"/>
              <w:keepLines w:val="0"/>
              <w:pageBreakBefore w:val="0"/>
              <w:kinsoku/>
              <w:wordWrap/>
              <w:overflowPunct/>
              <w:topLinePunct w:val="0"/>
              <w:bidi w:val="0"/>
              <w:adjustRightInd w:val="0"/>
              <w:snapToGrid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4"/>
                <w:sz w:val="24"/>
                <w:highlight w:val="none"/>
              </w:rPr>
              <w:object>
                <v:shape id="_x0000_i1025" o:spt="75" type="#_x0000_t75" style="height:40pt;width:203pt;" o:ole="t" filled="f" o:preferrelative="t" stroked="f" coordsize="21600,21600">
                  <v:path/>
                  <v:fill on="f" focussize="0,0"/>
                  <v:stroke on="f"/>
                  <v:imagedata r:id="rId22" o:title=""/>
                  <o:lock v:ext="edit" aspectratio="t"/>
                  <w10:wrap type="none"/>
                  <w10:anchorlock/>
                </v:shape>
                <o:OLEObject Type="Embed" ProgID="Equation.KSEE3" ShapeID="_x0000_i1025" DrawAspect="Content" ObjectID="_1468075730" r:id="rId21">
                  <o:LockedField>false</o:LockedField>
                </o:OLEObject>
              </w:object>
            </w:r>
          </w:p>
          <w:p w14:paraId="6B7EC008">
            <w:pPr>
              <w:pStyle w:val="15"/>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eqg</w:t>
            </w:r>
            <w:r>
              <w:rPr>
                <w:rFonts w:hint="default" w:ascii="Times New Roman" w:hAnsi="Times New Roman" w:eastAsia="宋体" w:cs="Times New Roman"/>
                <w:color w:val="auto"/>
                <w:sz w:val="24"/>
                <w:highlight w:val="none"/>
              </w:rPr>
              <w:t>——建设项目声源在预测点产生的噪声贡献值，dB；</w:t>
            </w:r>
          </w:p>
          <w:p w14:paraId="0056B313">
            <w:pPr>
              <w:pStyle w:val="15"/>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T——用于计算等效声级的时间，s；</w:t>
            </w:r>
          </w:p>
          <w:p w14:paraId="710B936F">
            <w:pPr>
              <w:pStyle w:val="56"/>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N——室外声源个数；</w:t>
            </w:r>
          </w:p>
          <w:p w14:paraId="3795633A">
            <w:pPr>
              <w:pStyle w:val="56"/>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w:t>
            </w:r>
            <w:r>
              <w:rPr>
                <w:rFonts w:hint="default" w:ascii="Times New Roman" w:hAnsi="Times New Roman" w:eastAsia="宋体" w:cs="Times New Roman"/>
                <w:color w:val="auto"/>
                <w:highlight w:val="none"/>
                <w:vertAlign w:val="subscript"/>
              </w:rPr>
              <w:t>i</w:t>
            </w:r>
            <w:r>
              <w:rPr>
                <w:rFonts w:hint="default" w:ascii="Times New Roman" w:hAnsi="Times New Roman" w:eastAsia="宋体" w:cs="Times New Roman"/>
                <w:color w:val="auto"/>
                <w:highlight w:val="none"/>
              </w:rPr>
              <w:t>——在T时间内i声源工作时间，s；</w:t>
            </w:r>
          </w:p>
          <w:p w14:paraId="3C84EB89">
            <w:pPr>
              <w:pStyle w:val="56"/>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M——等效室外声源个数；</w:t>
            </w:r>
          </w:p>
          <w:p w14:paraId="0A23B230">
            <w:pPr>
              <w:pStyle w:val="56"/>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highlight w:val="none"/>
              </w:rPr>
              <w:t>tj——在T时间内j声</w:t>
            </w:r>
            <w:r>
              <w:rPr>
                <w:rFonts w:hint="default" w:ascii="Times New Roman" w:hAnsi="Times New Roman" w:eastAsia="宋体" w:cs="Times New Roman"/>
                <w:color w:val="auto"/>
                <w:sz w:val="24"/>
                <w:highlight w:val="none"/>
              </w:rPr>
              <w:t>源工作时间，s。</w:t>
            </w:r>
          </w:p>
          <w:p w14:paraId="79DAF9B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③预测结果</w:t>
            </w:r>
          </w:p>
          <w:p w14:paraId="2B6996A1">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highlight w:val="none"/>
                <w:lang w:bidi="ar"/>
              </w:rPr>
              <w:t>本次环评厂界噪声预测采用环保小智噪声助手预测软件预测，通过预测模型计算，项目厂界噪声预测结果与达标分析见表4-</w:t>
            </w:r>
            <w:r>
              <w:rPr>
                <w:rFonts w:hint="eastAsia" w:cs="Times New Roman"/>
                <w:color w:val="auto"/>
                <w:kern w:val="0"/>
                <w:sz w:val="24"/>
                <w:highlight w:val="none"/>
                <w:lang w:val="en-US" w:eastAsia="zh-CN" w:bidi="ar"/>
              </w:rPr>
              <w:t>34</w:t>
            </w:r>
            <w:r>
              <w:rPr>
                <w:rFonts w:hint="default" w:ascii="Times New Roman" w:hAnsi="Times New Roman" w:eastAsia="宋体" w:cs="Times New Roman"/>
                <w:color w:val="auto"/>
                <w:kern w:val="0"/>
                <w:sz w:val="24"/>
                <w:highlight w:val="none"/>
                <w:lang w:bidi="ar"/>
              </w:rPr>
              <w:t>。</w:t>
            </w:r>
          </w:p>
          <w:p w14:paraId="4360EA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34</w:t>
            </w:r>
            <w:r>
              <w:rPr>
                <w:rFonts w:hint="default" w:ascii="Times New Roman" w:hAnsi="Times New Roman" w:eastAsia="宋体" w:cs="Times New Roman"/>
                <w:b/>
                <w:bCs/>
                <w:color w:val="auto"/>
                <w:sz w:val="21"/>
                <w:szCs w:val="21"/>
                <w:highlight w:val="none"/>
              </w:rPr>
              <w:t xml:space="preserve">  厂界噪声预测结果与达标分析表</w:t>
            </w:r>
            <w:bookmarkStart w:id="23" w:name="PT_7"/>
          </w:p>
          <w:tbl>
            <w:tblPr>
              <w:tblStyle w:val="27"/>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01"/>
              <w:gridCol w:w="803"/>
              <w:gridCol w:w="803"/>
              <w:gridCol w:w="1011"/>
              <w:gridCol w:w="785"/>
              <w:gridCol w:w="1417"/>
              <w:gridCol w:w="1418"/>
              <w:gridCol w:w="1188"/>
            </w:tblGrid>
            <w:tr w14:paraId="621A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restart"/>
                  <w:shd w:val="clear" w:color="auto" w:fill="auto"/>
                  <w:vAlign w:val="center"/>
                </w:tcPr>
                <w:p w14:paraId="7449EC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2617" w:type="dxa"/>
                  <w:gridSpan w:val="3"/>
                  <w:shd w:val="clear" w:color="auto" w:fill="auto"/>
                  <w:vAlign w:val="center"/>
                </w:tcPr>
                <w:p w14:paraId="53C9191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lang w:val="en-US" w:eastAsia="zh-CN"/>
                    </w:rPr>
                    <w:t>最大值点</w:t>
                  </w:r>
                  <w:r>
                    <w:rPr>
                      <w:rFonts w:hint="default" w:ascii="Times New Roman" w:hAnsi="Times New Roman" w:eastAsia="宋体" w:cs="Times New Roman"/>
                      <w:b/>
                      <w:color w:val="auto"/>
                      <w:sz w:val="21"/>
                      <w:szCs w:val="21"/>
                      <w:highlight w:val="none"/>
                    </w:rPr>
                    <w:t>空间相对位置/m</w:t>
                  </w:r>
                </w:p>
              </w:tc>
              <w:tc>
                <w:tcPr>
                  <w:tcW w:w="785" w:type="dxa"/>
                  <w:vMerge w:val="restart"/>
                  <w:shd w:val="clear" w:color="auto" w:fill="auto"/>
                  <w:vAlign w:val="center"/>
                </w:tcPr>
                <w:p w14:paraId="3FE82C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1417" w:type="dxa"/>
                  <w:vMerge w:val="restart"/>
                  <w:shd w:val="clear" w:color="auto" w:fill="auto"/>
                  <w:vAlign w:val="center"/>
                </w:tcPr>
                <w:p w14:paraId="50624B1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贡献值（dB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418" w:type="dxa"/>
                  <w:vMerge w:val="restart"/>
                  <w:shd w:val="clear" w:color="auto" w:fill="auto"/>
                  <w:vAlign w:val="center"/>
                </w:tcPr>
                <w:p w14:paraId="66BADE4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188" w:type="dxa"/>
                  <w:vMerge w:val="restart"/>
                  <w:shd w:val="clear" w:color="auto" w:fill="auto"/>
                  <w:vAlign w:val="center"/>
                </w:tcPr>
                <w:p w14:paraId="7372CDF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14:paraId="51A4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continue"/>
                  <w:shd w:val="clear" w:color="auto" w:fill="auto"/>
                  <w:vAlign w:val="center"/>
                </w:tcPr>
                <w:p w14:paraId="01A71BD9">
                  <w:pPr>
                    <w:jc w:val="center"/>
                    <w:rPr>
                      <w:rFonts w:hint="default" w:ascii="Times New Roman" w:hAnsi="Times New Roman" w:eastAsia="宋体" w:cs="Times New Roman"/>
                      <w:color w:val="auto"/>
                      <w:sz w:val="21"/>
                      <w:szCs w:val="21"/>
                      <w:highlight w:val="none"/>
                    </w:rPr>
                  </w:pPr>
                </w:p>
              </w:tc>
              <w:tc>
                <w:tcPr>
                  <w:tcW w:w="803" w:type="dxa"/>
                  <w:shd w:val="clear" w:color="auto" w:fill="auto"/>
                  <w:vAlign w:val="center"/>
                </w:tcPr>
                <w:p w14:paraId="7BAC1B3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803" w:type="dxa"/>
                  <w:shd w:val="clear" w:color="auto" w:fill="auto"/>
                  <w:vAlign w:val="center"/>
                </w:tcPr>
                <w:p w14:paraId="2F3822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1011" w:type="dxa"/>
                  <w:shd w:val="clear" w:color="auto" w:fill="auto"/>
                  <w:vAlign w:val="center"/>
                </w:tcPr>
                <w:p w14:paraId="29682B7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785" w:type="dxa"/>
                  <w:vMerge w:val="continue"/>
                  <w:shd w:val="clear" w:color="auto" w:fill="auto"/>
                  <w:vAlign w:val="center"/>
                </w:tcPr>
                <w:p w14:paraId="27072345">
                  <w:pPr>
                    <w:jc w:val="center"/>
                    <w:rPr>
                      <w:rFonts w:hint="default" w:ascii="Times New Roman" w:hAnsi="Times New Roman" w:eastAsia="宋体" w:cs="Times New Roman"/>
                      <w:color w:val="auto"/>
                      <w:sz w:val="21"/>
                      <w:szCs w:val="21"/>
                      <w:highlight w:val="none"/>
                    </w:rPr>
                  </w:pPr>
                </w:p>
              </w:tc>
              <w:tc>
                <w:tcPr>
                  <w:tcW w:w="1417" w:type="dxa"/>
                  <w:vMerge w:val="continue"/>
                  <w:shd w:val="clear" w:color="auto" w:fill="auto"/>
                  <w:vAlign w:val="center"/>
                </w:tcPr>
                <w:p w14:paraId="63F0F23F">
                  <w:pPr>
                    <w:jc w:val="center"/>
                    <w:rPr>
                      <w:rFonts w:hint="default" w:ascii="Times New Roman" w:hAnsi="Times New Roman" w:eastAsia="宋体" w:cs="Times New Roman"/>
                      <w:color w:val="auto"/>
                      <w:sz w:val="21"/>
                      <w:szCs w:val="21"/>
                      <w:highlight w:val="none"/>
                    </w:rPr>
                  </w:pPr>
                </w:p>
              </w:tc>
              <w:tc>
                <w:tcPr>
                  <w:tcW w:w="1418" w:type="dxa"/>
                  <w:vMerge w:val="continue"/>
                  <w:shd w:val="clear" w:color="auto" w:fill="auto"/>
                  <w:vAlign w:val="center"/>
                </w:tcPr>
                <w:p w14:paraId="2C6BF56E">
                  <w:pPr>
                    <w:jc w:val="center"/>
                    <w:rPr>
                      <w:rFonts w:hint="default" w:ascii="Times New Roman" w:hAnsi="Times New Roman" w:eastAsia="宋体" w:cs="Times New Roman"/>
                      <w:color w:val="auto"/>
                      <w:sz w:val="21"/>
                      <w:szCs w:val="21"/>
                      <w:highlight w:val="none"/>
                    </w:rPr>
                  </w:pPr>
                </w:p>
              </w:tc>
              <w:tc>
                <w:tcPr>
                  <w:tcW w:w="1188" w:type="dxa"/>
                  <w:vMerge w:val="continue"/>
                  <w:shd w:val="clear" w:color="auto" w:fill="auto"/>
                  <w:vAlign w:val="center"/>
                </w:tcPr>
                <w:p w14:paraId="4EE9A572">
                  <w:pPr>
                    <w:jc w:val="center"/>
                    <w:rPr>
                      <w:rFonts w:hint="default" w:ascii="Times New Roman" w:hAnsi="Times New Roman" w:eastAsia="宋体" w:cs="Times New Roman"/>
                      <w:color w:val="auto"/>
                      <w:sz w:val="21"/>
                      <w:szCs w:val="21"/>
                      <w:highlight w:val="none"/>
                    </w:rPr>
                  </w:pPr>
                </w:p>
              </w:tc>
            </w:tr>
            <w:tr w14:paraId="0C46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1" w:hRule="atLeast"/>
                <w:jc w:val="center"/>
              </w:trPr>
              <w:tc>
                <w:tcPr>
                  <w:tcW w:w="1101" w:type="dxa"/>
                  <w:vMerge w:val="restart"/>
                  <w:shd w:val="clear" w:color="auto" w:fill="auto"/>
                  <w:vAlign w:val="center"/>
                </w:tcPr>
                <w:p w14:paraId="141216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803" w:type="dxa"/>
                  <w:shd w:val="clear" w:color="auto" w:fill="auto"/>
                  <w:vAlign w:val="center"/>
                </w:tcPr>
                <w:p w14:paraId="5ED035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89.1</w:t>
                  </w:r>
                </w:p>
              </w:tc>
              <w:tc>
                <w:tcPr>
                  <w:tcW w:w="803" w:type="dxa"/>
                  <w:shd w:val="clear" w:color="auto" w:fill="auto"/>
                  <w:vAlign w:val="center"/>
                </w:tcPr>
                <w:p w14:paraId="41629F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86.2</w:t>
                  </w:r>
                </w:p>
              </w:tc>
              <w:tc>
                <w:tcPr>
                  <w:tcW w:w="1011" w:type="dxa"/>
                  <w:shd w:val="clear" w:color="auto" w:fill="auto"/>
                  <w:vAlign w:val="center"/>
                </w:tcPr>
                <w:p w14:paraId="14C77C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785" w:type="dxa"/>
                  <w:shd w:val="clear" w:color="auto" w:fill="auto"/>
                  <w:vAlign w:val="center"/>
                </w:tcPr>
                <w:p w14:paraId="09AC85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17" w:type="dxa"/>
                  <w:shd w:val="clear" w:color="auto" w:fill="auto"/>
                  <w:vAlign w:val="center"/>
                </w:tcPr>
                <w:p w14:paraId="7990C52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418" w:type="dxa"/>
                  <w:shd w:val="clear" w:color="auto" w:fill="auto"/>
                  <w:vAlign w:val="center"/>
                </w:tcPr>
                <w:p w14:paraId="262BE3C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1188" w:type="dxa"/>
                  <w:shd w:val="clear" w:color="auto" w:fill="auto"/>
                  <w:vAlign w:val="center"/>
                </w:tcPr>
                <w:p w14:paraId="07EA2F4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44C7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1" w:hRule="atLeast"/>
                <w:jc w:val="center"/>
              </w:trPr>
              <w:tc>
                <w:tcPr>
                  <w:tcW w:w="1101" w:type="dxa"/>
                  <w:vMerge w:val="continue"/>
                  <w:shd w:val="clear" w:color="auto" w:fill="auto"/>
                  <w:vAlign w:val="center"/>
                </w:tcPr>
                <w:p w14:paraId="46E3424B">
                  <w:pPr>
                    <w:jc w:val="center"/>
                    <w:rPr>
                      <w:color w:val="auto"/>
                      <w:highlight w:val="none"/>
                    </w:rPr>
                  </w:pPr>
                </w:p>
              </w:tc>
              <w:tc>
                <w:tcPr>
                  <w:tcW w:w="803" w:type="dxa"/>
                  <w:shd w:val="clear" w:color="auto" w:fill="auto"/>
                  <w:vAlign w:val="center"/>
                </w:tcPr>
                <w:p w14:paraId="0505D95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89.1</w:t>
                  </w:r>
                </w:p>
              </w:tc>
              <w:tc>
                <w:tcPr>
                  <w:tcW w:w="803" w:type="dxa"/>
                  <w:shd w:val="clear" w:color="auto" w:fill="auto"/>
                  <w:vAlign w:val="center"/>
                </w:tcPr>
                <w:p w14:paraId="21BD87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86.2</w:t>
                  </w:r>
                </w:p>
              </w:tc>
              <w:tc>
                <w:tcPr>
                  <w:tcW w:w="1011" w:type="dxa"/>
                  <w:shd w:val="clear" w:color="auto" w:fill="auto"/>
                  <w:vAlign w:val="center"/>
                </w:tcPr>
                <w:p w14:paraId="7B7D3D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785" w:type="dxa"/>
                  <w:shd w:val="clear" w:color="auto" w:fill="auto"/>
                  <w:vAlign w:val="center"/>
                </w:tcPr>
                <w:p w14:paraId="23FDDC3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1417" w:type="dxa"/>
                  <w:shd w:val="clear" w:color="auto" w:fill="auto"/>
                  <w:vAlign w:val="center"/>
                </w:tcPr>
                <w:p w14:paraId="5F159EF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418" w:type="dxa"/>
                  <w:shd w:val="clear" w:color="auto" w:fill="auto"/>
                  <w:vAlign w:val="center"/>
                </w:tcPr>
                <w:p w14:paraId="1873D46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1188" w:type="dxa"/>
                  <w:shd w:val="clear" w:color="auto" w:fill="auto"/>
                  <w:vAlign w:val="center"/>
                </w:tcPr>
                <w:p w14:paraId="355F849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0BB4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1" w:hRule="atLeast"/>
                <w:jc w:val="center"/>
              </w:trPr>
              <w:tc>
                <w:tcPr>
                  <w:tcW w:w="1101" w:type="dxa"/>
                  <w:vMerge w:val="restart"/>
                  <w:shd w:val="clear" w:color="auto" w:fill="auto"/>
                  <w:vAlign w:val="center"/>
                </w:tcPr>
                <w:p w14:paraId="3A2638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南侧</w:t>
                  </w:r>
                </w:p>
              </w:tc>
              <w:tc>
                <w:tcPr>
                  <w:tcW w:w="803" w:type="dxa"/>
                  <w:shd w:val="clear" w:color="auto" w:fill="auto"/>
                  <w:vAlign w:val="center"/>
                </w:tcPr>
                <w:p w14:paraId="42A027A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40.4</w:t>
                  </w:r>
                </w:p>
              </w:tc>
              <w:tc>
                <w:tcPr>
                  <w:tcW w:w="803" w:type="dxa"/>
                  <w:shd w:val="clear" w:color="auto" w:fill="auto"/>
                  <w:vAlign w:val="center"/>
                </w:tcPr>
                <w:p w14:paraId="403668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-105.5</w:t>
                  </w:r>
                </w:p>
              </w:tc>
              <w:tc>
                <w:tcPr>
                  <w:tcW w:w="1011" w:type="dxa"/>
                  <w:shd w:val="clear" w:color="auto" w:fill="auto"/>
                  <w:vAlign w:val="center"/>
                </w:tcPr>
                <w:p w14:paraId="366E70D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785" w:type="dxa"/>
                  <w:shd w:val="clear" w:color="auto" w:fill="auto"/>
                  <w:vAlign w:val="center"/>
                </w:tcPr>
                <w:p w14:paraId="1811740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17" w:type="dxa"/>
                  <w:shd w:val="clear" w:color="auto" w:fill="auto"/>
                  <w:vAlign w:val="center"/>
                </w:tcPr>
                <w:p w14:paraId="791E29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418" w:type="dxa"/>
                  <w:shd w:val="clear" w:color="auto" w:fill="auto"/>
                  <w:vAlign w:val="center"/>
                </w:tcPr>
                <w:p w14:paraId="5970855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65</w:t>
                  </w:r>
                </w:p>
              </w:tc>
              <w:tc>
                <w:tcPr>
                  <w:tcW w:w="1188" w:type="dxa"/>
                  <w:shd w:val="clear" w:color="auto" w:fill="auto"/>
                  <w:vAlign w:val="center"/>
                </w:tcPr>
                <w:p w14:paraId="5718E5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6011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151" w:hRule="atLeast"/>
                <w:jc w:val="center"/>
              </w:trPr>
              <w:tc>
                <w:tcPr>
                  <w:tcW w:w="1101" w:type="dxa"/>
                  <w:vMerge w:val="continue"/>
                  <w:shd w:val="clear" w:color="auto" w:fill="auto"/>
                  <w:vAlign w:val="center"/>
                </w:tcPr>
                <w:p w14:paraId="008ED4F3">
                  <w:pPr>
                    <w:jc w:val="center"/>
                    <w:rPr>
                      <w:color w:val="auto"/>
                      <w:highlight w:val="none"/>
                    </w:rPr>
                  </w:pPr>
                </w:p>
              </w:tc>
              <w:tc>
                <w:tcPr>
                  <w:tcW w:w="803" w:type="dxa"/>
                  <w:shd w:val="clear" w:color="auto" w:fill="auto"/>
                  <w:vAlign w:val="center"/>
                </w:tcPr>
                <w:p w14:paraId="23AB22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40.4</w:t>
                  </w:r>
                </w:p>
              </w:tc>
              <w:tc>
                <w:tcPr>
                  <w:tcW w:w="803" w:type="dxa"/>
                  <w:shd w:val="clear" w:color="auto" w:fill="auto"/>
                  <w:vAlign w:val="center"/>
                </w:tcPr>
                <w:p w14:paraId="4BF840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-105.5</w:t>
                  </w:r>
                </w:p>
              </w:tc>
              <w:tc>
                <w:tcPr>
                  <w:tcW w:w="1011" w:type="dxa"/>
                  <w:shd w:val="clear" w:color="auto" w:fill="auto"/>
                  <w:vAlign w:val="center"/>
                </w:tcPr>
                <w:p w14:paraId="151B20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785" w:type="dxa"/>
                  <w:shd w:val="clear" w:color="auto" w:fill="auto"/>
                  <w:vAlign w:val="center"/>
                </w:tcPr>
                <w:p w14:paraId="29EEB5C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1417" w:type="dxa"/>
                  <w:shd w:val="clear" w:color="auto" w:fill="auto"/>
                  <w:vAlign w:val="center"/>
                </w:tcPr>
                <w:p w14:paraId="5E85A8B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418" w:type="dxa"/>
                  <w:shd w:val="clear" w:color="auto" w:fill="auto"/>
                  <w:vAlign w:val="center"/>
                </w:tcPr>
                <w:p w14:paraId="74FA1E8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1188" w:type="dxa"/>
                  <w:shd w:val="clear" w:color="auto" w:fill="auto"/>
                  <w:vAlign w:val="center"/>
                </w:tcPr>
                <w:p w14:paraId="7D1BFB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05A9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1" w:hRule="atLeast"/>
                <w:jc w:val="center"/>
              </w:trPr>
              <w:tc>
                <w:tcPr>
                  <w:tcW w:w="1101" w:type="dxa"/>
                  <w:vMerge w:val="restart"/>
                  <w:shd w:val="clear" w:color="auto" w:fill="auto"/>
                  <w:vAlign w:val="center"/>
                </w:tcPr>
                <w:p w14:paraId="68E7CC7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西侧</w:t>
                  </w:r>
                </w:p>
              </w:tc>
              <w:tc>
                <w:tcPr>
                  <w:tcW w:w="803" w:type="dxa"/>
                  <w:shd w:val="clear" w:color="auto" w:fill="auto"/>
                  <w:vAlign w:val="center"/>
                </w:tcPr>
                <w:p w14:paraId="38B1BEE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-77.4</w:t>
                  </w:r>
                </w:p>
              </w:tc>
              <w:tc>
                <w:tcPr>
                  <w:tcW w:w="803" w:type="dxa"/>
                  <w:shd w:val="clear" w:color="auto" w:fill="auto"/>
                  <w:vAlign w:val="center"/>
                </w:tcPr>
                <w:p w14:paraId="221F32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45.1</w:t>
                  </w:r>
                </w:p>
              </w:tc>
              <w:tc>
                <w:tcPr>
                  <w:tcW w:w="1011" w:type="dxa"/>
                  <w:shd w:val="clear" w:color="auto" w:fill="auto"/>
                  <w:vAlign w:val="center"/>
                </w:tcPr>
                <w:p w14:paraId="7C345C6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785" w:type="dxa"/>
                  <w:shd w:val="clear" w:color="auto" w:fill="auto"/>
                  <w:vAlign w:val="center"/>
                </w:tcPr>
                <w:p w14:paraId="599B3F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17" w:type="dxa"/>
                  <w:shd w:val="clear" w:color="auto" w:fill="auto"/>
                  <w:vAlign w:val="center"/>
                </w:tcPr>
                <w:p w14:paraId="0BB843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50.7</w:t>
                  </w:r>
                </w:p>
              </w:tc>
              <w:tc>
                <w:tcPr>
                  <w:tcW w:w="1418" w:type="dxa"/>
                  <w:shd w:val="clear" w:color="auto" w:fill="auto"/>
                  <w:vAlign w:val="center"/>
                </w:tcPr>
                <w:p w14:paraId="0B9DA83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65</w:t>
                  </w:r>
                </w:p>
              </w:tc>
              <w:tc>
                <w:tcPr>
                  <w:tcW w:w="1188" w:type="dxa"/>
                  <w:shd w:val="clear" w:color="auto" w:fill="auto"/>
                  <w:vAlign w:val="center"/>
                </w:tcPr>
                <w:p w14:paraId="3BB19EC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24E6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101" w:type="dxa"/>
                  <w:vMerge w:val="continue"/>
                  <w:shd w:val="clear" w:color="auto" w:fill="auto"/>
                  <w:vAlign w:val="center"/>
                </w:tcPr>
                <w:p w14:paraId="35BA1829">
                  <w:pPr>
                    <w:jc w:val="center"/>
                    <w:rPr>
                      <w:color w:val="auto"/>
                      <w:highlight w:val="none"/>
                    </w:rPr>
                  </w:pPr>
                </w:p>
              </w:tc>
              <w:tc>
                <w:tcPr>
                  <w:tcW w:w="803" w:type="dxa"/>
                  <w:shd w:val="clear" w:color="auto" w:fill="auto"/>
                  <w:vAlign w:val="center"/>
                </w:tcPr>
                <w:p w14:paraId="2269C1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-77.4</w:t>
                  </w:r>
                </w:p>
              </w:tc>
              <w:tc>
                <w:tcPr>
                  <w:tcW w:w="803" w:type="dxa"/>
                  <w:shd w:val="clear" w:color="auto" w:fill="auto"/>
                  <w:vAlign w:val="center"/>
                </w:tcPr>
                <w:p w14:paraId="6BC44D0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45.1</w:t>
                  </w:r>
                </w:p>
              </w:tc>
              <w:tc>
                <w:tcPr>
                  <w:tcW w:w="1011" w:type="dxa"/>
                  <w:shd w:val="clear" w:color="auto" w:fill="auto"/>
                  <w:vAlign w:val="center"/>
                </w:tcPr>
                <w:p w14:paraId="33BE0D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785" w:type="dxa"/>
                  <w:shd w:val="clear" w:color="auto" w:fill="auto"/>
                  <w:vAlign w:val="center"/>
                </w:tcPr>
                <w:p w14:paraId="7D0DE0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1417" w:type="dxa"/>
                  <w:shd w:val="clear" w:color="auto" w:fill="auto"/>
                  <w:vAlign w:val="center"/>
                </w:tcPr>
                <w:p w14:paraId="7F45B7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50.7</w:t>
                  </w:r>
                </w:p>
              </w:tc>
              <w:tc>
                <w:tcPr>
                  <w:tcW w:w="1418" w:type="dxa"/>
                  <w:shd w:val="clear" w:color="auto" w:fill="auto"/>
                  <w:vAlign w:val="center"/>
                </w:tcPr>
                <w:p w14:paraId="0C24268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1188" w:type="dxa"/>
                  <w:shd w:val="clear" w:color="auto" w:fill="auto"/>
                  <w:vAlign w:val="center"/>
                </w:tcPr>
                <w:p w14:paraId="71AB652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50FF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101" w:type="dxa"/>
                  <w:vMerge w:val="restart"/>
                  <w:shd w:val="clear" w:color="auto" w:fill="auto"/>
                  <w:vAlign w:val="center"/>
                </w:tcPr>
                <w:p w14:paraId="74120C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北侧</w:t>
                  </w:r>
                </w:p>
              </w:tc>
              <w:tc>
                <w:tcPr>
                  <w:tcW w:w="803" w:type="dxa"/>
                  <w:shd w:val="clear" w:color="auto" w:fill="auto"/>
                  <w:vAlign w:val="center"/>
                </w:tcPr>
                <w:p w14:paraId="21C63F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803" w:type="dxa"/>
                  <w:shd w:val="clear" w:color="auto" w:fill="auto"/>
                  <w:vAlign w:val="center"/>
                </w:tcPr>
                <w:p w14:paraId="0A42A3C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118.7</w:t>
                  </w:r>
                </w:p>
              </w:tc>
              <w:tc>
                <w:tcPr>
                  <w:tcW w:w="1011" w:type="dxa"/>
                  <w:shd w:val="clear" w:color="auto" w:fill="auto"/>
                  <w:vAlign w:val="center"/>
                </w:tcPr>
                <w:p w14:paraId="753E0C3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785" w:type="dxa"/>
                  <w:shd w:val="clear" w:color="auto" w:fill="auto"/>
                  <w:vAlign w:val="center"/>
                </w:tcPr>
                <w:p w14:paraId="71BC068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17" w:type="dxa"/>
                  <w:shd w:val="clear" w:color="auto" w:fill="auto"/>
                  <w:vAlign w:val="center"/>
                </w:tcPr>
                <w:p w14:paraId="0E8977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50.8</w:t>
                  </w:r>
                </w:p>
              </w:tc>
              <w:tc>
                <w:tcPr>
                  <w:tcW w:w="1418" w:type="dxa"/>
                  <w:shd w:val="clear" w:color="auto" w:fill="auto"/>
                  <w:vAlign w:val="center"/>
                </w:tcPr>
                <w:p w14:paraId="2393985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65</w:t>
                  </w:r>
                </w:p>
              </w:tc>
              <w:tc>
                <w:tcPr>
                  <w:tcW w:w="1188" w:type="dxa"/>
                  <w:shd w:val="clear" w:color="auto" w:fill="auto"/>
                  <w:vAlign w:val="center"/>
                </w:tcPr>
                <w:p w14:paraId="6CFAC9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0E6C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1" w:hRule="atLeast"/>
                <w:jc w:val="center"/>
              </w:trPr>
              <w:tc>
                <w:tcPr>
                  <w:tcW w:w="1101" w:type="dxa"/>
                  <w:vMerge w:val="continue"/>
                  <w:shd w:val="clear" w:color="auto" w:fill="auto"/>
                  <w:vAlign w:val="center"/>
                </w:tcPr>
                <w:p w14:paraId="08639C3A">
                  <w:pPr>
                    <w:jc w:val="center"/>
                    <w:rPr>
                      <w:color w:val="auto"/>
                      <w:highlight w:val="none"/>
                    </w:rPr>
                  </w:pPr>
                </w:p>
              </w:tc>
              <w:tc>
                <w:tcPr>
                  <w:tcW w:w="803" w:type="dxa"/>
                  <w:shd w:val="clear" w:color="auto" w:fill="auto"/>
                  <w:vAlign w:val="center"/>
                </w:tcPr>
                <w:p w14:paraId="525C89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803" w:type="dxa"/>
                  <w:shd w:val="clear" w:color="auto" w:fill="auto"/>
                  <w:vAlign w:val="center"/>
                </w:tcPr>
                <w:p w14:paraId="38BA023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118.7</w:t>
                  </w:r>
                </w:p>
              </w:tc>
              <w:tc>
                <w:tcPr>
                  <w:tcW w:w="1011" w:type="dxa"/>
                  <w:shd w:val="clear" w:color="auto" w:fill="auto"/>
                  <w:vAlign w:val="center"/>
                </w:tcPr>
                <w:p w14:paraId="32F325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785" w:type="dxa"/>
                  <w:shd w:val="clear" w:color="auto" w:fill="auto"/>
                  <w:vAlign w:val="center"/>
                </w:tcPr>
                <w:p w14:paraId="354BFF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1417" w:type="dxa"/>
                  <w:shd w:val="clear" w:color="auto" w:fill="auto"/>
                  <w:vAlign w:val="center"/>
                </w:tcPr>
                <w:p w14:paraId="12197C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50.8</w:t>
                  </w:r>
                </w:p>
              </w:tc>
              <w:tc>
                <w:tcPr>
                  <w:tcW w:w="1418" w:type="dxa"/>
                  <w:shd w:val="clear" w:color="auto" w:fill="auto"/>
                  <w:vAlign w:val="center"/>
                </w:tcPr>
                <w:p w14:paraId="75B0A6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1188" w:type="dxa"/>
                  <w:shd w:val="clear" w:color="auto" w:fill="auto"/>
                  <w:vAlign w:val="center"/>
                </w:tcPr>
                <w:p w14:paraId="228ED5C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3A96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6" w:type="dxa"/>
                  <w:gridSpan w:val="8"/>
                  <w:shd w:val="clear" w:color="auto" w:fill="auto"/>
                  <w:vAlign w:val="center"/>
                </w:tcPr>
                <w:p w14:paraId="714E83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Cs w:val="21"/>
                      <w:highlight w:val="none"/>
                    </w:rPr>
                    <w:t>注：</w:t>
                  </w:r>
                  <w:r>
                    <w:rPr>
                      <w:rFonts w:hint="default" w:ascii="Times New Roman" w:hAnsi="Times New Roman" w:eastAsia="宋体" w:cs="Times New Roman"/>
                      <w:bCs/>
                      <w:color w:val="auto"/>
                      <w:sz w:val="21"/>
                      <w:szCs w:val="21"/>
                      <w:highlight w:val="none"/>
                    </w:rPr>
                    <w:t>表中坐标以</w:t>
                  </w:r>
                  <w:r>
                    <w:rPr>
                      <w:rFonts w:hint="default" w:ascii="Times New Roman" w:hAnsi="Times New Roman" w:eastAsia="宋体" w:cs="Times New Roman"/>
                      <w:bCs/>
                      <w:color w:val="auto"/>
                      <w:sz w:val="21"/>
                      <w:szCs w:val="21"/>
                      <w:highlight w:val="none"/>
                      <w:lang w:val="en-US" w:eastAsia="zh-CN"/>
                    </w:rPr>
                    <w:t>厂界中心（103</w:t>
                  </w:r>
                  <w:r>
                    <w:rPr>
                      <w:rFonts w:hint="default" w:ascii="Times New Roman" w:hAnsi="Times New Roman" w:eastAsia="宋体" w:cs="Times New Roman"/>
                      <w:bCs/>
                      <w:color w:val="auto"/>
                      <w:sz w:val="21"/>
                      <w:szCs w:val="21"/>
                      <w:highlight w:val="none"/>
                    </w:rPr>
                    <w:t>度</w:t>
                  </w:r>
                  <w:r>
                    <w:rPr>
                      <w:rFonts w:hint="default" w:ascii="Times New Roman" w:hAnsi="Times New Roman" w:eastAsia="宋体" w:cs="Times New Roman"/>
                      <w:bCs/>
                      <w:color w:val="auto"/>
                      <w:sz w:val="21"/>
                      <w:szCs w:val="21"/>
                      <w:highlight w:val="none"/>
                      <w:lang w:val="en-US" w:eastAsia="zh-CN"/>
                    </w:rPr>
                    <w:t>1</w:t>
                  </w:r>
                  <w:r>
                    <w:rPr>
                      <w:rFonts w:hint="eastAsia" w:ascii="Times New Roman" w:hAnsi="Times New Roman" w:eastAsia="宋体"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rPr>
                    <w:t>分</w:t>
                  </w:r>
                  <w:r>
                    <w:rPr>
                      <w:rFonts w:hint="eastAsia" w:ascii="Times New Roman" w:hAnsi="Times New Roman" w:eastAsia="宋体" w:cs="Times New Roman"/>
                      <w:bCs/>
                      <w:color w:val="auto"/>
                      <w:sz w:val="21"/>
                      <w:szCs w:val="21"/>
                      <w:highlight w:val="none"/>
                      <w:lang w:val="en-US" w:eastAsia="zh-CN"/>
                    </w:rPr>
                    <w:t>4</w:t>
                  </w:r>
                  <w:r>
                    <w:rPr>
                      <w:rFonts w:hint="eastAsia" w:cs="Times New Roman"/>
                      <w:bCs/>
                      <w:color w:val="auto"/>
                      <w:sz w:val="21"/>
                      <w:szCs w:val="21"/>
                      <w:highlight w:val="none"/>
                      <w:lang w:val="en-US" w:eastAsia="zh-CN"/>
                    </w:rPr>
                    <w:t>4.826</w:t>
                  </w:r>
                  <w:r>
                    <w:rPr>
                      <w:rFonts w:hint="default" w:ascii="Times New Roman" w:hAnsi="Times New Roman" w:eastAsia="宋体" w:cs="Times New Roman"/>
                      <w:bCs/>
                      <w:color w:val="auto"/>
                      <w:sz w:val="21"/>
                      <w:szCs w:val="21"/>
                      <w:highlight w:val="none"/>
                    </w:rPr>
                    <w:t>秒，</w:t>
                  </w:r>
                  <w:r>
                    <w:rPr>
                      <w:rFonts w:hint="default" w:ascii="Times New Roman" w:hAnsi="Times New Roman" w:eastAsia="宋体"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rPr>
                    <w:t>度</w:t>
                  </w:r>
                  <w:r>
                    <w:rPr>
                      <w:rFonts w:hint="eastAsia" w:ascii="Times New Roman" w:hAnsi="Times New Roman" w:eastAsia="宋体" w:cs="Times New Roman"/>
                      <w:bCs/>
                      <w:color w:val="auto"/>
                      <w:sz w:val="21"/>
                      <w:szCs w:val="21"/>
                      <w:highlight w:val="none"/>
                      <w:lang w:val="en-US" w:eastAsia="zh-CN"/>
                    </w:rPr>
                    <w:t>33</w:t>
                  </w:r>
                  <w:r>
                    <w:rPr>
                      <w:rFonts w:hint="default" w:ascii="Times New Roman" w:hAnsi="Times New Roman" w:eastAsia="宋体" w:cs="Times New Roman"/>
                      <w:bCs/>
                      <w:color w:val="auto"/>
                      <w:sz w:val="21"/>
                      <w:szCs w:val="21"/>
                      <w:highlight w:val="none"/>
                    </w:rPr>
                    <w:t>分</w:t>
                  </w:r>
                  <w:r>
                    <w:rPr>
                      <w:rFonts w:hint="eastAsia" w:ascii="Times New Roman" w:hAnsi="Times New Roman" w:eastAsia="宋体" w:cs="Times New Roman"/>
                      <w:bCs/>
                      <w:color w:val="auto"/>
                      <w:sz w:val="21"/>
                      <w:szCs w:val="21"/>
                      <w:highlight w:val="none"/>
                      <w:lang w:val="en-US" w:eastAsia="zh-CN"/>
                    </w:rPr>
                    <w:t>4</w:t>
                  </w:r>
                  <w:r>
                    <w:rPr>
                      <w:rFonts w:hint="eastAsia" w:cs="Times New Roman"/>
                      <w:bCs/>
                      <w:color w:val="auto"/>
                      <w:sz w:val="21"/>
                      <w:szCs w:val="21"/>
                      <w:highlight w:val="none"/>
                      <w:lang w:val="en-US" w:eastAsia="zh-CN"/>
                    </w:rPr>
                    <w:t>0.417</w:t>
                  </w:r>
                  <w:r>
                    <w:rPr>
                      <w:rFonts w:hint="default" w:ascii="Times New Roman" w:hAnsi="Times New Roman" w:eastAsia="宋体" w:cs="Times New Roman"/>
                      <w:bCs/>
                      <w:color w:val="auto"/>
                      <w:sz w:val="21"/>
                      <w:szCs w:val="21"/>
                      <w:highlight w:val="none"/>
                    </w:rPr>
                    <w:t>秒</w:t>
                  </w:r>
                  <w:r>
                    <w:rPr>
                      <w:rFonts w:hint="default" w:ascii="Times New Roman" w:hAnsi="Times New Roman" w:eastAsia="宋体" w:cs="Times New Roman"/>
                      <w:bCs/>
                      <w:color w:val="auto"/>
                      <w:sz w:val="21"/>
                      <w:szCs w:val="21"/>
                      <w:highlight w:val="none"/>
                      <w:lang w:val="en-US" w:eastAsia="zh-CN"/>
                    </w:rPr>
                    <w:t>）为坐标原点</w:t>
                  </w:r>
                  <w:r>
                    <w:rPr>
                      <w:rFonts w:hint="default" w:ascii="Times New Roman" w:hAnsi="Times New Roman" w:eastAsia="宋体" w:cs="Times New Roman"/>
                      <w:bCs/>
                      <w:color w:val="auto"/>
                      <w:sz w:val="21"/>
                      <w:szCs w:val="21"/>
                      <w:highlight w:val="none"/>
                    </w:rPr>
                    <w:t>，正东向为X轴正方向，正北向为Y轴正方向。</w:t>
                  </w:r>
                </w:p>
              </w:tc>
            </w:tr>
            <w:bookmarkEnd w:id="23"/>
          </w:tbl>
          <w:p w14:paraId="37396B87">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由上</w:t>
            </w:r>
            <w:r>
              <w:rPr>
                <w:rFonts w:hint="default" w:ascii="Times New Roman" w:hAnsi="Times New Roman" w:eastAsia="宋体" w:cs="Times New Roman"/>
                <w:color w:val="auto"/>
                <w:sz w:val="24"/>
                <w:szCs w:val="24"/>
                <w:highlight w:val="none"/>
              </w:rPr>
              <w:t>表预测结果一览表可以得知</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项目建设完成后，</w:t>
            </w: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营运期</w:t>
            </w:r>
            <w:r>
              <w:rPr>
                <w:rFonts w:hint="default" w:ascii="Times New Roman" w:hAnsi="Times New Roman" w:eastAsia="宋体" w:cs="Times New Roman"/>
                <w:color w:val="auto"/>
                <w:sz w:val="24"/>
                <w:highlight w:val="none"/>
                <w:lang w:val="en-US" w:eastAsia="zh-CN"/>
              </w:rPr>
              <w:t>南</w:t>
            </w:r>
            <w:r>
              <w:rPr>
                <w:rFonts w:hint="eastAsia" w:eastAsia="宋体" w:cs="Times New Roman"/>
                <w:color w:val="auto"/>
                <w:sz w:val="24"/>
                <w:highlight w:val="none"/>
                <w:lang w:val="en-US" w:eastAsia="zh-CN"/>
              </w:rPr>
              <w:t>、西、北</w:t>
            </w:r>
            <w:r>
              <w:rPr>
                <w:rFonts w:hint="default" w:ascii="Times New Roman" w:hAnsi="Times New Roman" w:eastAsia="宋体" w:cs="Times New Roman"/>
                <w:color w:val="auto"/>
                <w:sz w:val="24"/>
                <w:highlight w:val="none"/>
                <w:lang w:val="en-US" w:eastAsia="zh-CN"/>
              </w:rPr>
              <w:t>厂界</w:t>
            </w:r>
            <w:r>
              <w:rPr>
                <w:rFonts w:hint="default" w:ascii="Times New Roman" w:hAnsi="Times New Roman" w:eastAsia="宋体" w:cs="Times New Roman"/>
                <w:color w:val="auto"/>
                <w:sz w:val="24"/>
                <w:szCs w:val="24"/>
                <w:highlight w:val="none"/>
                <w:lang w:val="en-US" w:eastAsia="zh-CN"/>
              </w:rPr>
              <w:t>昼</w:t>
            </w:r>
            <w:r>
              <w:rPr>
                <w:rFonts w:hint="eastAsia" w:cs="Times New Roman"/>
                <w:color w:val="auto"/>
                <w:sz w:val="24"/>
                <w:szCs w:val="24"/>
                <w:highlight w:val="none"/>
                <w:lang w:val="en-US" w:eastAsia="zh-CN"/>
              </w:rPr>
              <w:t>、夜</w:t>
            </w:r>
            <w:r>
              <w:rPr>
                <w:rFonts w:hint="default" w:ascii="Times New Roman" w:hAnsi="Times New Roman" w:eastAsia="宋体" w:cs="Times New Roman"/>
                <w:color w:val="auto"/>
                <w:sz w:val="24"/>
                <w:szCs w:val="24"/>
                <w:highlight w:val="none"/>
                <w:lang w:val="en-US" w:eastAsia="zh-CN"/>
              </w:rPr>
              <w:t>间</w:t>
            </w:r>
            <w:r>
              <w:rPr>
                <w:rFonts w:hint="default" w:ascii="Times New Roman" w:hAnsi="Times New Roman" w:eastAsia="宋体" w:cs="Times New Roman"/>
                <w:color w:val="auto"/>
                <w:sz w:val="24"/>
                <w:szCs w:val="24"/>
                <w:highlight w:val="none"/>
              </w:rPr>
              <w:t>噪声</w:t>
            </w:r>
            <w:r>
              <w:rPr>
                <w:rFonts w:hint="eastAsia"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lang w:val="en-US" w:eastAsia="zh-CN"/>
              </w:rPr>
              <w:t>能</w:t>
            </w:r>
            <w:r>
              <w:rPr>
                <w:rFonts w:hint="default" w:ascii="Times New Roman" w:hAnsi="Times New Roman" w:eastAsia="宋体" w:cs="Times New Roman"/>
                <w:color w:val="auto"/>
                <w:sz w:val="24"/>
                <w:szCs w:val="24"/>
                <w:highlight w:val="none"/>
              </w:rPr>
              <w:t>达到《工业企业厂界环境噪声排放标准》（GB12348-2008）中</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r>
              <w:rPr>
                <w:rFonts w:hint="eastAsia" w:cs="Times New Roman"/>
                <w:color w:val="auto"/>
                <w:sz w:val="24"/>
                <w:szCs w:val="24"/>
                <w:highlight w:val="none"/>
                <w:lang w:eastAsia="zh-CN"/>
              </w:rPr>
              <w:t>；</w:t>
            </w:r>
            <w:r>
              <w:rPr>
                <w:rFonts w:hint="eastAsia" w:eastAsia="宋体" w:cs="Times New Roman"/>
                <w:color w:val="auto"/>
                <w:sz w:val="24"/>
                <w:highlight w:val="none"/>
                <w:lang w:eastAsia="zh-CN"/>
              </w:rPr>
              <w:t>东</w:t>
            </w:r>
            <w:r>
              <w:rPr>
                <w:rFonts w:hint="default" w:ascii="Times New Roman" w:hAnsi="Times New Roman" w:eastAsia="宋体" w:cs="Times New Roman"/>
                <w:color w:val="auto"/>
                <w:sz w:val="24"/>
                <w:highlight w:val="none"/>
                <w:lang w:val="en-US" w:eastAsia="zh-CN" w:bidi="ar"/>
              </w:rPr>
              <w:t>侧</w:t>
            </w:r>
            <w:r>
              <w:rPr>
                <w:rFonts w:hint="default" w:ascii="Times New Roman" w:hAnsi="Times New Roman" w:eastAsia="宋体" w:cs="Times New Roman"/>
                <w:color w:val="auto"/>
                <w:sz w:val="24"/>
                <w:highlight w:val="none"/>
                <w:lang w:val="en-US" w:eastAsia="zh-CN"/>
              </w:rPr>
              <w:t>厂界</w:t>
            </w:r>
            <w:r>
              <w:rPr>
                <w:rFonts w:hint="default" w:ascii="Times New Roman" w:hAnsi="Times New Roman" w:eastAsia="宋体" w:cs="Times New Roman"/>
                <w:color w:val="auto"/>
                <w:sz w:val="24"/>
                <w:szCs w:val="24"/>
                <w:highlight w:val="none"/>
                <w:lang w:val="en-US" w:eastAsia="zh-CN"/>
              </w:rPr>
              <w:t>昼</w:t>
            </w:r>
            <w:r>
              <w:rPr>
                <w:rFonts w:hint="eastAsia" w:cs="Times New Roman"/>
                <w:color w:val="auto"/>
                <w:sz w:val="24"/>
                <w:szCs w:val="24"/>
                <w:highlight w:val="none"/>
                <w:lang w:val="en-US" w:eastAsia="zh-CN"/>
              </w:rPr>
              <w:t>、夜</w:t>
            </w:r>
            <w:r>
              <w:rPr>
                <w:rFonts w:hint="default" w:ascii="Times New Roman" w:hAnsi="Times New Roman" w:eastAsia="宋体" w:cs="Times New Roman"/>
                <w:color w:val="auto"/>
                <w:sz w:val="24"/>
                <w:szCs w:val="24"/>
                <w:highlight w:val="none"/>
                <w:lang w:val="en-US" w:eastAsia="zh-CN"/>
              </w:rPr>
              <w:t>间</w:t>
            </w:r>
            <w:r>
              <w:rPr>
                <w:rFonts w:hint="default" w:ascii="Times New Roman" w:hAnsi="Times New Roman" w:eastAsia="宋体" w:cs="Times New Roman"/>
                <w:color w:val="auto"/>
                <w:sz w:val="24"/>
                <w:szCs w:val="24"/>
                <w:highlight w:val="none"/>
              </w:rPr>
              <w:t>噪声</w:t>
            </w:r>
            <w:r>
              <w:rPr>
                <w:rFonts w:hint="eastAsia"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lang w:val="en-US" w:eastAsia="zh-CN"/>
              </w:rPr>
              <w:t>能</w:t>
            </w:r>
            <w:r>
              <w:rPr>
                <w:rFonts w:hint="default" w:ascii="Times New Roman" w:hAnsi="Times New Roman" w:eastAsia="宋体" w:cs="Times New Roman"/>
                <w:color w:val="auto"/>
                <w:sz w:val="24"/>
                <w:szCs w:val="24"/>
                <w:highlight w:val="none"/>
              </w:rPr>
              <w:t>达到《工业企业厂界环境噪声排放标准》（GB12348-2008）中</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类标准</w:t>
            </w:r>
            <w:r>
              <w:rPr>
                <w:rFonts w:hint="eastAsia" w:cs="Times New Roman"/>
                <w:color w:val="auto"/>
                <w:sz w:val="24"/>
                <w:szCs w:val="24"/>
                <w:highlight w:val="none"/>
                <w:lang w:eastAsia="zh-CN"/>
              </w:rPr>
              <w:t>；</w:t>
            </w:r>
          </w:p>
          <w:p w14:paraId="02E4D166">
            <w:pPr>
              <w:keepNext w:val="0"/>
              <w:keepLines w:val="0"/>
              <w:pageBreakBefore w:val="0"/>
              <w:widowControl w:val="0"/>
              <w:kinsoku/>
              <w:wordWrap/>
              <w:overflowPunct/>
              <w:topLinePunct w:val="0"/>
              <w:autoSpaceDE/>
              <w:autoSpaceDN/>
              <w:bidi w:val="0"/>
              <w:snapToGrid w:val="0"/>
              <w:spacing w:line="360" w:lineRule="auto"/>
              <w:ind w:firstLine="482" w:firstLineChars="200"/>
              <w:textAlignment w:val="auto"/>
              <w:rPr>
                <w:rFonts w:hint="default" w:ascii="Times New Roman" w:hAnsi="Times New Roman" w:eastAsia="宋体" w:cs="Times New Roman"/>
                <w:b/>
                <w:color w:val="auto"/>
                <w:sz w:val="24"/>
                <w:szCs w:val="28"/>
                <w:highlight w:val="none"/>
                <w:lang w:val="en-US"/>
              </w:rPr>
            </w:pPr>
            <w:r>
              <w:rPr>
                <w:rFonts w:hint="default" w:ascii="Times New Roman" w:hAnsi="Times New Roman" w:eastAsia="宋体" w:cs="Times New Roman"/>
                <w:b/>
                <w:bCs/>
                <w:color w:val="auto"/>
                <w:sz w:val="24"/>
                <w:szCs w:val="24"/>
                <w:highlight w:val="none"/>
                <w:lang w:val="en-US" w:eastAsia="zh-CN"/>
              </w:rPr>
              <w:t>3、控制措施</w:t>
            </w:r>
          </w:p>
          <w:p w14:paraId="7D690C4B">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14:paraId="2617B1FA">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14:paraId="31A8913A">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14:paraId="3CC8EE6C">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③高噪声设备安装减震垫进行基础减振，风管设软连接，对设备进行有效地减震、隔声处理。</w:t>
            </w:r>
          </w:p>
          <w:p w14:paraId="15AF5D61">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④对操作员工影响加强个人防护意识，工作人员应佩戴防噪用品，如防声耳塞或耳罩等。</w:t>
            </w:r>
          </w:p>
          <w:p w14:paraId="561C2DA1">
            <w:pPr>
              <w:adjustRightInd w:val="0"/>
              <w:snapToGrid w:val="0"/>
              <w:spacing w:line="360" w:lineRule="auto"/>
              <w:ind w:firstLine="480" w:firstLineChars="200"/>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kern w:val="0"/>
                <w:sz w:val="24"/>
                <w:highlight w:val="none"/>
                <w:lang w:val="en-US" w:eastAsia="zh-CN"/>
              </w:rPr>
              <w:t>⑤加强管理培训，确保工人文明操作，装卸货物时轻拿轻放，避免因野蛮操作产生的突发性</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zh-CN"/>
              </w:rPr>
              <w:t>以上处理措施在各行业噪声防治中广泛应用，处理效果好。</w:t>
            </w:r>
          </w:p>
          <w:p w14:paraId="1C5FD963">
            <w:pPr>
              <w:pStyle w:val="54"/>
              <w:adjustRightInd w:val="0"/>
              <w:snapToGrid w:val="0"/>
              <w:spacing w:line="360" w:lineRule="auto"/>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、监测要求</w:t>
            </w:r>
          </w:p>
          <w:p w14:paraId="7BD53C46">
            <w:pPr>
              <w:pStyle w:val="54"/>
              <w:adjustRightInd w:val="0"/>
              <w:snapToGrid w:val="0"/>
              <w:spacing w:line="360" w:lineRule="auto"/>
              <w:ind w:firstLine="480" w:firstLineChars="200"/>
              <w:jc w:val="both"/>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highlight w:val="none"/>
              </w:rPr>
              <w:t xml:space="preserve">《排污单位自行监测技术指南 </w:t>
            </w:r>
            <w:r>
              <w:rPr>
                <w:rFonts w:hint="eastAsia" w:cs="Times New Roman"/>
                <w:color w:val="auto"/>
                <w:sz w:val="24"/>
                <w:highlight w:val="none"/>
                <w:lang w:eastAsia="zh-CN"/>
              </w:rPr>
              <w:t>总则</w:t>
            </w:r>
            <w:r>
              <w:rPr>
                <w:rFonts w:hint="default" w:ascii="Times New Roman" w:hAnsi="Times New Roman" w:eastAsia="宋体" w:cs="Times New Roman"/>
                <w:color w:val="auto"/>
                <w:sz w:val="24"/>
                <w:highlight w:val="none"/>
              </w:rPr>
              <w:t>》（HJ</w:t>
            </w:r>
            <w:r>
              <w:rPr>
                <w:rFonts w:hint="eastAsia" w:cs="Times New Roman"/>
                <w:color w:val="auto"/>
                <w:sz w:val="24"/>
                <w:highlight w:val="none"/>
                <w:lang w:val="en-US" w:eastAsia="zh-CN"/>
              </w:rPr>
              <w:t>918</w:t>
            </w:r>
            <w:r>
              <w:rPr>
                <w:rFonts w:hint="default" w:ascii="Times New Roman" w:hAnsi="Times New Roman" w:eastAsia="宋体" w:cs="Times New Roman"/>
                <w:color w:val="auto"/>
                <w:sz w:val="24"/>
                <w:highlight w:val="none"/>
              </w:rPr>
              <w:t>-20</w:t>
            </w:r>
            <w:r>
              <w:rPr>
                <w:rFonts w:hint="eastAsia" w:cs="Times New Roman"/>
                <w:color w:val="auto"/>
                <w:sz w:val="24"/>
                <w:highlight w:val="none"/>
                <w:lang w:val="en-US" w:eastAsia="zh-CN"/>
              </w:rPr>
              <w:t>17</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lang w:val="en-US" w:eastAsia="zh-CN"/>
              </w:rPr>
              <w:t>可知，本项目</w:t>
            </w:r>
            <w:r>
              <w:rPr>
                <w:rFonts w:hint="default" w:ascii="Times New Roman" w:hAnsi="Times New Roman" w:eastAsia="宋体" w:cs="Times New Roman"/>
                <w:color w:val="auto"/>
                <w:sz w:val="24"/>
                <w:highlight w:val="none"/>
              </w:rPr>
              <w:t>监测要求详见下表。</w:t>
            </w:r>
          </w:p>
          <w:p w14:paraId="2CA9F5AE">
            <w:pPr>
              <w:pStyle w:val="54"/>
              <w:adjustRightInd w:val="0"/>
              <w:snapToGrid w:val="0"/>
              <w:rPr>
                <w:rFonts w:hint="default" w:ascii="Times New Roman" w:hAnsi="Times New Roman" w:eastAsia="宋体" w:cs="Times New Roman"/>
                <w:b/>
                <w:bCs/>
                <w:color w:val="auto"/>
                <w:szCs w:val="21"/>
                <w:highlight w:val="none"/>
              </w:rPr>
            </w:pPr>
          </w:p>
          <w:p w14:paraId="7268A437">
            <w:pPr>
              <w:pStyle w:val="54"/>
              <w:adjustRightInd w:val="0"/>
              <w:snapToGrid w:val="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Cs w:val="21"/>
                <w:highlight w:val="none"/>
              </w:rPr>
              <w:t>表4-</w:t>
            </w:r>
            <w:r>
              <w:rPr>
                <w:rFonts w:hint="eastAsia" w:cs="Times New Roman"/>
                <w:b/>
                <w:bCs/>
                <w:color w:val="auto"/>
                <w:szCs w:val="21"/>
                <w:highlight w:val="none"/>
                <w:lang w:val="en-US" w:eastAsia="zh-CN"/>
              </w:rPr>
              <w:t>35</w:t>
            </w:r>
            <w:r>
              <w:rPr>
                <w:rFonts w:hint="default" w:ascii="Times New Roman" w:hAnsi="Times New Roman" w:eastAsia="宋体" w:cs="Times New Roman"/>
                <w:b/>
                <w:bCs/>
                <w:color w:val="auto"/>
                <w:szCs w:val="21"/>
                <w:highlight w:val="none"/>
              </w:rPr>
              <w:t xml:space="preserve">   噪声监测计划一览表</w:t>
            </w:r>
          </w:p>
          <w:tbl>
            <w:tblPr>
              <w:tblStyle w:val="28"/>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8"/>
              <w:gridCol w:w="2798"/>
              <w:gridCol w:w="2799"/>
            </w:tblGrid>
            <w:tr w14:paraId="5825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vAlign w:val="center"/>
                </w:tcPr>
                <w:p w14:paraId="04ECCB6B">
                  <w:pPr>
                    <w:pStyle w:val="54"/>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2798" w:type="dxa"/>
                  <w:vAlign w:val="center"/>
                </w:tcPr>
                <w:p w14:paraId="022A3834">
                  <w:pPr>
                    <w:pStyle w:val="54"/>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c>
                <w:tcPr>
                  <w:tcW w:w="2799" w:type="dxa"/>
                  <w:vAlign w:val="center"/>
                </w:tcPr>
                <w:p w14:paraId="56FA0456">
                  <w:pPr>
                    <w:pStyle w:val="54"/>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时间、频次</w:t>
                  </w:r>
                </w:p>
              </w:tc>
            </w:tr>
            <w:tr w14:paraId="4B71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vAlign w:val="center"/>
                </w:tcPr>
                <w:p w14:paraId="5E1DE3BB">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沿项目区厂界东、南、西、</w:t>
                  </w:r>
                </w:p>
                <w:p w14:paraId="307099F9">
                  <w:pPr>
                    <w:pStyle w:val="54"/>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北界外1m 处布点监测</w:t>
                  </w:r>
                </w:p>
              </w:tc>
              <w:tc>
                <w:tcPr>
                  <w:tcW w:w="2798" w:type="dxa"/>
                  <w:vAlign w:val="center"/>
                </w:tcPr>
                <w:p w14:paraId="14037BB5">
                  <w:pPr>
                    <w:pStyle w:val="54"/>
                    <w:adjustRightInd w:val="0"/>
                    <w:snapToGrid w:val="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等效声级Leq</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dB </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2799" w:type="dxa"/>
                  <w:vAlign w:val="center"/>
                </w:tcPr>
                <w:p w14:paraId="102F82AD">
                  <w:pPr>
                    <w:pStyle w:val="54"/>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1次/季度</w:t>
                  </w:r>
                </w:p>
              </w:tc>
            </w:tr>
          </w:tbl>
          <w:p w14:paraId="430D431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四</w:t>
            </w:r>
            <w:r>
              <w:rPr>
                <w:rFonts w:hint="default" w:ascii="Times New Roman" w:hAnsi="Times New Roman" w:eastAsia="宋体" w:cs="Times New Roman"/>
                <w:b/>
                <w:color w:val="auto"/>
                <w:sz w:val="24"/>
                <w:szCs w:val="24"/>
                <w:highlight w:val="none"/>
              </w:rPr>
              <w:t>、固体废弃物</w:t>
            </w:r>
          </w:p>
          <w:p w14:paraId="5A87CD25">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项目运营期产生的固体废物主要为一般工业固废、生活固废和</w:t>
            </w:r>
            <w:r>
              <w:rPr>
                <w:rFonts w:hint="default" w:ascii="Times New Roman" w:hAnsi="Times New Roman" w:eastAsia="宋体" w:cs="Times New Roman"/>
                <w:color w:val="auto"/>
                <w:sz w:val="24"/>
                <w:szCs w:val="24"/>
                <w:highlight w:val="none"/>
                <w:lang w:eastAsia="zh-CN"/>
              </w:rPr>
              <w:t>危险废物</w:t>
            </w:r>
            <w:r>
              <w:rPr>
                <w:rFonts w:hint="default" w:ascii="Times New Roman" w:hAnsi="Times New Roman" w:eastAsia="宋体" w:cs="Times New Roman"/>
                <w:color w:val="auto"/>
                <w:sz w:val="24"/>
                <w:szCs w:val="24"/>
                <w:highlight w:val="none"/>
              </w:rPr>
              <w:t>。</w:t>
            </w:r>
          </w:p>
          <w:p w14:paraId="3AFB4328">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1、一般工业固体废物</w:t>
            </w:r>
          </w:p>
          <w:p w14:paraId="162A9835">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outlineLvl w:val="9"/>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eastAsia" w:cs="Times New Roman"/>
                <w:color w:val="auto"/>
                <w:sz w:val="24"/>
                <w:szCs w:val="24"/>
                <w:highlight w:val="none"/>
                <w:lang w:eastAsia="zh-CN"/>
              </w:rPr>
              <w:t>原料除尘器收集的粉尘</w:t>
            </w:r>
          </w:p>
          <w:p w14:paraId="3F326CB8">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b w:val="0"/>
                <w:bCs w:val="0"/>
                <w:color w:val="auto"/>
                <w:sz w:val="24"/>
                <w:szCs w:val="24"/>
                <w:highlight w:val="none"/>
                <w:lang w:val="en-US" w:eastAsia="zh-CN"/>
              </w:rPr>
              <w:t>根据废气部分计算可知，项目生产过程中</w:t>
            </w:r>
            <w:r>
              <w:rPr>
                <w:rFonts w:hint="eastAsia" w:cs="Times New Roman"/>
                <w:b w:val="0"/>
                <w:bCs w:val="0"/>
                <w:color w:val="auto"/>
                <w:sz w:val="24"/>
                <w:szCs w:val="24"/>
                <w:highlight w:val="none"/>
                <w:lang w:val="en-US" w:eastAsia="zh-CN"/>
              </w:rPr>
              <w:t>原料</w:t>
            </w:r>
            <w:r>
              <w:rPr>
                <w:rFonts w:hint="default" w:ascii="Times New Roman" w:hAnsi="Times New Roman" w:eastAsia="宋体" w:cs="Times New Roman"/>
                <w:b w:val="0"/>
                <w:bCs w:val="0"/>
                <w:color w:val="auto"/>
                <w:sz w:val="24"/>
                <w:szCs w:val="24"/>
                <w:highlight w:val="none"/>
                <w:lang w:val="en-US" w:eastAsia="zh-CN"/>
              </w:rPr>
              <w:t>除尘器收集的粉尘量</w:t>
            </w:r>
            <w:r>
              <w:rPr>
                <w:rFonts w:hint="eastAsia" w:cs="Times New Roman"/>
                <w:b w:val="0"/>
                <w:bCs w:val="0"/>
                <w:color w:val="auto"/>
                <w:sz w:val="24"/>
                <w:szCs w:val="24"/>
                <w:highlight w:val="none"/>
                <w:lang w:val="en-US" w:eastAsia="zh-CN"/>
              </w:rPr>
              <w:t>（卸料、原料转载点、破碎、喂煤仓）</w:t>
            </w:r>
            <w:r>
              <w:rPr>
                <w:rFonts w:hint="default" w:ascii="Times New Roman" w:hAnsi="Times New Roman" w:eastAsia="宋体" w:cs="Times New Roman"/>
                <w:b w:val="0"/>
                <w:bCs w:val="0"/>
                <w:color w:val="auto"/>
                <w:sz w:val="24"/>
                <w:szCs w:val="24"/>
                <w:highlight w:val="none"/>
                <w:lang w:val="en-US" w:eastAsia="zh-CN"/>
              </w:rPr>
              <w:t>为</w:t>
            </w:r>
            <w:r>
              <w:rPr>
                <w:rFonts w:hint="eastAsia" w:cs="Times New Roman"/>
                <w:b w:val="0"/>
                <w:bCs w:val="0"/>
                <w:color w:val="auto"/>
                <w:sz w:val="24"/>
                <w:szCs w:val="24"/>
                <w:highlight w:val="none"/>
                <w:lang w:val="en-US" w:eastAsia="zh-CN"/>
              </w:rPr>
              <w:t>99.8988t/a。均</w:t>
            </w:r>
            <w:r>
              <w:rPr>
                <w:rFonts w:hint="default" w:ascii="Times New Roman" w:hAnsi="Times New Roman" w:eastAsia="宋体" w:cs="Times New Roman"/>
                <w:b w:val="0"/>
                <w:bCs w:val="0"/>
                <w:color w:val="auto"/>
                <w:sz w:val="24"/>
                <w:szCs w:val="24"/>
                <w:highlight w:val="none"/>
                <w:lang w:val="en-US" w:eastAsia="zh-CN"/>
              </w:rPr>
              <w:t>定期清理收集后作为</w:t>
            </w:r>
            <w:r>
              <w:rPr>
                <w:rFonts w:hint="eastAsia" w:ascii="Times New Roman" w:hAnsi="Times New Roman" w:eastAsia="宋体" w:cs="Times New Roman"/>
                <w:b w:val="0"/>
                <w:bCs w:val="0"/>
                <w:color w:val="auto"/>
                <w:sz w:val="24"/>
                <w:szCs w:val="24"/>
                <w:highlight w:val="none"/>
                <w:lang w:val="en-US" w:eastAsia="zh-CN"/>
              </w:rPr>
              <w:t>原料返回原料工序</w:t>
            </w:r>
            <w:r>
              <w:rPr>
                <w:rFonts w:hint="default" w:ascii="Times New Roman" w:hAnsi="Times New Roman" w:eastAsia="宋体" w:cs="Times New Roman"/>
                <w:b w:val="0"/>
                <w:bCs w:val="0"/>
                <w:color w:val="auto"/>
                <w:sz w:val="24"/>
                <w:szCs w:val="24"/>
                <w:highlight w:val="none"/>
                <w:lang w:val="en-US" w:eastAsia="zh-CN"/>
              </w:rPr>
              <w:t>。</w:t>
            </w:r>
          </w:p>
          <w:p w14:paraId="5AE076DF">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w:t>
            </w:r>
            <w:r>
              <w:rPr>
                <w:rFonts w:hint="eastAsia" w:cs="Times New Roman"/>
                <w:b w:val="0"/>
                <w:bCs w:val="0"/>
                <w:color w:val="auto"/>
                <w:sz w:val="24"/>
                <w:szCs w:val="24"/>
                <w:highlight w:val="none"/>
                <w:lang w:val="en-US" w:eastAsia="zh-CN"/>
              </w:rPr>
              <w:t>炉渣</w:t>
            </w:r>
          </w:p>
          <w:p w14:paraId="2A262E14">
            <w:pPr>
              <w:adjustRightInd w:val="0"/>
              <w:snapToGrid w:val="0"/>
              <w:spacing w:line="360" w:lineRule="auto"/>
              <w:ind w:firstLine="480" w:firstLineChars="200"/>
              <w:rPr>
                <w:color w:val="auto"/>
                <w:sz w:val="24"/>
                <w:highlight w:val="none"/>
              </w:rPr>
            </w:pPr>
            <w:r>
              <w:rPr>
                <w:rFonts w:hint="eastAsia"/>
                <w:color w:val="auto"/>
                <w:sz w:val="24"/>
                <w:highlight w:val="none"/>
              </w:rPr>
              <w:t>项目生产线设1台热风炉，燃</w:t>
            </w:r>
            <w:r>
              <w:rPr>
                <w:rFonts w:hint="eastAsia"/>
                <w:color w:val="auto"/>
                <w:sz w:val="24"/>
                <w:highlight w:val="none"/>
                <w:lang w:eastAsia="zh-CN"/>
              </w:rPr>
              <w:t>生物质颗粒</w:t>
            </w:r>
            <w:r>
              <w:rPr>
                <w:rFonts w:hint="eastAsia" w:ascii="Times New Roman" w:hAnsi="Times New Roman" w:eastAsia="宋体" w:cs="Times New Roman"/>
                <w:color w:val="auto"/>
                <w:sz w:val="24"/>
                <w:highlight w:val="none"/>
                <w:lang w:val="en-US" w:eastAsia="zh-CN"/>
              </w:rPr>
              <w:t>量为36461.6448t</w:t>
            </w:r>
            <w:r>
              <w:rPr>
                <w:rFonts w:hint="eastAsia" w:ascii="Times New Roman" w:hAnsi="Times New Roman" w:eastAsia="宋体" w:cs="Times New Roman"/>
                <w:color w:val="auto"/>
                <w:sz w:val="24"/>
                <w:highlight w:val="none"/>
              </w:rPr>
              <w:t>/a</w:t>
            </w:r>
            <w:r>
              <w:rPr>
                <w:rFonts w:hint="eastAsia"/>
                <w:color w:val="auto"/>
                <w:sz w:val="24"/>
                <w:highlight w:val="none"/>
              </w:rPr>
              <w:t>。由于采用炉内喷钙法脱硫，热风炉产生的炉渣包括</w:t>
            </w:r>
            <w:r>
              <w:rPr>
                <w:rFonts w:hint="eastAsia"/>
                <w:color w:val="auto"/>
                <w:sz w:val="24"/>
                <w:highlight w:val="none"/>
                <w:lang w:eastAsia="zh-CN"/>
              </w:rPr>
              <w:t>生物质颗粒</w:t>
            </w:r>
            <w:r>
              <w:rPr>
                <w:rFonts w:hint="eastAsia"/>
                <w:color w:val="auto"/>
                <w:sz w:val="24"/>
                <w:highlight w:val="none"/>
              </w:rPr>
              <w:t>燃烧后的灰渣以及石灰石脱硫产生的渣量。考虑炉渣与飞灰的关系，采用下列公式计算：</w:t>
            </w:r>
          </w:p>
          <w:p w14:paraId="072D27B2">
            <w:pPr>
              <w:adjustRightInd w:val="0"/>
              <w:snapToGrid w:val="0"/>
              <w:spacing w:line="360" w:lineRule="auto"/>
              <w:jc w:val="center"/>
              <w:rPr>
                <w:color w:val="auto"/>
                <w:sz w:val="24"/>
                <w:highlight w:val="none"/>
              </w:rPr>
            </w:pPr>
            <w:r>
              <w:rPr>
                <w:color w:val="auto"/>
                <w:sz w:val="24"/>
                <w:highlight w:val="none"/>
              </w:rPr>
              <w:t>Q</w:t>
            </w:r>
            <w:r>
              <w:rPr>
                <w:color w:val="auto"/>
                <w:sz w:val="24"/>
                <w:highlight w:val="none"/>
                <w:vertAlign w:val="subscript"/>
              </w:rPr>
              <w:t>炉渣</w:t>
            </w:r>
            <w:r>
              <w:rPr>
                <w:color w:val="auto"/>
                <w:sz w:val="24"/>
                <w:highlight w:val="none"/>
              </w:rPr>
              <w:t>=</w:t>
            </w:r>
            <w:r>
              <w:rPr>
                <w:rFonts w:hint="eastAsia"/>
                <w:color w:val="auto"/>
                <w:sz w:val="24"/>
                <w:highlight w:val="none"/>
                <w:lang w:val="en-US" w:eastAsia="zh-CN"/>
              </w:rPr>
              <w:t>G</w:t>
            </w:r>
            <w:r>
              <w:rPr>
                <w:rFonts w:hint="eastAsia"/>
                <w:color w:val="auto"/>
                <w:sz w:val="24"/>
                <w:highlight w:val="none"/>
                <w:vertAlign w:val="subscript"/>
                <w:lang w:val="en-US" w:eastAsia="zh-CN"/>
              </w:rPr>
              <w:t>生物质燃烧</w:t>
            </w:r>
            <w:r>
              <w:rPr>
                <w:color w:val="auto"/>
                <w:sz w:val="24"/>
                <w:highlight w:val="none"/>
              </w:rPr>
              <w:t>+G</w:t>
            </w:r>
            <w:r>
              <w:rPr>
                <w:color w:val="auto"/>
                <w:sz w:val="24"/>
                <w:highlight w:val="none"/>
                <w:vertAlign w:val="subscript"/>
              </w:rPr>
              <w:t>硫酸钙</w:t>
            </w:r>
            <w:r>
              <w:rPr>
                <w:color w:val="auto"/>
                <w:sz w:val="24"/>
                <w:highlight w:val="none"/>
              </w:rPr>
              <w:t>×（1-d</w:t>
            </w:r>
            <w:r>
              <w:rPr>
                <w:color w:val="auto"/>
                <w:sz w:val="24"/>
                <w:highlight w:val="none"/>
                <w:vertAlign w:val="subscript"/>
              </w:rPr>
              <w:t>fh</w:t>
            </w:r>
            <w:r>
              <w:rPr>
                <w:color w:val="auto"/>
                <w:sz w:val="24"/>
                <w:highlight w:val="none"/>
              </w:rPr>
              <w:t>）+（G</w:t>
            </w:r>
            <w:r>
              <w:rPr>
                <w:color w:val="auto"/>
                <w:sz w:val="24"/>
                <w:highlight w:val="none"/>
                <w:vertAlign w:val="subscript"/>
              </w:rPr>
              <w:t>氧化钙</w:t>
            </w:r>
            <w:r>
              <w:rPr>
                <w:color w:val="auto"/>
                <w:sz w:val="24"/>
                <w:highlight w:val="none"/>
              </w:rPr>
              <w:t>+G</w:t>
            </w:r>
            <w:r>
              <w:rPr>
                <w:color w:val="auto"/>
                <w:sz w:val="24"/>
                <w:highlight w:val="none"/>
                <w:vertAlign w:val="subscript"/>
              </w:rPr>
              <w:t>惰性物质</w:t>
            </w:r>
            <w:r>
              <w:rPr>
                <w:color w:val="auto"/>
                <w:sz w:val="24"/>
                <w:highlight w:val="none"/>
              </w:rPr>
              <w:t>）×（1-</w:t>
            </w:r>
            <w:r>
              <w:rPr>
                <w:rFonts w:hint="eastAsia"/>
                <w:color w:val="auto"/>
                <w:sz w:val="24"/>
                <w:highlight w:val="none"/>
              </w:rPr>
              <w:t>α</w:t>
            </w:r>
            <w:r>
              <w:rPr>
                <w:color w:val="auto"/>
                <w:sz w:val="24"/>
                <w:highlight w:val="none"/>
                <w:vertAlign w:val="subscript"/>
              </w:rPr>
              <w:t>sf</w:t>
            </w:r>
            <w:r>
              <w:rPr>
                <w:color w:val="auto"/>
                <w:sz w:val="24"/>
                <w:highlight w:val="none"/>
              </w:rPr>
              <w:t>）</w:t>
            </w:r>
          </w:p>
          <w:p w14:paraId="192169A3">
            <w:pPr>
              <w:adjustRightInd w:val="0"/>
              <w:snapToGrid w:val="0"/>
              <w:spacing w:line="360" w:lineRule="auto"/>
              <w:ind w:firstLine="480"/>
              <w:jc w:val="center"/>
              <w:rPr>
                <w:rFonts w:hint="default"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生物质颗粒燃烧</w:t>
            </w:r>
            <w:r>
              <w:rPr>
                <w:rFonts w:hint="default" w:ascii="Times New Roman" w:hAnsi="Times New Roman" w:eastAsia="宋体" w:cs="Times New Roman"/>
                <w:b w:val="0"/>
                <w:bCs w:val="0"/>
                <w:color w:val="auto"/>
                <w:sz w:val="24"/>
                <w:szCs w:val="24"/>
                <w:lang w:val="en-US" w:eastAsia="zh-CN"/>
              </w:rPr>
              <w:t>炉渣</w:t>
            </w:r>
            <w:r>
              <w:rPr>
                <w:rFonts w:hint="default" w:ascii="Times New Roman" w:hAnsi="Times New Roman" w:eastAsia="宋体" w:cs="Times New Roman"/>
                <w:b w:val="0"/>
                <w:bCs w:val="0"/>
                <w:color w:val="auto"/>
                <w:sz w:val="24"/>
                <w:szCs w:val="24"/>
              </w:rPr>
              <w:t>的产生量参照</w:t>
            </w:r>
            <w:r>
              <w:rPr>
                <w:rFonts w:hint="default" w:ascii="Times New Roman" w:hAnsi="Times New Roman" w:eastAsia="宋体" w:cs="Times New Roman"/>
                <w:b w:val="0"/>
                <w:bCs w:val="0"/>
                <w:color w:val="auto"/>
                <w:sz w:val="24"/>
                <w:szCs w:val="24"/>
                <w:highlight w:val="none"/>
                <w:lang w:val="en-US" w:eastAsia="zh-CN"/>
              </w:rPr>
              <w:t>中华人民共和国生态环境部2021年6月11日发布的</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排放源统计调查产排污核算方法和系数手册</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的公告（公告2021年第24号）</w:t>
            </w:r>
            <w:r>
              <w:rPr>
                <w:rFonts w:hint="default" w:ascii="Times New Roman" w:hAnsi="Times New Roman" w:eastAsia="宋体" w:cs="Times New Roman"/>
                <w:b w:val="0"/>
                <w:bCs w:val="0"/>
                <w:color w:val="auto"/>
                <w:sz w:val="24"/>
                <w:szCs w:val="24"/>
                <w:highlight w:val="none"/>
              </w:rPr>
              <w:t>中《</w:t>
            </w:r>
            <w:r>
              <w:rPr>
                <w:rFonts w:hint="default" w:ascii="Times New Roman" w:hAnsi="Times New Roman" w:eastAsia="宋体" w:cs="Times New Roman"/>
                <w:b w:val="0"/>
                <w:bCs w:val="0"/>
                <w:color w:val="auto"/>
                <w:sz w:val="24"/>
                <w:szCs w:val="24"/>
                <w:highlight w:val="none"/>
                <w:lang w:val="en-US" w:eastAsia="zh-CN"/>
              </w:rPr>
              <w:t>锅炉产排污量核算系数手册</w:t>
            </w:r>
            <w:r>
              <w:rPr>
                <w:rFonts w:hint="default" w:ascii="Times New Roman" w:hAnsi="Times New Roman" w:eastAsia="宋体" w:cs="Times New Roman"/>
                <w:b w:val="0"/>
                <w:bCs w:val="0"/>
                <w:color w:val="auto"/>
                <w:sz w:val="24"/>
                <w:szCs w:val="24"/>
                <w:highlight w:val="none"/>
              </w:rPr>
              <w:t>》4430工业锅炉（热力生产和供应行业）产排污系数表-</w:t>
            </w:r>
            <w:r>
              <w:rPr>
                <w:rFonts w:hint="default" w:ascii="Times New Roman" w:hAnsi="Times New Roman" w:eastAsia="宋体" w:cs="Times New Roman"/>
                <w:b w:val="0"/>
                <w:bCs w:val="0"/>
                <w:color w:val="auto"/>
                <w:sz w:val="24"/>
                <w:szCs w:val="24"/>
                <w:highlight w:val="none"/>
                <w:lang w:val="en-US" w:eastAsia="zh-CN"/>
              </w:rPr>
              <w:t>工业固体废物中燃</w:t>
            </w:r>
            <w:r>
              <w:rPr>
                <w:rFonts w:hint="eastAsia" w:cs="Times New Roman"/>
                <w:b w:val="0"/>
                <w:bCs w:val="0"/>
                <w:color w:val="auto"/>
                <w:sz w:val="24"/>
                <w:szCs w:val="24"/>
                <w:highlight w:val="none"/>
                <w:lang w:val="en-US" w:eastAsia="zh-CN"/>
              </w:rPr>
              <w:t>生物质</w:t>
            </w:r>
            <w:r>
              <w:rPr>
                <w:rFonts w:hint="default" w:ascii="Times New Roman" w:hAnsi="Times New Roman" w:eastAsia="宋体" w:cs="Times New Roman"/>
                <w:b w:val="0"/>
                <w:bCs w:val="0"/>
                <w:color w:val="auto"/>
                <w:sz w:val="24"/>
                <w:szCs w:val="24"/>
                <w:highlight w:val="none"/>
                <w:lang w:val="en-US" w:eastAsia="zh-CN"/>
              </w:rPr>
              <w:t>锅炉</w:t>
            </w:r>
            <w:r>
              <w:rPr>
                <w:rFonts w:hint="default" w:ascii="Times New Roman" w:hAnsi="Times New Roman" w:eastAsia="宋体" w:cs="Times New Roman"/>
                <w:b w:val="0"/>
                <w:bCs w:val="0"/>
                <w:color w:val="auto"/>
                <w:sz w:val="24"/>
                <w:szCs w:val="24"/>
                <w:highlight w:val="none"/>
              </w:rPr>
              <w:t>的产排污系数进行计算</w:t>
            </w:r>
            <w:r>
              <w:rPr>
                <w:rFonts w:hint="default" w:ascii="Times New Roman" w:hAnsi="Times New Roman" w:eastAsia="宋体" w:cs="Times New Roman"/>
                <w:b w:val="0"/>
                <w:bCs w:val="0"/>
                <w:color w:val="auto"/>
                <w:spacing w:val="6"/>
                <w:sz w:val="24"/>
                <w:szCs w:val="24"/>
                <w:highlight w:val="none"/>
              </w:rPr>
              <w:t>，</w:t>
            </w:r>
            <w:r>
              <w:rPr>
                <w:rFonts w:hint="default" w:ascii="Times New Roman" w:hAnsi="Times New Roman" w:eastAsia="宋体" w:cs="Times New Roman"/>
                <w:b w:val="0"/>
                <w:bCs w:val="0"/>
                <w:color w:val="auto"/>
                <w:sz w:val="24"/>
                <w:szCs w:val="24"/>
              </w:rPr>
              <w:t>炉渣</w:t>
            </w:r>
          </w:p>
          <w:p w14:paraId="6F2826AF">
            <w:pPr>
              <w:adjustRightInd w:val="0"/>
              <w:snapToGrid w:val="0"/>
              <w:spacing w:line="360" w:lineRule="auto"/>
              <w:jc w:val="both"/>
              <w:rPr>
                <w:rFonts w:hint="default" w:eastAsia="宋体"/>
                <w:color w:val="auto"/>
                <w:sz w:val="24"/>
                <w:highlight w:val="none"/>
                <w:vertAlign w:val="baseline"/>
                <w:lang w:val="en-US" w:eastAsia="zh-CN"/>
              </w:rPr>
            </w:pPr>
            <w:r>
              <w:rPr>
                <w:rFonts w:hint="default" w:ascii="Times New Roman" w:hAnsi="Times New Roman" w:eastAsia="宋体" w:cs="Times New Roman"/>
                <w:b w:val="0"/>
                <w:bCs w:val="0"/>
                <w:color w:val="auto"/>
                <w:sz w:val="24"/>
                <w:szCs w:val="24"/>
              </w:rPr>
              <w:t>产生量为1.0</w:t>
            </w: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Akg/t燃料（A为灰分含量，项目使用的生物质燃料灰分为</w:t>
            </w:r>
            <w:r>
              <w:rPr>
                <w:rFonts w:hint="eastAsia" w:ascii="Times New Roman" w:hAnsi="Times New Roman" w:eastAsia="宋体" w:cs="Times New Roman"/>
                <w:b w:val="0"/>
                <w:bCs w:val="0"/>
                <w:color w:val="auto"/>
                <w:sz w:val="24"/>
                <w:szCs w:val="24"/>
                <w:lang w:val="en-US" w:eastAsia="zh-CN"/>
              </w:rPr>
              <w:t>3.96</w:t>
            </w:r>
            <w:r>
              <w:rPr>
                <w:rFonts w:hint="default"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lang w:eastAsia="zh-CN"/>
              </w:rPr>
              <w:t>，则</w:t>
            </w:r>
            <w:r>
              <w:rPr>
                <w:rFonts w:hint="eastAsia"/>
                <w:color w:val="auto"/>
                <w:sz w:val="24"/>
                <w:highlight w:val="none"/>
                <w:lang w:val="en-US" w:eastAsia="zh-CN"/>
              </w:rPr>
              <w:t>G</w:t>
            </w:r>
            <w:r>
              <w:rPr>
                <w:rFonts w:hint="eastAsia"/>
                <w:color w:val="auto"/>
                <w:sz w:val="24"/>
                <w:highlight w:val="none"/>
                <w:vertAlign w:val="subscript"/>
                <w:lang w:val="en-US" w:eastAsia="zh-CN"/>
              </w:rPr>
              <w:t>生物质燃烧</w:t>
            </w:r>
            <w:r>
              <w:rPr>
                <w:rFonts w:hint="eastAsia"/>
                <w:color w:val="auto"/>
                <w:sz w:val="24"/>
                <w:highlight w:val="none"/>
                <w:vertAlign w:val="baseline"/>
                <w:lang w:val="en-US" w:eastAsia="zh-CN"/>
              </w:rPr>
              <w:t>=151.6075t/a。</w:t>
            </w:r>
          </w:p>
          <w:p w14:paraId="6B904886">
            <w:pPr>
              <w:adjustRightInd w:val="0"/>
              <w:snapToGrid w:val="0"/>
              <w:spacing w:line="360" w:lineRule="auto"/>
              <w:jc w:val="center"/>
              <w:rPr>
                <w:rFonts w:hint="default" w:eastAsia="宋体"/>
                <w:color w:val="auto"/>
                <w:sz w:val="24"/>
                <w:highlight w:val="none"/>
                <w:lang w:val="en-US" w:eastAsia="zh-CN"/>
              </w:rPr>
            </w:pPr>
            <w:r>
              <w:rPr>
                <w:rFonts w:hint="eastAsia"/>
                <w:color w:val="auto"/>
                <w:sz w:val="24"/>
                <w:highlight w:val="none"/>
              </w:rPr>
              <w:t>G</w:t>
            </w:r>
            <w:r>
              <w:rPr>
                <w:rFonts w:hint="eastAsia"/>
                <w:color w:val="auto"/>
                <w:sz w:val="24"/>
                <w:highlight w:val="none"/>
                <w:vertAlign w:val="subscript"/>
              </w:rPr>
              <w:t>硫酸钙</w:t>
            </w:r>
            <w:r>
              <w:rPr>
                <w:rFonts w:hint="eastAsia"/>
                <w:color w:val="auto"/>
                <w:sz w:val="24"/>
                <w:highlight w:val="none"/>
              </w:rPr>
              <w:t>=B×S×Ks×136/32</w:t>
            </w:r>
            <w:r>
              <w:rPr>
                <w:rFonts w:hint="eastAsia"/>
                <w:color w:val="auto"/>
                <w:sz w:val="24"/>
                <w:highlight w:val="none"/>
                <w:lang w:val="en-US" w:eastAsia="zh-CN"/>
              </w:rPr>
              <w:t>=118.5459t/a</w:t>
            </w:r>
          </w:p>
          <w:p w14:paraId="79B19A07">
            <w:pPr>
              <w:adjustRightInd w:val="0"/>
              <w:snapToGrid w:val="0"/>
              <w:spacing w:line="360" w:lineRule="auto"/>
              <w:jc w:val="center"/>
              <w:rPr>
                <w:rFonts w:hint="default" w:eastAsia="宋体"/>
                <w:color w:val="auto"/>
                <w:sz w:val="24"/>
                <w:highlight w:val="none"/>
                <w:lang w:val="en-US" w:eastAsia="zh-CN"/>
              </w:rPr>
            </w:pPr>
            <w:r>
              <w:rPr>
                <w:rFonts w:hint="eastAsia"/>
                <w:color w:val="auto"/>
                <w:sz w:val="24"/>
                <w:highlight w:val="none"/>
              </w:rPr>
              <w:t>G</w:t>
            </w:r>
            <w:r>
              <w:rPr>
                <w:rFonts w:hint="eastAsia"/>
                <w:color w:val="auto"/>
                <w:sz w:val="24"/>
                <w:highlight w:val="none"/>
                <w:vertAlign w:val="subscript"/>
              </w:rPr>
              <w:t>氧化钙</w:t>
            </w:r>
            <w:r>
              <w:rPr>
                <w:rFonts w:hint="eastAsia"/>
                <w:color w:val="auto"/>
                <w:sz w:val="24"/>
                <w:highlight w:val="none"/>
              </w:rPr>
              <w:t>=G</w:t>
            </w:r>
            <w:r>
              <w:rPr>
                <w:rFonts w:hint="eastAsia"/>
                <w:color w:val="auto"/>
                <w:sz w:val="24"/>
                <w:highlight w:val="none"/>
                <w:vertAlign w:val="subscript"/>
              </w:rPr>
              <w:t>石灰石</w:t>
            </w:r>
            <w:r>
              <w:rPr>
                <w:rFonts w:hint="eastAsia"/>
                <w:color w:val="auto"/>
                <w:sz w:val="24"/>
                <w:highlight w:val="none"/>
              </w:rPr>
              <w:t>×X</w:t>
            </w:r>
            <w:r>
              <w:rPr>
                <w:rFonts w:hint="eastAsia"/>
                <w:color w:val="auto"/>
                <w:sz w:val="24"/>
                <w:highlight w:val="none"/>
                <w:vertAlign w:val="subscript"/>
              </w:rPr>
              <w:t>CaO</w:t>
            </w:r>
            <w:r>
              <w:rPr>
                <w:rFonts w:hint="eastAsia"/>
                <w:color w:val="auto"/>
                <w:sz w:val="24"/>
                <w:highlight w:val="none"/>
              </w:rPr>
              <w:t>×（M-η</w:t>
            </w:r>
            <w:r>
              <w:rPr>
                <w:rFonts w:hint="eastAsia"/>
                <w:color w:val="auto"/>
                <w:sz w:val="24"/>
                <w:highlight w:val="none"/>
                <w:vertAlign w:val="subscript"/>
              </w:rPr>
              <w:t>SO2</w:t>
            </w:r>
            <w:r>
              <w:rPr>
                <w:rFonts w:hint="eastAsia"/>
                <w:color w:val="auto"/>
                <w:sz w:val="24"/>
                <w:highlight w:val="none"/>
              </w:rPr>
              <w:t>）/M</w:t>
            </w:r>
            <w:r>
              <w:rPr>
                <w:rFonts w:hint="eastAsia"/>
                <w:color w:val="auto"/>
                <w:sz w:val="24"/>
                <w:highlight w:val="none"/>
                <w:lang w:val="en-US" w:eastAsia="zh-CN"/>
              </w:rPr>
              <w:t>=0.6102t/a</w:t>
            </w:r>
          </w:p>
          <w:p w14:paraId="7E9E219A">
            <w:pPr>
              <w:adjustRightInd w:val="0"/>
              <w:snapToGrid w:val="0"/>
              <w:spacing w:line="360" w:lineRule="auto"/>
              <w:jc w:val="center"/>
              <w:rPr>
                <w:rFonts w:hint="default" w:eastAsia="宋体"/>
                <w:color w:val="auto"/>
                <w:sz w:val="24"/>
                <w:highlight w:val="none"/>
                <w:lang w:val="en-US" w:eastAsia="zh-CN"/>
              </w:rPr>
            </w:pPr>
            <w:r>
              <w:rPr>
                <w:rFonts w:hint="eastAsia"/>
                <w:color w:val="auto"/>
                <w:sz w:val="24"/>
                <w:highlight w:val="none"/>
              </w:rPr>
              <w:t>G</w:t>
            </w:r>
            <w:r>
              <w:rPr>
                <w:rFonts w:hint="eastAsia"/>
                <w:color w:val="auto"/>
                <w:sz w:val="24"/>
                <w:highlight w:val="none"/>
                <w:vertAlign w:val="subscript"/>
              </w:rPr>
              <w:t>惰性物质</w:t>
            </w:r>
            <w:r>
              <w:rPr>
                <w:rFonts w:hint="eastAsia"/>
                <w:color w:val="auto"/>
                <w:sz w:val="24"/>
                <w:highlight w:val="none"/>
              </w:rPr>
              <w:t>=G</w:t>
            </w:r>
            <w:r>
              <w:rPr>
                <w:rFonts w:hint="eastAsia"/>
                <w:color w:val="auto"/>
                <w:sz w:val="24"/>
                <w:highlight w:val="none"/>
                <w:vertAlign w:val="subscript"/>
              </w:rPr>
              <w:t>石灰石</w:t>
            </w:r>
            <w:r>
              <w:rPr>
                <w:rFonts w:hint="eastAsia"/>
                <w:color w:val="auto"/>
                <w:sz w:val="24"/>
                <w:highlight w:val="none"/>
              </w:rPr>
              <w:t>（1-X</w:t>
            </w:r>
            <w:r>
              <w:rPr>
                <w:rFonts w:hint="eastAsia"/>
                <w:color w:val="auto"/>
                <w:sz w:val="24"/>
                <w:highlight w:val="none"/>
                <w:vertAlign w:val="subscript"/>
              </w:rPr>
              <w:t>CaCO3</w:t>
            </w:r>
            <w:r>
              <w:rPr>
                <w:rFonts w:hint="eastAsia"/>
                <w:color w:val="auto"/>
                <w:sz w:val="24"/>
                <w:highlight w:val="none"/>
              </w:rPr>
              <w:t>）</w:t>
            </w:r>
            <w:r>
              <w:rPr>
                <w:rFonts w:hint="eastAsia"/>
                <w:color w:val="auto"/>
                <w:sz w:val="24"/>
                <w:highlight w:val="none"/>
                <w:lang w:val="en-US" w:eastAsia="zh-CN"/>
              </w:rPr>
              <w:t>=19.5252t/a</w:t>
            </w:r>
          </w:p>
          <w:p w14:paraId="148A728D">
            <w:pPr>
              <w:adjustRightInd w:val="0"/>
              <w:snapToGrid w:val="0"/>
              <w:spacing w:line="360" w:lineRule="auto"/>
              <w:ind w:firstLine="480" w:firstLineChars="200"/>
              <w:rPr>
                <w:rFonts w:hint="eastAsia" w:eastAsia="宋体"/>
                <w:color w:val="auto"/>
                <w:sz w:val="24"/>
                <w:highlight w:val="none"/>
                <w:lang w:val="en-US" w:eastAsia="zh-CN"/>
              </w:rPr>
            </w:pPr>
            <w:r>
              <w:rPr>
                <w:rFonts w:hint="eastAsia"/>
                <w:color w:val="auto"/>
                <w:sz w:val="24"/>
                <w:highlight w:val="none"/>
              </w:rPr>
              <w:t>式中：B</w:t>
            </w:r>
            <w:r>
              <w:rPr>
                <w:color w:val="auto"/>
                <w:sz w:val="24"/>
                <w:highlight w:val="none"/>
              </w:rPr>
              <w:t xml:space="preserve"> </w:t>
            </w:r>
            <w:r>
              <w:rPr>
                <w:rFonts w:hint="eastAsia"/>
                <w:color w:val="auto"/>
                <w:sz w:val="24"/>
                <w:highlight w:val="none"/>
              </w:rPr>
              <w:t>——燃</w:t>
            </w:r>
            <w:r>
              <w:rPr>
                <w:rFonts w:hint="eastAsia"/>
                <w:color w:val="auto"/>
                <w:sz w:val="24"/>
                <w:highlight w:val="none"/>
                <w:lang w:eastAsia="zh-CN"/>
              </w:rPr>
              <w:t>生物质颗粒</w:t>
            </w:r>
            <w:r>
              <w:rPr>
                <w:rFonts w:hint="eastAsia"/>
                <w:color w:val="auto"/>
                <w:sz w:val="24"/>
                <w:highlight w:val="none"/>
              </w:rPr>
              <w:t>量（t</w:t>
            </w:r>
            <w:r>
              <w:rPr>
                <w:color w:val="auto"/>
                <w:sz w:val="24"/>
                <w:highlight w:val="none"/>
              </w:rPr>
              <w:t>/a）</w:t>
            </w:r>
            <w:r>
              <w:rPr>
                <w:rFonts w:hint="eastAsia"/>
                <w:color w:val="auto"/>
                <w:sz w:val="24"/>
                <w:highlight w:val="none"/>
              </w:rPr>
              <w:t>，根据热平衡，</w:t>
            </w:r>
            <w:r>
              <w:rPr>
                <w:rFonts w:hint="eastAsia"/>
                <w:color w:val="auto"/>
                <w:sz w:val="24"/>
                <w:highlight w:val="none"/>
                <w:lang w:eastAsia="zh-CN"/>
              </w:rPr>
              <w:t>生产线</w:t>
            </w:r>
            <w:r>
              <w:rPr>
                <w:rFonts w:hint="eastAsia"/>
                <w:color w:val="auto"/>
                <w:sz w:val="24"/>
                <w:highlight w:val="none"/>
              </w:rPr>
              <w:t>燃</w:t>
            </w:r>
            <w:r>
              <w:rPr>
                <w:rFonts w:hint="eastAsia"/>
                <w:color w:val="auto"/>
                <w:sz w:val="24"/>
                <w:highlight w:val="none"/>
                <w:lang w:eastAsia="zh-CN"/>
              </w:rPr>
              <w:t>生物质颗粒</w:t>
            </w:r>
            <w:r>
              <w:rPr>
                <w:rFonts w:hint="eastAsia"/>
                <w:color w:val="auto"/>
                <w:sz w:val="24"/>
                <w:highlight w:val="none"/>
              </w:rPr>
              <w:t>量为</w:t>
            </w:r>
            <w:r>
              <w:rPr>
                <w:rFonts w:hint="eastAsia" w:ascii="Times New Roman" w:hAnsi="Times New Roman" w:eastAsia="宋体" w:cs="Times New Roman"/>
                <w:color w:val="auto"/>
                <w:sz w:val="24"/>
                <w:highlight w:val="none"/>
                <w:lang w:val="en-US" w:eastAsia="zh-CN"/>
              </w:rPr>
              <w:t>36461.6448t</w:t>
            </w:r>
            <w:r>
              <w:rPr>
                <w:rFonts w:hint="eastAsia" w:ascii="Times New Roman" w:hAnsi="Times New Roman" w:eastAsia="宋体" w:cs="Times New Roman"/>
                <w:color w:val="auto"/>
                <w:sz w:val="24"/>
                <w:highlight w:val="none"/>
              </w:rPr>
              <w:t>/a</w:t>
            </w:r>
            <w:r>
              <w:rPr>
                <w:color w:val="auto"/>
                <w:sz w:val="24"/>
                <w:highlight w:val="none"/>
              </w:rPr>
              <w:t>；</w:t>
            </w:r>
          </w:p>
          <w:p w14:paraId="304A6F8C">
            <w:pPr>
              <w:adjustRightInd w:val="0"/>
              <w:snapToGrid w:val="0"/>
              <w:spacing w:line="360" w:lineRule="auto"/>
              <w:ind w:firstLine="1200" w:firstLineChars="500"/>
              <w:rPr>
                <w:color w:val="auto"/>
                <w:sz w:val="24"/>
                <w:highlight w:val="none"/>
              </w:rPr>
            </w:pPr>
            <w:r>
              <w:rPr>
                <w:rFonts w:hint="eastAsia"/>
                <w:color w:val="auto"/>
                <w:sz w:val="24"/>
                <w:highlight w:val="none"/>
              </w:rPr>
              <w:t>A</w:t>
            </w:r>
            <w:r>
              <w:rPr>
                <w:color w:val="auto"/>
                <w:sz w:val="24"/>
                <w:highlight w:val="none"/>
              </w:rPr>
              <w:t xml:space="preserve"> </w:t>
            </w:r>
            <w:r>
              <w:rPr>
                <w:rFonts w:hint="eastAsia"/>
                <w:color w:val="auto"/>
                <w:sz w:val="24"/>
                <w:highlight w:val="none"/>
              </w:rPr>
              <w:t>——</w:t>
            </w:r>
            <w:r>
              <w:rPr>
                <w:rFonts w:hint="eastAsia"/>
                <w:color w:val="auto"/>
                <w:sz w:val="24"/>
                <w:highlight w:val="none"/>
                <w:lang w:eastAsia="zh-CN"/>
              </w:rPr>
              <w:t>生物质颗粒</w:t>
            </w:r>
            <w:r>
              <w:rPr>
                <w:rFonts w:hint="eastAsia"/>
                <w:color w:val="auto"/>
                <w:sz w:val="24"/>
                <w:highlight w:val="none"/>
              </w:rPr>
              <w:t>中含灰量（%），根据</w:t>
            </w:r>
            <w:r>
              <w:rPr>
                <w:rFonts w:hint="eastAsia"/>
                <w:color w:val="auto"/>
                <w:sz w:val="24"/>
                <w:highlight w:val="none"/>
                <w:lang w:eastAsia="zh-CN"/>
              </w:rPr>
              <w:t>生物</w:t>
            </w:r>
            <w:r>
              <w:rPr>
                <w:rFonts w:hint="eastAsia"/>
                <w:color w:val="auto"/>
                <w:sz w:val="24"/>
                <w:highlight w:val="none"/>
              </w:rPr>
              <w:t>质</w:t>
            </w:r>
            <w:r>
              <w:rPr>
                <w:rFonts w:hint="eastAsia"/>
                <w:color w:val="auto"/>
                <w:sz w:val="24"/>
                <w:highlight w:val="none"/>
                <w:lang w:eastAsia="zh-CN"/>
              </w:rPr>
              <w:t>颗粒检测报告</w:t>
            </w:r>
            <w:r>
              <w:rPr>
                <w:rFonts w:hint="eastAsia"/>
                <w:color w:val="auto"/>
                <w:sz w:val="24"/>
                <w:highlight w:val="none"/>
              </w:rPr>
              <w:t>，</w:t>
            </w:r>
            <w:r>
              <w:rPr>
                <w:rFonts w:hint="eastAsia"/>
                <w:color w:val="auto"/>
                <w:sz w:val="24"/>
                <w:highlight w:val="none"/>
                <w:lang w:val="en-US" w:eastAsia="zh-CN"/>
              </w:rPr>
              <w:t>A=</w:t>
            </w:r>
            <w:r>
              <w:rPr>
                <w:rFonts w:hint="eastAsia" w:cs="Times New Roman"/>
                <w:color w:val="auto"/>
                <w:sz w:val="24"/>
                <w:szCs w:val="24"/>
                <w:highlight w:val="none"/>
                <w:lang w:val="en-US" w:eastAsia="zh-CN"/>
              </w:rPr>
              <w:t>3.96%；</w:t>
            </w:r>
          </w:p>
          <w:p w14:paraId="38FB1212">
            <w:pPr>
              <w:adjustRightInd w:val="0"/>
              <w:snapToGrid w:val="0"/>
              <w:spacing w:line="360" w:lineRule="auto"/>
              <w:ind w:firstLine="1200" w:firstLineChars="500"/>
              <w:rPr>
                <w:color w:val="auto"/>
                <w:sz w:val="24"/>
                <w:highlight w:val="none"/>
              </w:rPr>
            </w:pPr>
            <w:r>
              <w:rPr>
                <w:rFonts w:hint="eastAsia"/>
                <w:color w:val="auto"/>
                <w:sz w:val="24"/>
                <w:highlight w:val="none"/>
              </w:rPr>
              <w:t>d</w:t>
            </w:r>
            <w:r>
              <w:rPr>
                <w:rFonts w:hint="eastAsia"/>
                <w:color w:val="auto"/>
                <w:sz w:val="24"/>
                <w:highlight w:val="none"/>
                <w:vertAlign w:val="subscript"/>
              </w:rPr>
              <w:t>fh</w:t>
            </w:r>
            <w:r>
              <w:rPr>
                <w:rFonts w:hint="eastAsia"/>
                <w:color w:val="auto"/>
                <w:sz w:val="24"/>
                <w:highlight w:val="none"/>
              </w:rPr>
              <w:t>——烟气中烟尘占灰分量的百分比（%），取值为85%；</w:t>
            </w:r>
          </w:p>
          <w:p w14:paraId="265DC8CD">
            <w:pPr>
              <w:adjustRightInd w:val="0"/>
              <w:snapToGrid w:val="0"/>
              <w:spacing w:line="360" w:lineRule="auto"/>
              <w:ind w:firstLine="1200" w:firstLineChars="500"/>
              <w:rPr>
                <w:color w:val="auto"/>
                <w:sz w:val="24"/>
                <w:highlight w:val="none"/>
              </w:rPr>
            </w:pPr>
            <w:r>
              <w:rPr>
                <w:rFonts w:hint="eastAsia"/>
                <w:color w:val="auto"/>
                <w:sz w:val="24"/>
                <w:highlight w:val="none"/>
              </w:rPr>
              <w:t>α</w:t>
            </w:r>
            <w:r>
              <w:rPr>
                <w:rFonts w:hint="eastAsia"/>
                <w:color w:val="auto"/>
                <w:sz w:val="24"/>
                <w:highlight w:val="none"/>
                <w:vertAlign w:val="subscript"/>
              </w:rPr>
              <w:t>Sf</w:t>
            </w:r>
            <w:r>
              <w:rPr>
                <w:rFonts w:hint="eastAsia"/>
                <w:color w:val="auto"/>
                <w:sz w:val="24"/>
                <w:highlight w:val="none"/>
              </w:rPr>
              <w:t>——石灰石喷入炉内后的飞逸份额，取80%；</w:t>
            </w:r>
          </w:p>
          <w:p w14:paraId="32E37752">
            <w:pPr>
              <w:adjustRightInd w:val="0"/>
              <w:snapToGrid w:val="0"/>
              <w:spacing w:line="360" w:lineRule="auto"/>
              <w:ind w:firstLine="1200" w:firstLineChars="500"/>
              <w:rPr>
                <w:rFonts w:hint="eastAsia" w:cs="Times New Roman"/>
                <w:color w:val="auto"/>
                <w:sz w:val="24"/>
                <w:szCs w:val="24"/>
                <w:highlight w:val="none"/>
                <w:lang w:val="en-US" w:eastAsia="zh-CN"/>
              </w:rPr>
            </w:pPr>
            <w:r>
              <w:rPr>
                <w:rFonts w:hint="eastAsia"/>
                <w:color w:val="auto"/>
                <w:sz w:val="24"/>
                <w:highlight w:val="none"/>
              </w:rPr>
              <w:t>S——含硫量（%）；根据</w:t>
            </w:r>
            <w:r>
              <w:rPr>
                <w:rFonts w:hint="eastAsia"/>
                <w:color w:val="auto"/>
                <w:sz w:val="24"/>
                <w:highlight w:val="none"/>
                <w:lang w:eastAsia="zh-CN"/>
              </w:rPr>
              <w:t>生物质颗粒</w:t>
            </w:r>
            <w:r>
              <w:rPr>
                <w:rFonts w:hint="eastAsia"/>
                <w:color w:val="auto"/>
                <w:sz w:val="24"/>
                <w:highlight w:val="none"/>
              </w:rPr>
              <w:t>检测报告，</w:t>
            </w:r>
            <w:r>
              <w:rPr>
                <w:rFonts w:hint="eastAsia"/>
                <w:color w:val="auto"/>
                <w:sz w:val="24"/>
                <w:highlight w:val="none"/>
                <w:lang w:val="en-US" w:eastAsia="zh-CN"/>
              </w:rPr>
              <w:t>S=0.09</w:t>
            </w:r>
            <w:r>
              <w:rPr>
                <w:rFonts w:hint="eastAsia" w:cs="Times New Roman"/>
                <w:color w:val="auto"/>
                <w:sz w:val="24"/>
                <w:szCs w:val="24"/>
                <w:highlight w:val="none"/>
                <w:lang w:val="en-US" w:eastAsia="zh-CN"/>
              </w:rPr>
              <w:t>%；</w:t>
            </w:r>
          </w:p>
          <w:p w14:paraId="4026AE0B">
            <w:pPr>
              <w:adjustRightInd w:val="0"/>
              <w:snapToGrid w:val="0"/>
              <w:spacing w:line="360" w:lineRule="auto"/>
              <w:ind w:firstLine="1200" w:firstLineChars="500"/>
              <w:rPr>
                <w:color w:val="auto"/>
                <w:sz w:val="24"/>
                <w:highlight w:val="none"/>
              </w:rPr>
            </w:pPr>
            <w:r>
              <w:rPr>
                <w:rFonts w:hint="eastAsia"/>
                <w:color w:val="auto"/>
                <w:sz w:val="24"/>
                <w:highlight w:val="none"/>
              </w:rPr>
              <w:t>Ks——可燃硫占全硫量的百分比，%，取</w:t>
            </w:r>
            <w:r>
              <w:rPr>
                <w:color w:val="auto"/>
                <w:sz w:val="24"/>
                <w:highlight w:val="none"/>
              </w:rPr>
              <w:t>85</w:t>
            </w:r>
            <w:r>
              <w:rPr>
                <w:rFonts w:hint="eastAsia"/>
                <w:color w:val="auto"/>
                <w:sz w:val="24"/>
                <w:highlight w:val="none"/>
              </w:rPr>
              <w:t>%；</w:t>
            </w:r>
          </w:p>
          <w:p w14:paraId="490B3D40">
            <w:pPr>
              <w:adjustRightInd w:val="0"/>
              <w:snapToGrid w:val="0"/>
              <w:spacing w:line="360" w:lineRule="auto"/>
              <w:ind w:firstLine="480" w:firstLineChars="200"/>
              <w:rPr>
                <w:color w:val="auto"/>
                <w:sz w:val="24"/>
                <w:highlight w:val="none"/>
              </w:rPr>
            </w:pPr>
            <w:r>
              <w:rPr>
                <w:rFonts w:hint="eastAsia"/>
                <w:color w:val="auto"/>
                <w:sz w:val="24"/>
                <w:highlight w:val="none"/>
              </w:rPr>
              <w:t>G</w:t>
            </w:r>
            <w:r>
              <w:rPr>
                <w:rFonts w:hint="eastAsia"/>
                <w:color w:val="auto"/>
                <w:sz w:val="24"/>
                <w:highlight w:val="none"/>
                <w:vertAlign w:val="subscript"/>
              </w:rPr>
              <w:t>石灰石</w:t>
            </w:r>
            <w:r>
              <w:rPr>
                <w:rFonts w:hint="eastAsia"/>
                <w:color w:val="auto"/>
                <w:sz w:val="24"/>
                <w:highlight w:val="none"/>
              </w:rPr>
              <w:t>——脱硫石灰石粉用量，根据第一章核算结果，为</w:t>
            </w:r>
            <w:r>
              <w:rPr>
                <w:rFonts w:hint="eastAsia"/>
                <w:color w:val="auto"/>
                <w:sz w:val="24"/>
                <w:szCs w:val="24"/>
                <w:highlight w:val="none"/>
                <w:lang w:val="en-US" w:eastAsia="zh-CN"/>
              </w:rPr>
              <w:t>195.2521</w:t>
            </w:r>
            <w:r>
              <w:rPr>
                <w:rFonts w:hint="eastAsia"/>
                <w:color w:val="auto"/>
                <w:sz w:val="24"/>
                <w:highlight w:val="none"/>
              </w:rPr>
              <w:t>t/a</w:t>
            </w:r>
            <w:r>
              <w:rPr>
                <w:color w:val="auto"/>
                <w:sz w:val="24"/>
                <w:highlight w:val="none"/>
              </w:rPr>
              <w:t>；</w:t>
            </w:r>
          </w:p>
          <w:p w14:paraId="74694B83">
            <w:pPr>
              <w:adjustRightInd w:val="0"/>
              <w:snapToGrid w:val="0"/>
              <w:spacing w:line="360" w:lineRule="auto"/>
              <w:ind w:firstLine="1200" w:firstLineChars="500"/>
              <w:rPr>
                <w:color w:val="auto"/>
                <w:sz w:val="24"/>
                <w:highlight w:val="none"/>
              </w:rPr>
            </w:pPr>
            <w:r>
              <w:rPr>
                <w:rFonts w:hint="eastAsia"/>
                <w:color w:val="auto"/>
                <w:sz w:val="24"/>
                <w:highlight w:val="none"/>
              </w:rPr>
              <w:t>M——钙硫比，取2；</w:t>
            </w:r>
          </w:p>
          <w:p w14:paraId="3751746B">
            <w:pPr>
              <w:adjustRightInd w:val="0"/>
              <w:snapToGrid w:val="0"/>
              <w:spacing w:line="360" w:lineRule="auto"/>
              <w:ind w:firstLine="1200" w:firstLineChars="500"/>
              <w:rPr>
                <w:color w:val="auto"/>
                <w:sz w:val="24"/>
                <w:highlight w:val="none"/>
              </w:rPr>
            </w:pPr>
            <w:r>
              <w:rPr>
                <w:rFonts w:hint="eastAsia"/>
                <w:color w:val="auto"/>
                <w:sz w:val="24"/>
                <w:highlight w:val="none"/>
              </w:rPr>
              <w:t>X</w:t>
            </w:r>
            <w:r>
              <w:rPr>
                <w:rFonts w:hint="eastAsia"/>
                <w:color w:val="auto"/>
                <w:sz w:val="24"/>
                <w:highlight w:val="none"/>
                <w:vertAlign w:val="subscript"/>
              </w:rPr>
              <w:t>CaO</w:t>
            </w:r>
            <w:r>
              <w:rPr>
                <w:rFonts w:hint="eastAsia"/>
                <w:color w:val="auto"/>
                <w:sz w:val="24"/>
                <w:highlight w:val="none"/>
              </w:rPr>
              <w:t>——石灰石煅烧生成CaO效率，取0.50%。</w:t>
            </w:r>
          </w:p>
          <w:p w14:paraId="3EB8E9EB">
            <w:pPr>
              <w:adjustRightInd w:val="0"/>
              <w:snapToGrid w:val="0"/>
              <w:spacing w:line="360" w:lineRule="auto"/>
              <w:ind w:firstLine="1200" w:firstLineChars="500"/>
              <w:rPr>
                <w:color w:val="auto"/>
                <w:sz w:val="24"/>
                <w:highlight w:val="none"/>
              </w:rPr>
            </w:pPr>
            <w:r>
              <w:rPr>
                <w:rFonts w:hint="eastAsia"/>
                <w:color w:val="auto"/>
                <w:sz w:val="24"/>
                <w:highlight w:val="none"/>
              </w:rPr>
              <w:t>X</w:t>
            </w:r>
            <w:r>
              <w:rPr>
                <w:rFonts w:hint="eastAsia"/>
                <w:color w:val="auto"/>
                <w:sz w:val="24"/>
                <w:highlight w:val="none"/>
                <w:vertAlign w:val="subscript"/>
              </w:rPr>
              <w:t>CaCO3</w:t>
            </w:r>
            <w:r>
              <w:rPr>
                <w:rFonts w:hint="eastAsia"/>
                <w:color w:val="auto"/>
                <w:sz w:val="24"/>
                <w:highlight w:val="none"/>
              </w:rPr>
              <w:t>——石灰石中CaCO</w:t>
            </w:r>
            <w:r>
              <w:rPr>
                <w:rFonts w:hint="eastAsia"/>
                <w:color w:val="auto"/>
                <w:sz w:val="24"/>
                <w:highlight w:val="none"/>
                <w:vertAlign w:val="subscript"/>
              </w:rPr>
              <w:t>3</w:t>
            </w:r>
            <w:r>
              <w:rPr>
                <w:rFonts w:hint="eastAsia"/>
                <w:color w:val="auto"/>
                <w:sz w:val="24"/>
                <w:highlight w:val="none"/>
              </w:rPr>
              <w:t>含量，取90%。</w:t>
            </w:r>
          </w:p>
          <w:p w14:paraId="2BD57BA9">
            <w:pPr>
              <w:adjustRightInd w:val="0"/>
              <w:snapToGrid w:val="0"/>
              <w:spacing w:line="360" w:lineRule="auto"/>
              <w:ind w:firstLine="1200" w:firstLineChars="500"/>
              <w:rPr>
                <w:color w:val="auto"/>
                <w:sz w:val="24"/>
                <w:highlight w:val="none"/>
              </w:rPr>
            </w:pPr>
            <w:r>
              <w:rPr>
                <w:rFonts w:hint="eastAsia"/>
                <w:color w:val="auto"/>
                <w:sz w:val="24"/>
                <w:highlight w:val="none"/>
              </w:rPr>
              <w:t>η</w:t>
            </w:r>
            <w:r>
              <w:rPr>
                <w:rFonts w:hint="eastAsia"/>
                <w:color w:val="auto"/>
                <w:sz w:val="24"/>
                <w:highlight w:val="none"/>
                <w:vertAlign w:val="subscript"/>
              </w:rPr>
              <w:t>SO2</w:t>
            </w:r>
            <w:r>
              <w:rPr>
                <w:rFonts w:hint="eastAsia"/>
                <w:color w:val="auto"/>
                <w:sz w:val="24"/>
                <w:highlight w:val="none"/>
              </w:rPr>
              <w:t>——脱硫效率（%），75%；</w:t>
            </w:r>
          </w:p>
          <w:p w14:paraId="6BBFBBF7">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color w:val="auto"/>
                <w:sz w:val="24"/>
                <w:highlight w:val="none"/>
              </w:rPr>
              <w:t>经核算，热风炉炉渣产生量为</w:t>
            </w:r>
            <w:r>
              <w:rPr>
                <w:rFonts w:hint="eastAsia"/>
                <w:color w:val="auto"/>
                <w:sz w:val="24"/>
                <w:highlight w:val="none"/>
                <w:lang w:val="en-US" w:eastAsia="zh-CN"/>
              </w:rPr>
              <w:t>290.2888t/a</w:t>
            </w:r>
            <w:r>
              <w:rPr>
                <w:rFonts w:hint="eastAsia"/>
                <w:color w:val="auto"/>
                <w:sz w:val="24"/>
                <w:highlight w:val="none"/>
              </w:rPr>
              <w:t>。</w:t>
            </w:r>
            <w:r>
              <w:rPr>
                <w:rFonts w:hint="default" w:ascii="Times New Roman" w:hAnsi="Times New Roman" w:cs="Times New Roman"/>
                <w:color w:val="auto"/>
                <w:sz w:val="24"/>
                <w:highlight w:val="none"/>
                <w:lang w:val="zh-CN"/>
              </w:rPr>
              <w:t>统一收集后</w:t>
            </w:r>
            <w:r>
              <w:rPr>
                <w:rFonts w:hint="eastAsia" w:ascii="Times New Roman" w:hAnsi="Times New Roman" w:cs="Times New Roman"/>
                <w:color w:val="auto"/>
                <w:sz w:val="24"/>
                <w:highlight w:val="none"/>
                <w:lang w:val="zh-CN"/>
              </w:rPr>
              <w:t>暂存于</w:t>
            </w:r>
            <w:r>
              <w:rPr>
                <w:rFonts w:hint="eastAsia"/>
                <w:color w:val="auto"/>
                <w:sz w:val="24"/>
                <w:highlight w:val="none"/>
              </w:rPr>
              <w:t>一般工业固废暂存间暂存，</w:t>
            </w:r>
            <w:r>
              <w:rPr>
                <w:rFonts w:hint="eastAsia" w:ascii="Times New Roman" w:hAnsi="Times New Roman" w:cs="Times New Roman"/>
                <w:color w:val="auto"/>
                <w:sz w:val="24"/>
                <w:highlight w:val="none"/>
                <w:lang w:val="zh-CN"/>
              </w:rPr>
              <w:t>通过铲车装车作为水泥生产的混合材外售</w:t>
            </w:r>
            <w:r>
              <w:rPr>
                <w:rFonts w:hint="default" w:ascii="Times New Roman" w:hAnsi="Times New Roman" w:cs="Times New Roman"/>
                <w:color w:val="auto"/>
                <w:sz w:val="24"/>
                <w:highlight w:val="none"/>
              </w:rPr>
              <w:t>。</w:t>
            </w:r>
          </w:p>
          <w:p w14:paraId="28E904F9">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（3）</w:t>
            </w:r>
            <w:r>
              <w:rPr>
                <w:rFonts w:hint="eastAsia" w:ascii="Times New Roman" w:hAnsi="Times New Roman" w:eastAsia="宋体" w:cs="Times New Roman"/>
                <w:b w:val="0"/>
                <w:bCs w:val="0"/>
                <w:color w:val="auto"/>
                <w:sz w:val="24"/>
                <w:szCs w:val="24"/>
                <w:highlight w:val="none"/>
                <w:lang w:val="en-US" w:eastAsia="zh-CN"/>
              </w:rPr>
              <w:t>烘干工序除尘器收集的粉尘</w:t>
            </w:r>
          </w:p>
          <w:p w14:paraId="3337DD8B">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根据废气部分计算可知，项目生产过程中</w:t>
            </w:r>
            <w:r>
              <w:rPr>
                <w:rFonts w:hint="eastAsia" w:ascii="Times New Roman" w:hAnsi="Times New Roman" w:eastAsia="宋体" w:cs="Times New Roman"/>
                <w:b w:val="0"/>
                <w:bCs w:val="0"/>
                <w:color w:val="auto"/>
                <w:sz w:val="24"/>
                <w:szCs w:val="24"/>
                <w:highlight w:val="none"/>
                <w:lang w:val="en-US" w:eastAsia="zh-CN"/>
              </w:rPr>
              <w:t>烘干工序除尘器收集的粉尘</w:t>
            </w:r>
            <w:r>
              <w:rPr>
                <w:rFonts w:hint="default" w:ascii="Times New Roman" w:hAnsi="Times New Roman" w:eastAsia="宋体" w:cs="Times New Roman"/>
                <w:b w:val="0"/>
                <w:bCs w:val="0"/>
                <w:color w:val="auto"/>
                <w:sz w:val="24"/>
                <w:szCs w:val="24"/>
                <w:highlight w:val="none"/>
                <w:lang w:val="en-US" w:eastAsia="zh-CN"/>
              </w:rPr>
              <w:t>量约为</w:t>
            </w:r>
            <w:r>
              <w:rPr>
                <w:rFonts w:hint="eastAsia" w:cs="Times New Roman"/>
                <w:color w:val="auto"/>
                <w:sz w:val="24"/>
                <w:szCs w:val="24"/>
                <w:highlight w:val="none"/>
                <w:lang w:val="en-US" w:eastAsia="zh-CN"/>
              </w:rPr>
              <w:t>76.3603t/a。</w:t>
            </w:r>
            <w:r>
              <w:rPr>
                <w:rFonts w:hint="default" w:ascii="Times New Roman" w:hAnsi="Times New Roman" w:eastAsia="宋体" w:cs="Times New Roman"/>
                <w:b w:val="0"/>
                <w:bCs w:val="0"/>
                <w:color w:val="auto"/>
                <w:sz w:val="24"/>
                <w:szCs w:val="24"/>
                <w:highlight w:val="none"/>
                <w:lang w:val="en-US" w:eastAsia="zh-CN"/>
              </w:rPr>
              <w:t>定期清理收集后</w:t>
            </w:r>
            <w:r>
              <w:rPr>
                <w:rFonts w:hint="eastAsia" w:cs="Times New Roman"/>
                <w:b w:val="0"/>
                <w:bCs w:val="0"/>
                <w:color w:val="auto"/>
                <w:sz w:val="24"/>
                <w:szCs w:val="24"/>
                <w:highlight w:val="none"/>
                <w:lang w:val="en-US" w:eastAsia="zh-CN"/>
              </w:rPr>
              <w:t>储存于煤粉仓内，作为成品外售</w:t>
            </w:r>
            <w:r>
              <w:rPr>
                <w:rFonts w:hint="default" w:ascii="Times New Roman" w:hAnsi="Times New Roman" w:eastAsia="宋体" w:cs="Times New Roman"/>
                <w:b w:val="0"/>
                <w:bCs w:val="0"/>
                <w:color w:val="auto"/>
                <w:sz w:val="24"/>
                <w:szCs w:val="24"/>
                <w:highlight w:val="none"/>
                <w:lang w:val="en-US" w:eastAsia="zh-CN"/>
              </w:rPr>
              <w:t>。</w:t>
            </w:r>
          </w:p>
          <w:p w14:paraId="423AF35D">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w:t>
            </w:r>
            <w:r>
              <w:rPr>
                <w:rFonts w:hint="eastAsia" w:ascii="Times New Roman" w:hAnsi="Times New Roman" w:eastAsia="宋体" w:cs="Times New Roman"/>
                <w:b w:val="0"/>
                <w:bCs w:val="0"/>
                <w:color w:val="auto"/>
                <w:sz w:val="24"/>
                <w:szCs w:val="24"/>
                <w:highlight w:val="none"/>
                <w:lang w:val="en-US" w:eastAsia="zh-CN"/>
              </w:rPr>
              <w:t>成品除尘器收集的粉尘</w:t>
            </w:r>
          </w:p>
          <w:p w14:paraId="5D24193B">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根据废气部分计算可知，项目生产过程中</w:t>
            </w:r>
            <w:r>
              <w:rPr>
                <w:rFonts w:hint="eastAsia" w:ascii="Times New Roman" w:hAnsi="Times New Roman" w:eastAsia="宋体" w:cs="Times New Roman"/>
                <w:b w:val="0"/>
                <w:bCs w:val="0"/>
                <w:color w:val="auto"/>
                <w:sz w:val="24"/>
                <w:szCs w:val="24"/>
                <w:highlight w:val="none"/>
                <w:lang w:val="en-US" w:eastAsia="zh-CN"/>
              </w:rPr>
              <w:t>成品除尘器收集的粉尘</w:t>
            </w:r>
            <w:r>
              <w:rPr>
                <w:rFonts w:hint="default" w:ascii="Times New Roman" w:hAnsi="Times New Roman" w:eastAsia="宋体" w:cs="Times New Roman"/>
                <w:b w:val="0"/>
                <w:bCs w:val="0"/>
                <w:color w:val="auto"/>
                <w:sz w:val="24"/>
                <w:szCs w:val="24"/>
                <w:highlight w:val="none"/>
                <w:lang w:val="en-US" w:eastAsia="zh-CN"/>
              </w:rPr>
              <w:t>量</w:t>
            </w:r>
            <w:r>
              <w:rPr>
                <w:rFonts w:hint="eastAsia" w:ascii="Times New Roman" w:hAnsi="Times New Roman" w:eastAsia="宋体" w:cs="Times New Roman"/>
                <w:b w:val="0"/>
                <w:bCs w:val="0"/>
                <w:color w:val="auto"/>
                <w:sz w:val="24"/>
                <w:szCs w:val="24"/>
                <w:highlight w:val="none"/>
                <w:lang w:val="en-US" w:eastAsia="zh-CN"/>
              </w:rPr>
              <w:t>（出烘干机皮带转运站、</w:t>
            </w:r>
            <w:r>
              <w:rPr>
                <w:rFonts w:hint="eastAsia"/>
                <w:b w:val="0"/>
                <w:bCs w:val="0"/>
                <w:color w:val="auto"/>
                <w:sz w:val="24"/>
                <w:highlight w:val="none"/>
                <w:lang w:eastAsia="zh-CN"/>
              </w:rPr>
              <w:t>进成品堆棚转运站</w:t>
            </w:r>
            <w:r>
              <w:rPr>
                <w:rFonts w:hint="eastAsia"/>
                <w:b/>
                <w:bCs/>
                <w:color w:val="auto"/>
                <w:sz w:val="24"/>
                <w:highlight w:val="none"/>
                <w:lang w:eastAsia="zh-CN"/>
              </w:rPr>
              <w:t>、</w:t>
            </w:r>
            <w:r>
              <w:rPr>
                <w:rFonts w:hint="eastAsia" w:ascii="Times New Roman" w:hAnsi="Times New Roman" w:eastAsia="宋体" w:cs="Times New Roman"/>
                <w:b w:val="0"/>
                <w:bCs w:val="0"/>
                <w:color w:val="auto"/>
                <w:sz w:val="24"/>
                <w:szCs w:val="24"/>
                <w:highlight w:val="none"/>
                <w:lang w:val="en-US" w:eastAsia="zh-CN"/>
              </w:rPr>
              <w:t>出成品堆棚皮带转运站、成品装车车间皮带转运站</w:t>
            </w:r>
            <w:r>
              <w:rPr>
                <w:rFonts w:hint="eastAsia" w:cs="Times New Roman"/>
                <w:b w:val="0"/>
                <w:bCs w:val="0"/>
                <w:color w:val="auto"/>
                <w:sz w:val="24"/>
                <w:szCs w:val="24"/>
                <w:highlight w:val="none"/>
                <w:lang w:val="en-US" w:eastAsia="zh-CN"/>
              </w:rPr>
              <w:t>、</w:t>
            </w:r>
            <w:r>
              <w:rPr>
                <w:rFonts w:hint="eastAsia" w:cs="Times New Roman"/>
                <w:b w:val="0"/>
                <w:bCs w:val="0"/>
                <w:color w:val="auto"/>
                <w:spacing w:val="6"/>
                <w:kern w:val="2"/>
                <w:sz w:val="24"/>
                <w:szCs w:val="24"/>
                <w:highlight w:val="none"/>
                <w:lang w:val="en-US" w:eastAsia="zh-CN" w:bidi="ar-SA"/>
              </w:rPr>
              <w:t>成品散装</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为</w:t>
            </w:r>
            <w:r>
              <w:rPr>
                <w:rFonts w:hint="eastAsia" w:cs="Times New Roman"/>
                <w:b w:val="0"/>
                <w:bCs w:val="0"/>
                <w:color w:val="auto"/>
                <w:sz w:val="24"/>
                <w:szCs w:val="24"/>
                <w:highlight w:val="none"/>
                <w:lang w:val="en-US" w:eastAsia="zh-CN"/>
              </w:rPr>
              <w:t>59.3049t/a。</w:t>
            </w:r>
          </w:p>
          <w:p w14:paraId="279147A7">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sz w:val="24"/>
                <w:szCs w:val="24"/>
                <w:highlight w:val="none"/>
                <w:lang w:val="en-US" w:eastAsia="zh-CN" w:bidi="ar"/>
              </w:rPr>
            </w:pPr>
            <w:r>
              <w:rPr>
                <w:rFonts w:hint="eastAsia" w:cs="Times New Roman"/>
                <w:b w:val="0"/>
                <w:bCs w:val="0"/>
                <w:color w:val="auto"/>
                <w:sz w:val="24"/>
                <w:szCs w:val="24"/>
                <w:highlight w:val="none"/>
                <w:lang w:val="en-US" w:eastAsia="zh-CN"/>
              </w:rPr>
              <w:t>均</w:t>
            </w:r>
            <w:r>
              <w:rPr>
                <w:rFonts w:hint="default" w:ascii="Times New Roman" w:hAnsi="Times New Roman" w:eastAsia="宋体" w:cs="Times New Roman"/>
                <w:b w:val="0"/>
                <w:bCs w:val="0"/>
                <w:color w:val="auto"/>
                <w:sz w:val="24"/>
                <w:szCs w:val="24"/>
                <w:highlight w:val="none"/>
                <w:lang w:val="en-US" w:eastAsia="zh-CN"/>
              </w:rPr>
              <w:t>定期清理收集后作为成品送回储仓内发运外售。</w:t>
            </w:r>
          </w:p>
          <w:p w14:paraId="16A502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（5）石灰石粉除尘器收集的粉尘</w:t>
            </w:r>
          </w:p>
          <w:p w14:paraId="462D50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根据废气部分计算可知，项目生产过程中</w:t>
            </w:r>
            <w:r>
              <w:rPr>
                <w:rFonts w:hint="eastAsia" w:cs="Times New Roman"/>
                <w:b w:val="0"/>
                <w:bCs w:val="0"/>
                <w:color w:val="auto"/>
                <w:sz w:val="24"/>
                <w:szCs w:val="24"/>
                <w:highlight w:val="none"/>
                <w:lang w:val="en-US" w:eastAsia="zh-CN"/>
              </w:rPr>
              <w:t>石灰石粉</w:t>
            </w:r>
            <w:r>
              <w:rPr>
                <w:rFonts w:hint="eastAsia" w:ascii="Times New Roman" w:hAnsi="Times New Roman" w:eastAsia="宋体" w:cs="Times New Roman"/>
                <w:b w:val="0"/>
                <w:bCs w:val="0"/>
                <w:color w:val="auto"/>
                <w:sz w:val="24"/>
                <w:szCs w:val="24"/>
                <w:highlight w:val="none"/>
                <w:lang w:val="en-US" w:eastAsia="zh-CN"/>
              </w:rPr>
              <w:t>除尘器收集的粉尘</w:t>
            </w:r>
            <w:r>
              <w:rPr>
                <w:rFonts w:hint="default" w:ascii="Times New Roman" w:hAnsi="Times New Roman" w:eastAsia="宋体" w:cs="Times New Roman"/>
                <w:b w:val="0"/>
                <w:bCs w:val="0"/>
                <w:color w:val="auto"/>
                <w:sz w:val="24"/>
                <w:szCs w:val="24"/>
                <w:highlight w:val="none"/>
                <w:lang w:val="en-US" w:eastAsia="zh-CN"/>
              </w:rPr>
              <w:t>量为</w:t>
            </w:r>
            <w:r>
              <w:rPr>
                <w:rFonts w:hint="eastAsia" w:cs="Times New Roman"/>
                <w:b w:val="0"/>
                <w:bCs w:val="0"/>
                <w:color w:val="auto"/>
                <w:kern w:val="0"/>
                <w:sz w:val="24"/>
                <w:szCs w:val="24"/>
                <w:highlight w:val="none"/>
                <w:lang w:val="en-US" w:eastAsia="zh-CN"/>
              </w:rPr>
              <w:t>0.3053</w:t>
            </w:r>
            <w:r>
              <w:rPr>
                <w:rFonts w:hint="eastAsia" w:cs="Times New Roman"/>
                <w:b w:val="0"/>
                <w:bCs w:val="0"/>
                <w:color w:val="auto"/>
                <w:sz w:val="24"/>
                <w:szCs w:val="24"/>
                <w:highlight w:val="none"/>
                <w:lang w:val="en-US" w:eastAsia="zh-CN"/>
              </w:rPr>
              <w:t>t/a。</w:t>
            </w:r>
            <w:r>
              <w:rPr>
                <w:rFonts w:hint="default" w:ascii="Times New Roman" w:hAnsi="Times New Roman" w:cs="Times New Roman"/>
                <w:color w:val="auto"/>
                <w:sz w:val="24"/>
                <w:highlight w:val="none"/>
                <w:lang w:val="zh-CN"/>
              </w:rPr>
              <w:t>统一收集后</w:t>
            </w:r>
            <w:r>
              <w:rPr>
                <w:rFonts w:hint="eastAsia" w:ascii="Times New Roman" w:hAnsi="Times New Roman" w:cs="Times New Roman"/>
                <w:color w:val="auto"/>
                <w:sz w:val="24"/>
                <w:highlight w:val="none"/>
                <w:lang w:val="zh-CN"/>
              </w:rPr>
              <w:t>继续回用于烘干废气脱硫</w:t>
            </w:r>
            <w:r>
              <w:rPr>
                <w:rFonts w:hint="default" w:ascii="Times New Roman" w:hAnsi="Times New Roman" w:cs="Times New Roman"/>
                <w:color w:val="auto"/>
                <w:sz w:val="24"/>
                <w:highlight w:val="none"/>
              </w:rPr>
              <w:t>。</w:t>
            </w:r>
          </w:p>
          <w:p w14:paraId="590E421F">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6</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燃料仓除尘器收集的粉尘</w:t>
            </w:r>
          </w:p>
          <w:p w14:paraId="65CAA1E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根据废气部分计算可知，项目生产过程中</w:t>
            </w:r>
            <w:r>
              <w:rPr>
                <w:rFonts w:hint="eastAsia" w:cs="Times New Roman"/>
                <w:b w:val="0"/>
                <w:bCs w:val="0"/>
                <w:color w:val="auto"/>
                <w:sz w:val="24"/>
                <w:szCs w:val="24"/>
                <w:highlight w:val="none"/>
                <w:lang w:val="en-US" w:eastAsia="zh-CN"/>
              </w:rPr>
              <w:t>燃料仓</w:t>
            </w:r>
            <w:r>
              <w:rPr>
                <w:rFonts w:hint="eastAsia" w:ascii="Times New Roman" w:hAnsi="Times New Roman" w:eastAsia="宋体" w:cs="Times New Roman"/>
                <w:b w:val="0"/>
                <w:bCs w:val="0"/>
                <w:color w:val="auto"/>
                <w:sz w:val="24"/>
                <w:szCs w:val="24"/>
                <w:highlight w:val="none"/>
                <w:lang w:val="en-US" w:eastAsia="zh-CN"/>
              </w:rPr>
              <w:t>除尘器收集的粉尘</w:t>
            </w:r>
            <w:r>
              <w:rPr>
                <w:rFonts w:hint="default" w:ascii="Times New Roman" w:hAnsi="Times New Roman" w:eastAsia="宋体" w:cs="Times New Roman"/>
                <w:b w:val="0"/>
                <w:bCs w:val="0"/>
                <w:color w:val="auto"/>
                <w:sz w:val="24"/>
                <w:szCs w:val="24"/>
                <w:highlight w:val="none"/>
                <w:lang w:val="en-US" w:eastAsia="zh-CN"/>
              </w:rPr>
              <w:t>量为</w:t>
            </w:r>
            <w:r>
              <w:rPr>
                <w:rFonts w:hint="eastAsia" w:cs="Times New Roman"/>
                <w:b w:val="0"/>
                <w:bCs w:val="0"/>
                <w:color w:val="auto"/>
                <w:sz w:val="24"/>
                <w:szCs w:val="24"/>
                <w:highlight w:val="none"/>
                <w:lang w:val="en-US" w:eastAsia="zh-CN"/>
              </w:rPr>
              <w:t>0.7262t/a。</w:t>
            </w:r>
            <w:r>
              <w:rPr>
                <w:rFonts w:hint="default" w:ascii="Times New Roman" w:hAnsi="Times New Roman" w:cs="Times New Roman"/>
                <w:color w:val="auto"/>
                <w:sz w:val="24"/>
                <w:highlight w:val="none"/>
                <w:lang w:val="zh-CN"/>
              </w:rPr>
              <w:t>统一收集后</w:t>
            </w:r>
            <w:r>
              <w:rPr>
                <w:rFonts w:hint="eastAsia" w:ascii="Times New Roman" w:hAnsi="Times New Roman" w:cs="Times New Roman"/>
                <w:color w:val="auto"/>
                <w:sz w:val="24"/>
                <w:highlight w:val="none"/>
                <w:lang w:val="zh-CN"/>
              </w:rPr>
              <w:t>继续回用于烘干</w:t>
            </w:r>
            <w:r>
              <w:rPr>
                <w:rFonts w:hint="eastAsia" w:cs="Times New Roman"/>
                <w:color w:val="auto"/>
                <w:sz w:val="24"/>
                <w:highlight w:val="none"/>
                <w:lang w:val="zh-CN"/>
              </w:rPr>
              <w:t>环节</w:t>
            </w:r>
            <w:r>
              <w:rPr>
                <w:rFonts w:hint="default" w:ascii="Times New Roman" w:hAnsi="Times New Roman" w:cs="Times New Roman"/>
                <w:color w:val="auto"/>
                <w:sz w:val="24"/>
                <w:highlight w:val="none"/>
              </w:rPr>
              <w:t>。</w:t>
            </w:r>
          </w:p>
          <w:p w14:paraId="717620C8">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7</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煤粉仓除尘器收集的粉尘</w:t>
            </w:r>
          </w:p>
          <w:p w14:paraId="508FA58F">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根据废气部分计算可知，项目生产过程中</w:t>
            </w:r>
            <w:r>
              <w:rPr>
                <w:rFonts w:hint="eastAsia" w:cs="Times New Roman"/>
                <w:b w:val="0"/>
                <w:bCs w:val="0"/>
                <w:color w:val="auto"/>
                <w:sz w:val="24"/>
                <w:szCs w:val="24"/>
                <w:highlight w:val="none"/>
                <w:lang w:val="en-US" w:eastAsia="zh-CN"/>
              </w:rPr>
              <w:t>煤粉仓</w:t>
            </w:r>
            <w:r>
              <w:rPr>
                <w:rFonts w:hint="eastAsia" w:ascii="Times New Roman" w:hAnsi="Times New Roman" w:eastAsia="宋体" w:cs="Times New Roman"/>
                <w:b w:val="0"/>
                <w:bCs w:val="0"/>
                <w:color w:val="auto"/>
                <w:sz w:val="24"/>
                <w:szCs w:val="24"/>
                <w:highlight w:val="none"/>
                <w:lang w:val="en-US" w:eastAsia="zh-CN"/>
              </w:rPr>
              <w:t>除尘器收集的粉尘</w:t>
            </w:r>
            <w:r>
              <w:rPr>
                <w:rFonts w:hint="default" w:ascii="Times New Roman" w:hAnsi="Times New Roman" w:eastAsia="宋体" w:cs="Times New Roman"/>
                <w:b w:val="0"/>
                <w:bCs w:val="0"/>
                <w:color w:val="auto"/>
                <w:sz w:val="24"/>
                <w:szCs w:val="24"/>
                <w:highlight w:val="none"/>
                <w:lang w:val="en-US" w:eastAsia="zh-CN"/>
              </w:rPr>
              <w:t>量为</w:t>
            </w:r>
            <w:r>
              <w:rPr>
                <w:rFonts w:hint="eastAsia" w:cs="Times New Roman"/>
                <w:b w:val="0"/>
                <w:bCs w:val="0"/>
                <w:color w:val="auto"/>
                <w:sz w:val="24"/>
                <w:szCs w:val="24"/>
                <w:highlight w:val="none"/>
                <w:lang w:val="en-US" w:eastAsia="zh-CN"/>
              </w:rPr>
              <w:t>0.2388t/a。</w:t>
            </w:r>
            <w:r>
              <w:rPr>
                <w:rFonts w:hint="default" w:ascii="Times New Roman" w:hAnsi="Times New Roman" w:cs="Times New Roman"/>
                <w:color w:val="auto"/>
                <w:sz w:val="24"/>
                <w:highlight w:val="none"/>
                <w:lang w:val="zh-CN"/>
              </w:rPr>
              <w:t>统一收集后</w:t>
            </w:r>
            <w:r>
              <w:rPr>
                <w:rFonts w:hint="default" w:ascii="Times New Roman" w:hAnsi="Times New Roman" w:eastAsia="宋体" w:cs="Times New Roman"/>
                <w:b w:val="0"/>
                <w:bCs w:val="0"/>
                <w:color w:val="auto"/>
                <w:sz w:val="24"/>
                <w:szCs w:val="24"/>
                <w:highlight w:val="none"/>
                <w:lang w:val="en-US" w:eastAsia="zh-CN"/>
              </w:rPr>
              <w:t>作为成品送回储仓内发运外售</w:t>
            </w:r>
            <w:r>
              <w:rPr>
                <w:rFonts w:hint="default" w:ascii="Times New Roman" w:hAnsi="Times New Roman" w:cs="Times New Roman"/>
                <w:color w:val="auto"/>
                <w:sz w:val="24"/>
                <w:highlight w:val="none"/>
              </w:rPr>
              <w:t>。</w:t>
            </w:r>
          </w:p>
          <w:p w14:paraId="7D5D08F1">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8</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成品散装除尘器收集的粉尘</w:t>
            </w:r>
          </w:p>
          <w:p w14:paraId="25F0C1D3">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根据废气部分计算可知，项目生产过程中</w:t>
            </w:r>
            <w:r>
              <w:rPr>
                <w:rFonts w:hint="eastAsia" w:cs="Times New Roman"/>
                <w:b w:val="0"/>
                <w:bCs w:val="0"/>
                <w:color w:val="auto"/>
                <w:sz w:val="24"/>
                <w:szCs w:val="24"/>
                <w:highlight w:val="none"/>
                <w:lang w:val="en-US" w:eastAsia="zh-CN"/>
              </w:rPr>
              <w:t>成品散装</w:t>
            </w:r>
            <w:r>
              <w:rPr>
                <w:rFonts w:hint="eastAsia" w:ascii="Times New Roman" w:hAnsi="Times New Roman" w:eastAsia="宋体" w:cs="Times New Roman"/>
                <w:b w:val="0"/>
                <w:bCs w:val="0"/>
                <w:color w:val="auto"/>
                <w:sz w:val="24"/>
                <w:szCs w:val="24"/>
                <w:highlight w:val="none"/>
                <w:lang w:val="en-US" w:eastAsia="zh-CN"/>
              </w:rPr>
              <w:t>除尘器收集的粉尘</w:t>
            </w:r>
            <w:r>
              <w:rPr>
                <w:rFonts w:hint="default" w:ascii="Times New Roman" w:hAnsi="Times New Roman" w:eastAsia="宋体" w:cs="Times New Roman"/>
                <w:b w:val="0"/>
                <w:bCs w:val="0"/>
                <w:color w:val="auto"/>
                <w:sz w:val="24"/>
                <w:szCs w:val="24"/>
                <w:highlight w:val="none"/>
                <w:lang w:val="en-US" w:eastAsia="zh-CN"/>
              </w:rPr>
              <w:t>量为</w:t>
            </w:r>
            <w:r>
              <w:rPr>
                <w:rFonts w:hint="eastAsia" w:cs="Times New Roman"/>
                <w:b w:val="0"/>
                <w:bCs w:val="0"/>
                <w:color w:val="auto"/>
                <w:sz w:val="24"/>
                <w:szCs w:val="24"/>
                <w:highlight w:val="none"/>
                <w:lang w:val="en-US" w:eastAsia="zh-CN"/>
              </w:rPr>
              <w:t>5.5382t/a。</w:t>
            </w:r>
            <w:r>
              <w:rPr>
                <w:rFonts w:hint="default" w:ascii="Times New Roman" w:hAnsi="Times New Roman" w:cs="Times New Roman"/>
                <w:color w:val="auto"/>
                <w:sz w:val="24"/>
                <w:highlight w:val="none"/>
                <w:lang w:val="zh-CN"/>
              </w:rPr>
              <w:t>统一收集后</w:t>
            </w:r>
            <w:r>
              <w:rPr>
                <w:rFonts w:hint="default" w:ascii="Times New Roman" w:hAnsi="Times New Roman" w:eastAsia="宋体" w:cs="Times New Roman"/>
                <w:b w:val="0"/>
                <w:bCs w:val="0"/>
                <w:color w:val="auto"/>
                <w:sz w:val="24"/>
                <w:szCs w:val="24"/>
                <w:highlight w:val="none"/>
                <w:lang w:val="en-US" w:eastAsia="zh-CN"/>
              </w:rPr>
              <w:t>作为成品送回储仓内发运外售</w:t>
            </w:r>
            <w:r>
              <w:rPr>
                <w:rFonts w:hint="default" w:ascii="Times New Roman" w:hAnsi="Times New Roman" w:cs="Times New Roman"/>
                <w:color w:val="auto"/>
                <w:sz w:val="24"/>
                <w:highlight w:val="none"/>
              </w:rPr>
              <w:t>。</w:t>
            </w:r>
          </w:p>
          <w:p w14:paraId="5B2CA97B">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p>
          <w:p w14:paraId="7C141ABB">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2、生活固废</w:t>
            </w:r>
          </w:p>
          <w:p w14:paraId="26A6B4F3">
            <w:pPr>
              <w:pStyle w:val="82"/>
              <w:keepNext w:val="0"/>
              <w:keepLines w:val="0"/>
              <w:pageBreakBefore w:val="0"/>
              <w:widowControl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生活垃圾</w:t>
            </w:r>
          </w:p>
          <w:p w14:paraId="6A1E6B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职工定员</w:t>
            </w:r>
            <w:r>
              <w:rPr>
                <w:rFonts w:hint="eastAsia" w:cs="Times New Roman"/>
                <w:color w:val="auto"/>
                <w:kern w:val="0"/>
                <w:sz w:val="24"/>
                <w:szCs w:val="24"/>
                <w:highlight w:val="none"/>
                <w:lang w:val="en-US" w:eastAsia="zh-CN"/>
              </w:rPr>
              <w:t>85</w:t>
            </w:r>
            <w:r>
              <w:rPr>
                <w:rFonts w:hint="default" w:ascii="Times New Roman" w:hAnsi="Times New Roman" w:eastAsia="宋体" w:cs="Times New Roman"/>
                <w:color w:val="auto"/>
                <w:kern w:val="0"/>
                <w:sz w:val="24"/>
                <w:szCs w:val="24"/>
                <w:highlight w:val="none"/>
              </w:rPr>
              <w:t>人，</w:t>
            </w:r>
            <w:r>
              <w:rPr>
                <w:rFonts w:hint="default" w:ascii="Times New Roman" w:hAnsi="Times New Roman" w:eastAsia="宋体" w:cs="Times New Roman"/>
                <w:color w:val="auto"/>
                <w:kern w:val="0"/>
                <w:sz w:val="24"/>
                <w:szCs w:val="24"/>
                <w:highlight w:val="none"/>
                <w:lang w:val="en-US" w:eastAsia="zh-CN"/>
              </w:rPr>
              <w:t>均不在项目内食宿，</w:t>
            </w:r>
            <w:r>
              <w:rPr>
                <w:rFonts w:hint="default" w:ascii="Times New Roman" w:hAnsi="Times New Roman" w:eastAsia="宋体" w:cs="Times New Roman"/>
                <w:color w:val="auto"/>
                <w:sz w:val="24"/>
                <w:szCs w:val="24"/>
                <w:highlight w:val="none"/>
              </w:rPr>
              <w:t>生活垃圾产生量按</w:t>
            </w:r>
            <w:r>
              <w:rPr>
                <w:rFonts w:hint="default" w:ascii="Times New Roman" w:hAnsi="Times New Roman" w:eastAsia="宋体"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rPr>
              <w:t>kg/d·人计算</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则工程</w:t>
            </w:r>
            <w:r>
              <w:rPr>
                <w:rFonts w:hint="default" w:ascii="Times New Roman" w:hAnsi="Times New Roman" w:eastAsia="宋体" w:cs="Times New Roman"/>
                <w:color w:val="auto"/>
                <w:kern w:val="0"/>
                <w:sz w:val="24"/>
                <w:szCs w:val="24"/>
                <w:highlight w:val="none"/>
              </w:rPr>
              <w:t>生活垃圾产生量</w:t>
            </w:r>
            <w:r>
              <w:rPr>
                <w:rFonts w:hint="default" w:ascii="Times New Roman" w:hAnsi="Times New Roman" w:eastAsia="宋体" w:cs="Times New Roman"/>
                <w:color w:val="auto"/>
                <w:sz w:val="24"/>
                <w:szCs w:val="24"/>
                <w:highlight w:val="none"/>
              </w:rPr>
              <w:t>为</w:t>
            </w:r>
            <w:r>
              <w:rPr>
                <w:rFonts w:hint="eastAsia"/>
                <w:color w:val="auto"/>
                <w:sz w:val="24"/>
                <w:highlight w:val="none"/>
                <w:lang w:val="en-US" w:eastAsia="zh-CN"/>
              </w:rPr>
              <w:t>42.5</w:t>
            </w:r>
            <w:r>
              <w:rPr>
                <w:color w:val="auto"/>
                <w:sz w:val="24"/>
                <w:highlight w:val="none"/>
              </w:rPr>
              <w:t>kg/d、</w:t>
            </w:r>
            <w:r>
              <w:rPr>
                <w:rFonts w:hint="eastAsia"/>
                <w:color w:val="auto"/>
                <w:sz w:val="24"/>
                <w:highlight w:val="none"/>
                <w:lang w:val="en-US" w:eastAsia="zh-CN"/>
              </w:rPr>
              <w:t>11.9</w:t>
            </w:r>
            <w:r>
              <w:rPr>
                <w:color w:val="auto"/>
                <w:sz w:val="24"/>
                <w:highlight w:val="none"/>
              </w:rPr>
              <w:t>t/a</w:t>
            </w:r>
            <w:r>
              <w:rPr>
                <w:rFonts w:hint="default" w:ascii="Times New Roman" w:hAnsi="Times New Roman" w:eastAsia="宋体" w:cs="Times New Roman"/>
                <w:color w:val="auto"/>
                <w:sz w:val="24"/>
                <w:szCs w:val="24"/>
                <w:highlight w:val="none"/>
              </w:rPr>
              <w:t>。</w:t>
            </w:r>
          </w:p>
          <w:p w14:paraId="4A905F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kern w:val="0"/>
                <w:sz w:val="24"/>
                <w:szCs w:val="24"/>
                <w:highlight w:val="none"/>
              </w:rPr>
              <w:t>生活垃圾</w:t>
            </w:r>
            <w:r>
              <w:rPr>
                <w:rFonts w:hint="default" w:ascii="Times New Roman" w:hAnsi="Times New Roman" w:eastAsia="宋体" w:cs="Times New Roman"/>
                <w:color w:val="auto"/>
                <w:kern w:val="0"/>
                <w:sz w:val="24"/>
                <w:szCs w:val="24"/>
                <w:highlight w:val="none"/>
                <w:lang w:eastAsia="zh-CN"/>
              </w:rPr>
              <w:t>由工作人员统一</w:t>
            </w:r>
            <w:r>
              <w:rPr>
                <w:rFonts w:hint="default" w:ascii="Times New Roman" w:hAnsi="Times New Roman" w:eastAsia="宋体" w:cs="Times New Roman"/>
                <w:color w:val="auto"/>
                <w:kern w:val="0"/>
                <w:sz w:val="24"/>
                <w:szCs w:val="24"/>
                <w:highlight w:val="none"/>
              </w:rPr>
              <w:t>收集后自行清运至当地环卫部门指定的生活处置</w:t>
            </w:r>
            <w:r>
              <w:rPr>
                <w:rFonts w:hint="default" w:ascii="Times New Roman" w:hAnsi="Times New Roman" w:eastAsia="宋体" w:cs="Times New Roman"/>
                <w:color w:val="auto"/>
                <w:kern w:val="0"/>
                <w:sz w:val="24"/>
                <w:szCs w:val="24"/>
                <w:highlight w:val="none"/>
                <w:lang w:eastAsia="zh-CN"/>
              </w:rPr>
              <w:t>收集点，</w:t>
            </w:r>
            <w:r>
              <w:rPr>
                <w:rFonts w:hint="default" w:ascii="Times New Roman" w:hAnsi="Times New Roman" w:eastAsia="宋体" w:cs="Times New Roman"/>
                <w:color w:val="auto"/>
                <w:sz w:val="24"/>
                <w:szCs w:val="24"/>
                <w:highlight w:val="none"/>
              </w:rPr>
              <w:t>最终</w:t>
            </w:r>
            <w:r>
              <w:rPr>
                <w:rFonts w:hint="default" w:ascii="Times New Roman" w:hAnsi="Times New Roman" w:eastAsia="宋体" w:cs="Times New Roman"/>
                <w:color w:val="auto"/>
                <w:sz w:val="24"/>
                <w:szCs w:val="24"/>
                <w:highlight w:val="none"/>
                <w:lang w:eastAsia="zh-CN"/>
              </w:rPr>
              <w:t>由当地</w:t>
            </w:r>
            <w:r>
              <w:rPr>
                <w:rFonts w:hint="default" w:ascii="Times New Roman" w:hAnsi="Times New Roman" w:eastAsia="宋体" w:cs="Times New Roman"/>
                <w:color w:val="auto"/>
                <w:sz w:val="24"/>
                <w:szCs w:val="24"/>
                <w:highlight w:val="none"/>
              </w:rPr>
              <w:t>环卫部门清运处置</w:t>
            </w:r>
            <w:r>
              <w:rPr>
                <w:rFonts w:hint="default" w:ascii="Times New Roman" w:hAnsi="Times New Roman" w:eastAsia="宋体" w:cs="Times New Roman"/>
                <w:color w:val="auto"/>
                <w:kern w:val="0"/>
                <w:sz w:val="24"/>
                <w:szCs w:val="24"/>
                <w:highlight w:val="none"/>
              </w:rPr>
              <w:t>。</w:t>
            </w:r>
          </w:p>
          <w:p w14:paraId="063977D6">
            <w:pPr>
              <w:pStyle w:val="82"/>
              <w:keepNext w:val="0"/>
              <w:keepLines w:val="0"/>
              <w:pageBreakBefore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化粪池</w:t>
            </w:r>
            <w:r>
              <w:rPr>
                <w:rFonts w:hint="default" w:ascii="Times New Roman" w:hAnsi="Times New Roman" w:eastAsia="宋体" w:cs="Times New Roman"/>
                <w:b w:val="0"/>
                <w:bCs w:val="0"/>
                <w:color w:val="auto"/>
                <w:sz w:val="24"/>
                <w:szCs w:val="24"/>
                <w:highlight w:val="none"/>
                <w:lang w:eastAsia="zh-CN"/>
              </w:rPr>
              <w:t>、一体化污水处理站</w:t>
            </w:r>
            <w:r>
              <w:rPr>
                <w:rFonts w:hint="default" w:ascii="Times New Roman" w:hAnsi="Times New Roman" w:eastAsia="宋体" w:cs="Times New Roman"/>
                <w:b w:val="0"/>
                <w:bCs w:val="0"/>
                <w:color w:val="auto"/>
                <w:sz w:val="24"/>
                <w:szCs w:val="24"/>
                <w:highlight w:val="none"/>
              </w:rPr>
              <w:t>污泥</w:t>
            </w:r>
          </w:p>
          <w:p w14:paraId="16BF8F98">
            <w:pPr>
              <w:pStyle w:val="82"/>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leftChars="0" w:right="0" w:firstLine="460" w:firstLineChars="200"/>
              <w:jc w:val="both"/>
              <w:textAlignment w:val="auto"/>
              <w:rPr>
                <w:rFonts w:hint="eastAsia" w:cs="Times New Roman"/>
                <w:b w:val="0"/>
                <w:bCs w:val="0"/>
                <w:color w:val="auto"/>
                <w:sz w:val="24"/>
                <w:szCs w:val="24"/>
                <w:highlight w:val="none"/>
                <w:lang w:eastAsia="zh-CN"/>
              </w:rPr>
            </w:pPr>
            <w:r>
              <w:rPr>
                <w:rFonts w:hint="default" w:ascii="Times New Roman" w:hAnsi="Times New Roman" w:eastAsia="宋体" w:cs="Times New Roman"/>
                <w:b w:val="0"/>
                <w:bCs w:val="0"/>
                <w:color w:val="auto"/>
                <w:spacing w:val="-5"/>
                <w:sz w:val="24"/>
                <w:szCs w:val="24"/>
                <w:highlight w:val="none"/>
              </w:rPr>
              <w:t>化粪池</w:t>
            </w:r>
            <w:r>
              <w:rPr>
                <w:rFonts w:hint="default" w:ascii="Times New Roman" w:hAnsi="Times New Roman" w:eastAsia="宋体" w:cs="Times New Roman"/>
                <w:b w:val="0"/>
                <w:bCs w:val="0"/>
                <w:color w:val="auto"/>
                <w:spacing w:val="-5"/>
                <w:sz w:val="24"/>
                <w:szCs w:val="24"/>
                <w:highlight w:val="none"/>
                <w:lang w:eastAsia="zh-CN"/>
              </w:rPr>
              <w:t>及一体化污水处理站</w:t>
            </w:r>
            <w:r>
              <w:rPr>
                <w:rFonts w:hint="default" w:ascii="Times New Roman" w:hAnsi="Times New Roman" w:eastAsia="宋体" w:cs="Times New Roman"/>
                <w:b w:val="0"/>
                <w:bCs w:val="0"/>
                <w:color w:val="auto"/>
                <w:spacing w:val="-5"/>
                <w:sz w:val="24"/>
                <w:szCs w:val="24"/>
                <w:highlight w:val="none"/>
              </w:rPr>
              <w:t>污泥产生量根据《室外排水设计规范》提供的数据，按每人每日</w:t>
            </w:r>
            <w:r>
              <w:rPr>
                <w:rFonts w:hint="default" w:ascii="Times New Roman" w:hAnsi="Times New Roman" w:eastAsia="宋体" w:cs="Times New Roman"/>
                <w:b w:val="0"/>
                <w:bCs w:val="0"/>
                <w:color w:val="auto"/>
                <w:sz w:val="24"/>
                <w:szCs w:val="24"/>
                <w:highlight w:val="none"/>
              </w:rPr>
              <w:t>初级沉淀池污泥（干）产生量14~27g，本次计算取20g，污泥含水率</w:t>
            </w:r>
            <w:r>
              <w:rPr>
                <w:rFonts w:hint="default" w:ascii="Times New Roman" w:hAnsi="Times New Roman" w:eastAsia="宋体" w:cs="Times New Roman"/>
                <w:b w:val="0"/>
                <w:bCs w:val="0"/>
                <w:color w:val="auto"/>
                <w:spacing w:val="-1"/>
                <w:sz w:val="24"/>
                <w:szCs w:val="24"/>
                <w:highlight w:val="none"/>
              </w:rPr>
              <w:t>大概在</w:t>
            </w:r>
            <w:r>
              <w:rPr>
                <w:rFonts w:hint="default" w:ascii="Times New Roman" w:hAnsi="Times New Roman" w:eastAsia="宋体" w:cs="Times New Roman"/>
                <w:b w:val="0"/>
                <w:bCs w:val="0"/>
                <w:color w:val="auto"/>
                <w:sz w:val="24"/>
                <w:szCs w:val="24"/>
                <w:highlight w:val="none"/>
              </w:rPr>
              <w:t>90％左右</w:t>
            </w:r>
            <w:r>
              <w:rPr>
                <w:rFonts w:hint="eastAsia" w:cs="Times New Roman"/>
                <w:b w:val="0"/>
                <w:bCs w:val="0"/>
                <w:color w:val="auto"/>
                <w:sz w:val="24"/>
                <w:szCs w:val="24"/>
                <w:highlight w:val="none"/>
                <w:lang w:eastAsia="zh-CN"/>
              </w:rPr>
              <w:t>。</w:t>
            </w:r>
          </w:p>
          <w:p w14:paraId="336B4EF9">
            <w:pPr>
              <w:pStyle w:val="82"/>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leftChars="0" w:right="0" w:firstLine="480" w:firstLineChars="200"/>
              <w:jc w:val="both"/>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项目</w:t>
            </w:r>
            <w:r>
              <w:rPr>
                <w:rFonts w:hint="default" w:ascii="Times New Roman" w:hAnsi="Times New Roman" w:eastAsia="宋体" w:cs="Times New Roman"/>
                <w:color w:val="auto"/>
                <w:kern w:val="0"/>
                <w:sz w:val="24"/>
                <w:szCs w:val="24"/>
                <w:highlight w:val="none"/>
              </w:rPr>
              <w:t>职工定员</w:t>
            </w:r>
            <w:r>
              <w:rPr>
                <w:rFonts w:hint="eastAsia" w:cs="Times New Roman"/>
                <w:color w:val="auto"/>
                <w:kern w:val="0"/>
                <w:sz w:val="24"/>
                <w:szCs w:val="24"/>
                <w:highlight w:val="none"/>
                <w:lang w:val="en-US" w:eastAsia="zh-CN"/>
              </w:rPr>
              <w:t>85</w:t>
            </w:r>
            <w:r>
              <w:rPr>
                <w:rFonts w:hint="default" w:ascii="Times New Roman" w:hAnsi="Times New Roman" w:eastAsia="宋体" w:cs="Times New Roman"/>
                <w:color w:val="auto"/>
                <w:kern w:val="0"/>
                <w:sz w:val="24"/>
                <w:szCs w:val="24"/>
                <w:highlight w:val="none"/>
              </w:rPr>
              <w:t>人</w:t>
            </w:r>
            <w:r>
              <w:rPr>
                <w:rFonts w:hint="default" w:ascii="Times New Roman" w:hAnsi="Times New Roman" w:eastAsia="宋体" w:cs="Times New Roman"/>
                <w:b w:val="0"/>
                <w:bCs w:val="0"/>
                <w:color w:val="auto"/>
                <w:sz w:val="24"/>
                <w:szCs w:val="24"/>
                <w:highlight w:val="none"/>
              </w:rPr>
              <w:t>，则化粪池</w:t>
            </w:r>
            <w:r>
              <w:rPr>
                <w:rFonts w:hint="default" w:ascii="Times New Roman" w:hAnsi="Times New Roman" w:eastAsia="宋体" w:cs="Times New Roman"/>
                <w:b w:val="0"/>
                <w:bCs w:val="0"/>
                <w:color w:val="auto"/>
                <w:spacing w:val="-5"/>
                <w:sz w:val="24"/>
                <w:szCs w:val="24"/>
                <w:highlight w:val="none"/>
                <w:lang w:eastAsia="zh-CN"/>
              </w:rPr>
              <w:t>及一体化污水处理站污泥</w:t>
            </w:r>
            <w:r>
              <w:rPr>
                <w:rFonts w:hint="default" w:ascii="Times New Roman" w:hAnsi="Times New Roman" w:eastAsia="宋体" w:cs="Times New Roman"/>
                <w:b w:val="0"/>
                <w:bCs w:val="0"/>
                <w:color w:val="auto"/>
                <w:sz w:val="24"/>
                <w:szCs w:val="24"/>
                <w:highlight w:val="none"/>
              </w:rPr>
              <w:t>的产生量约</w:t>
            </w:r>
            <w:r>
              <w:rPr>
                <w:rFonts w:hint="eastAsia" w:cs="Times New Roman"/>
                <w:b w:val="0"/>
                <w:bCs w:val="0"/>
                <w:color w:val="auto"/>
                <w:sz w:val="24"/>
                <w:szCs w:val="24"/>
                <w:highlight w:val="none"/>
                <w:lang w:val="en-US" w:eastAsia="zh-CN"/>
              </w:rPr>
              <w:t>1.7</w:t>
            </w:r>
            <w:r>
              <w:rPr>
                <w:rFonts w:hint="default" w:ascii="Times New Roman" w:hAnsi="Times New Roman" w:eastAsia="宋体" w:cs="Times New Roman"/>
                <w:b w:val="0"/>
                <w:bCs w:val="0"/>
                <w:color w:val="auto"/>
                <w:spacing w:val="-3"/>
                <w:sz w:val="24"/>
                <w:szCs w:val="24"/>
                <w:highlight w:val="none"/>
              </w:rPr>
              <w:t>kg/d，</w:t>
            </w:r>
            <w:r>
              <w:rPr>
                <w:rFonts w:hint="default" w:ascii="Times New Roman" w:hAnsi="Times New Roman" w:eastAsia="宋体" w:cs="Times New Roman"/>
                <w:b w:val="0"/>
                <w:bCs w:val="0"/>
                <w:color w:val="auto"/>
                <w:spacing w:val="-3"/>
                <w:sz w:val="24"/>
                <w:szCs w:val="24"/>
                <w:highlight w:val="none"/>
                <w:lang w:val="en-US" w:eastAsia="zh-CN"/>
              </w:rPr>
              <w:t>0.</w:t>
            </w:r>
            <w:r>
              <w:rPr>
                <w:rFonts w:hint="eastAsia" w:cs="Times New Roman"/>
                <w:b w:val="0"/>
                <w:bCs w:val="0"/>
                <w:color w:val="auto"/>
                <w:sz w:val="24"/>
                <w:szCs w:val="24"/>
                <w:highlight w:val="none"/>
                <w:lang w:val="en-US" w:eastAsia="zh-CN"/>
              </w:rPr>
              <w:t>476</w:t>
            </w:r>
            <w:r>
              <w:rPr>
                <w:rFonts w:hint="default" w:ascii="Times New Roman" w:hAnsi="Times New Roman" w:eastAsia="宋体" w:cs="Times New Roman"/>
                <w:b w:val="0"/>
                <w:bCs w:val="0"/>
                <w:color w:val="auto"/>
                <w:sz w:val="24"/>
                <w:szCs w:val="24"/>
                <w:highlight w:val="none"/>
              </w:rPr>
              <w:t>t/a</w:t>
            </w:r>
            <w:r>
              <w:rPr>
                <w:rFonts w:hint="eastAsia" w:cs="Times New Roman"/>
                <w:b w:val="0"/>
                <w:bCs w:val="0"/>
                <w:color w:val="auto"/>
                <w:sz w:val="24"/>
                <w:szCs w:val="24"/>
                <w:highlight w:val="none"/>
                <w:lang w:eastAsia="zh-CN"/>
              </w:rPr>
              <w:t>。</w:t>
            </w:r>
          </w:p>
          <w:p w14:paraId="493800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委托环卫部门定期清掏清运处置。</w:t>
            </w:r>
          </w:p>
          <w:p w14:paraId="5E072D72">
            <w:pPr>
              <w:pStyle w:val="82"/>
              <w:keepNext w:val="0"/>
              <w:keepLines w:val="0"/>
              <w:pageBreakBefore w:val="0"/>
              <w:kinsoku/>
              <w:wordWrap/>
              <w:overflowPunct/>
              <w:topLinePunct w:val="0"/>
              <w:autoSpaceDE w:val="0"/>
              <w:autoSpaceDN w:val="0"/>
              <w:bidi w:val="0"/>
              <w:adjustRightInd/>
              <w:spacing w:beforeLines="0" w:afterLines="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3、危险废物</w:t>
            </w:r>
          </w:p>
          <w:p w14:paraId="5277EF78">
            <w:pPr>
              <w:pStyle w:val="82"/>
              <w:keepNext w:val="0"/>
              <w:keepLines w:val="0"/>
              <w:pageBreakBefore w:val="0"/>
              <w:kinsoku/>
              <w:wordWrap/>
              <w:overflowPunct/>
              <w:topLinePunct w:val="0"/>
              <w:autoSpaceDE w:val="0"/>
              <w:autoSpaceDN w:val="0"/>
              <w:bidi w:val="0"/>
              <w:adjustRightInd/>
              <w:spacing w:beforeLines="0" w:afterLines="0" w:line="360" w:lineRule="auto"/>
              <w:ind w:left="0" w:leftChars="0" w:right="0" w:firstLine="480" w:firstLineChars="200"/>
              <w:jc w:val="both"/>
              <w:textAlignment w:val="auto"/>
              <w:rPr>
                <w:rFonts w:hint="eastAsia" w:cs="Times New Roman"/>
                <w:color w:val="auto"/>
                <w:szCs w:val="21"/>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w:t>
            </w:r>
            <w:r>
              <w:rPr>
                <w:rFonts w:hint="eastAsia" w:cs="Times New Roman"/>
                <w:color w:val="auto"/>
                <w:szCs w:val="21"/>
                <w:highlight w:val="none"/>
                <w:lang w:val="en-US" w:eastAsia="zh-CN"/>
              </w:rPr>
              <w:t>废液压油</w:t>
            </w:r>
          </w:p>
          <w:p w14:paraId="5F380066">
            <w:pPr>
              <w:pStyle w:val="82"/>
              <w:keepNext w:val="0"/>
              <w:keepLines w:val="0"/>
              <w:pageBreakBefore w:val="0"/>
              <w:kinsoku/>
              <w:wordWrap/>
              <w:overflowPunct/>
              <w:topLinePunct w:val="0"/>
              <w:autoSpaceDE w:val="0"/>
              <w:autoSpaceDN w:val="0"/>
              <w:bidi w:val="0"/>
              <w:adjustRightInd/>
              <w:spacing w:beforeLines="0" w:afterLines="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
              </w:rPr>
            </w:pPr>
            <w:r>
              <w:rPr>
                <w:rFonts w:hint="default" w:ascii="宋体" w:hAnsi="宋体"/>
                <w:color w:val="auto"/>
                <w:sz w:val="24"/>
                <w:highlight w:val="none"/>
                <w:lang w:val="en-US" w:eastAsia="zh-CN"/>
              </w:rPr>
              <w:t>项目</w:t>
            </w:r>
            <w:r>
              <w:rPr>
                <w:rFonts w:hint="eastAsia" w:ascii="宋体" w:hAnsi="宋体"/>
                <w:color w:val="auto"/>
                <w:sz w:val="24"/>
                <w:highlight w:val="none"/>
                <w:lang w:val="en-US" w:eastAsia="zh-CN"/>
              </w:rPr>
              <w:t>烘干机液压油站</w:t>
            </w:r>
            <w:r>
              <w:rPr>
                <w:rFonts w:hint="default" w:ascii="宋体" w:hAnsi="宋体"/>
                <w:color w:val="auto"/>
                <w:sz w:val="24"/>
                <w:highlight w:val="none"/>
                <w:lang w:val="en-US" w:eastAsia="zh-CN"/>
              </w:rPr>
              <w:t>，</w:t>
            </w:r>
            <w:r>
              <w:rPr>
                <w:rFonts w:hint="eastAsia" w:ascii="宋体" w:hAnsi="宋体"/>
                <w:color w:val="auto"/>
                <w:sz w:val="24"/>
                <w:highlight w:val="none"/>
              </w:rPr>
              <w:t>在运行一段时间后需进行</w:t>
            </w:r>
            <w:r>
              <w:rPr>
                <w:rFonts w:hint="eastAsia" w:ascii="宋体" w:hAnsi="宋体"/>
                <w:color w:val="auto"/>
                <w:sz w:val="24"/>
                <w:highlight w:val="none"/>
                <w:lang w:eastAsia="zh-CN"/>
              </w:rPr>
              <w:t>液压</w:t>
            </w:r>
            <w:r>
              <w:rPr>
                <w:rFonts w:hint="eastAsia" w:ascii="宋体" w:hAnsi="宋体"/>
                <w:color w:val="auto"/>
                <w:sz w:val="24"/>
                <w:highlight w:val="none"/>
              </w:rPr>
              <w:t>油更换，</w:t>
            </w:r>
            <w:r>
              <w:rPr>
                <w:rFonts w:hint="default" w:ascii="Times New Roman" w:hAnsi="Times New Roman" w:eastAsia="宋体" w:cs="Times New Roman"/>
                <w:color w:val="auto"/>
                <w:sz w:val="24"/>
                <w:szCs w:val="24"/>
                <w:highlight w:val="none"/>
                <w:lang w:val="en-US" w:eastAsia="zh-CN"/>
              </w:rPr>
              <w:t>产生量约为</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lang w:bidi="ar"/>
              </w:rPr>
              <w:t>《国家危险废物名录》</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2021年版</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val="en-US" w:eastAsia="zh-CN" w:bidi="ar"/>
              </w:rPr>
              <w:t>属于</w:t>
            </w:r>
            <w:r>
              <w:rPr>
                <w:rFonts w:hint="default" w:ascii="Times New Roman" w:hAnsi="Times New Roman" w:eastAsia="宋体" w:cs="Times New Roman"/>
                <w:color w:val="auto"/>
                <w:sz w:val="24"/>
                <w:szCs w:val="24"/>
                <w:highlight w:val="none"/>
                <w:lang w:eastAsia="zh-CN"/>
              </w:rPr>
              <w:t>HW</w:t>
            </w:r>
            <w:r>
              <w:rPr>
                <w:rFonts w:hint="default" w:ascii="Times New Roman" w:hAnsi="Times New Roman" w:eastAsia="宋体" w:cs="Times New Roman"/>
                <w:color w:val="auto"/>
                <w:sz w:val="24"/>
                <w:szCs w:val="24"/>
                <w:highlight w:val="none"/>
                <w:lang w:val="en-US" w:eastAsia="zh-CN"/>
              </w:rPr>
              <w:t>08废矿物油与含矿物油废物类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w:t>
            </w:r>
            <w:r>
              <w:rPr>
                <w:rFonts w:hint="eastAsia" w:cs="Times New Roman"/>
                <w:bCs/>
                <w:color w:val="auto"/>
                <w:kern w:val="0"/>
                <w:sz w:val="24"/>
                <w:szCs w:val="24"/>
                <w:highlight w:val="none"/>
                <w:lang w:val="en-US" w:eastAsia="zh-CN"/>
              </w:rPr>
              <w:t>218</w:t>
            </w:r>
            <w:r>
              <w:rPr>
                <w:rFonts w:hint="default" w:ascii="Times New Roman" w:hAnsi="Times New Roman" w:eastAsia="宋体" w:cs="Times New Roman"/>
                <w:bCs/>
                <w:color w:val="auto"/>
                <w:kern w:val="0"/>
                <w:sz w:val="24"/>
                <w:szCs w:val="24"/>
                <w:highlight w:val="none"/>
              </w:rPr>
              <w:t>-</w:t>
            </w:r>
            <w:r>
              <w:rPr>
                <w:rFonts w:hint="eastAsia" w:cs="Times New Roman"/>
                <w:bCs/>
                <w:color w:val="auto"/>
                <w:kern w:val="0"/>
                <w:sz w:val="24"/>
                <w:szCs w:val="24"/>
                <w:highlight w:val="none"/>
                <w:lang w:val="en-US" w:eastAsia="zh-CN"/>
              </w:rPr>
              <w:t>08</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废液压油</w:t>
            </w:r>
            <w:r>
              <w:rPr>
                <w:rFonts w:hint="default" w:ascii="Times New Roman" w:hAnsi="Times New Roman" w:eastAsia="宋体" w:cs="Times New Roman"/>
                <w:color w:val="auto"/>
                <w:sz w:val="24"/>
                <w:szCs w:val="24"/>
                <w:highlight w:val="none"/>
              </w:rPr>
              <w:t>收集暂存于危废暂存间后，委托资质单位</w:t>
            </w:r>
            <w:r>
              <w:rPr>
                <w:rFonts w:hint="default" w:ascii="Times New Roman" w:hAnsi="Times New Roman" w:eastAsia="宋体" w:cs="Times New Roman"/>
                <w:color w:val="auto"/>
                <w:sz w:val="24"/>
                <w:szCs w:val="24"/>
                <w:highlight w:val="none"/>
                <w:lang w:eastAsia="zh-CN"/>
              </w:rPr>
              <w:t>清运处置</w:t>
            </w:r>
            <w:r>
              <w:rPr>
                <w:rFonts w:hint="default" w:ascii="Times New Roman" w:hAnsi="Times New Roman" w:eastAsia="宋体" w:cs="Times New Roman"/>
                <w:color w:val="auto"/>
                <w:sz w:val="24"/>
                <w:szCs w:val="24"/>
                <w:highlight w:val="none"/>
              </w:rPr>
              <w:t>。</w:t>
            </w:r>
          </w:p>
          <w:p w14:paraId="56E3330D">
            <w:pPr>
              <w:pStyle w:val="82"/>
              <w:keepNext w:val="0"/>
              <w:keepLines w:val="0"/>
              <w:pageBreakBefore w:val="0"/>
              <w:kinsoku/>
              <w:wordWrap/>
              <w:overflowPunct/>
              <w:topLinePunct w:val="0"/>
              <w:autoSpaceDE w:val="0"/>
              <w:autoSpaceDN w:val="0"/>
              <w:bidi w:val="0"/>
              <w:adjustRightInd/>
              <w:spacing w:beforeLines="0" w:afterLines="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（2）</w:t>
            </w:r>
            <w:r>
              <w:rPr>
                <w:rFonts w:hint="eastAsia" w:cs="Times New Roman"/>
                <w:b w:val="0"/>
                <w:bCs w:val="0"/>
                <w:color w:val="auto"/>
                <w:sz w:val="24"/>
                <w:szCs w:val="24"/>
                <w:highlight w:val="none"/>
                <w:lang w:val="en-US" w:eastAsia="zh-CN"/>
              </w:rPr>
              <w:t>废试剂瓶、废液</w:t>
            </w:r>
          </w:p>
          <w:p w14:paraId="5731F237">
            <w:pPr>
              <w:adjustRightInd w:val="0"/>
              <w:snapToGrid w:val="0"/>
              <w:spacing w:line="360" w:lineRule="auto"/>
              <w:ind w:firstLine="480" w:firstLineChars="200"/>
              <w:rPr>
                <w:color w:val="auto"/>
                <w:sz w:val="24"/>
                <w:highlight w:val="none"/>
              </w:rPr>
            </w:pPr>
            <w:r>
              <w:rPr>
                <w:color w:val="auto"/>
                <w:sz w:val="24"/>
                <w:highlight w:val="none"/>
              </w:rPr>
              <w:t>厂内</w:t>
            </w:r>
            <w:r>
              <w:rPr>
                <w:rFonts w:hint="eastAsia"/>
                <w:color w:val="auto"/>
                <w:sz w:val="24"/>
                <w:highlight w:val="none"/>
              </w:rPr>
              <w:t>设一个煤质化验室进行原煤及半成品、成品煤的简单化验，产生化验废液约</w:t>
            </w:r>
            <w:r>
              <w:rPr>
                <w:rFonts w:hint="eastAsia"/>
                <w:color w:val="auto"/>
                <w:sz w:val="24"/>
                <w:highlight w:val="none"/>
                <w:lang w:val="en-US" w:eastAsia="zh-CN"/>
              </w:rPr>
              <w:t>0.2</w:t>
            </w:r>
            <w:r>
              <w:rPr>
                <w:color w:val="auto"/>
                <w:sz w:val="24"/>
                <w:highlight w:val="none"/>
              </w:rPr>
              <w:t>/a</w:t>
            </w:r>
            <w:r>
              <w:rPr>
                <w:rFonts w:hint="eastAsia" w:ascii="Times New Roman" w:hAnsi="Times New Roman" w:eastAsia="宋体" w:cs="Times New Roman"/>
                <w:color w:val="auto"/>
                <w:sz w:val="24"/>
                <w:szCs w:val="24"/>
                <w:highlight w:val="none"/>
                <w:lang w:val="en-US" w:eastAsia="zh-CN"/>
              </w:rPr>
              <w:t>。</w:t>
            </w:r>
            <w:r>
              <w:rPr>
                <w:rFonts w:hint="eastAsia"/>
                <w:color w:val="auto"/>
                <w:sz w:val="24"/>
                <w:highlight w:val="none"/>
              </w:rPr>
              <w:t>化验废液中主要含强酸、强碱及少量重金属</w:t>
            </w:r>
            <w:r>
              <w:rPr>
                <w:rFonts w:hint="eastAsia"/>
                <w:color w:val="auto"/>
                <w:sz w:val="24"/>
                <w:highlight w:val="none"/>
                <w:lang w:eastAsia="zh-CN"/>
              </w:rPr>
              <w:t>，</w:t>
            </w: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lang w:bidi="ar"/>
              </w:rPr>
              <w:t>《国家危险废物名录》</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2021年版</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val="en-US" w:eastAsia="zh-CN" w:bidi="ar"/>
              </w:rPr>
              <w:t>属于</w:t>
            </w:r>
            <w:r>
              <w:rPr>
                <w:rFonts w:hint="default" w:ascii="Times New Roman" w:hAnsi="Times New Roman" w:eastAsia="宋体" w:cs="Times New Roman"/>
                <w:color w:val="auto"/>
                <w:sz w:val="24"/>
                <w:szCs w:val="24"/>
                <w:highlight w:val="none"/>
                <w:lang w:eastAsia="zh-CN"/>
              </w:rPr>
              <w:t>HW</w:t>
            </w:r>
            <w:r>
              <w:rPr>
                <w:rFonts w:hint="eastAsia" w:cs="Times New Roman"/>
                <w:color w:val="auto"/>
                <w:sz w:val="24"/>
                <w:szCs w:val="24"/>
                <w:highlight w:val="none"/>
                <w:lang w:val="en-US" w:eastAsia="zh-CN"/>
              </w:rPr>
              <w:t>49其他废物类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w:t>
            </w:r>
            <w:r>
              <w:rPr>
                <w:rFonts w:hint="eastAsia" w:cs="Times New Roman"/>
                <w:bCs/>
                <w:color w:val="auto"/>
                <w:kern w:val="0"/>
                <w:sz w:val="24"/>
                <w:szCs w:val="24"/>
                <w:highlight w:val="none"/>
                <w:lang w:val="en-US" w:eastAsia="zh-CN"/>
              </w:rPr>
              <w:t>047</w:t>
            </w:r>
            <w:r>
              <w:rPr>
                <w:rFonts w:hint="default" w:ascii="Times New Roman" w:hAnsi="Times New Roman" w:eastAsia="宋体" w:cs="Times New Roman"/>
                <w:bCs/>
                <w:color w:val="auto"/>
                <w:kern w:val="0"/>
                <w:sz w:val="24"/>
                <w:szCs w:val="24"/>
                <w:highlight w:val="none"/>
              </w:rPr>
              <w:t>-</w:t>
            </w:r>
            <w:r>
              <w:rPr>
                <w:rFonts w:hint="eastAsia" w:cs="Times New Roman"/>
                <w:bCs/>
                <w:color w:val="auto"/>
                <w:kern w:val="0"/>
                <w:sz w:val="24"/>
                <w:szCs w:val="24"/>
                <w:highlight w:val="none"/>
                <w:lang w:val="en-US" w:eastAsia="zh-CN"/>
              </w:rPr>
              <w:t>49</w:t>
            </w:r>
            <w:r>
              <w:rPr>
                <w:rFonts w:hint="default" w:ascii="Times New Roman" w:hAnsi="Times New Roman" w:eastAsia="宋体" w:cs="Times New Roman"/>
                <w:color w:val="auto"/>
                <w:sz w:val="24"/>
                <w:szCs w:val="24"/>
                <w:highlight w:val="none"/>
                <w:lang w:eastAsia="zh-CN"/>
              </w:rPr>
              <w:t>。</w:t>
            </w:r>
            <w:r>
              <w:rPr>
                <w:rFonts w:hint="eastAsia"/>
                <w:color w:val="auto"/>
                <w:sz w:val="24"/>
                <w:highlight w:val="none"/>
              </w:rPr>
              <w:t>在化验室内设废液收集桶收集后，采用耐腐蚀包装盛装，分区暂存于</w:t>
            </w:r>
            <w:r>
              <w:rPr>
                <w:color w:val="auto"/>
                <w:sz w:val="24"/>
                <w:highlight w:val="none"/>
              </w:rPr>
              <w:t>危废暂存间</w:t>
            </w:r>
            <w:r>
              <w:rPr>
                <w:rFonts w:hint="eastAsia"/>
                <w:color w:val="auto"/>
                <w:sz w:val="24"/>
                <w:highlight w:val="none"/>
              </w:rPr>
              <w:t>内</w:t>
            </w:r>
            <w:r>
              <w:rPr>
                <w:color w:val="auto"/>
                <w:sz w:val="24"/>
                <w:highlight w:val="none"/>
              </w:rPr>
              <w:t>，</w:t>
            </w:r>
            <w:r>
              <w:rPr>
                <w:rFonts w:hint="eastAsia"/>
                <w:color w:val="auto"/>
                <w:sz w:val="24"/>
                <w:highlight w:val="none"/>
              </w:rPr>
              <w:t>定期委托有资质的单位清运处置。</w:t>
            </w:r>
          </w:p>
          <w:p w14:paraId="14CF3181">
            <w:pPr>
              <w:pStyle w:val="104"/>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rPr>
            </w:pPr>
            <w:r>
              <w:rPr>
                <w:rFonts w:hint="eastAsia" w:eastAsia="宋体" w:cs="Times New Roman"/>
                <w:color w:val="auto"/>
                <w:sz w:val="24"/>
                <w:szCs w:val="24"/>
                <w:highlight w:val="none"/>
                <w:lang w:eastAsia="zh-CN" w:bidi="ar"/>
              </w:rPr>
              <w:t>废试剂瓶产生量为</w:t>
            </w:r>
            <w:r>
              <w:rPr>
                <w:rFonts w:hint="eastAsia" w:eastAsia="宋体" w:cs="Times New Roman"/>
                <w:color w:val="auto"/>
                <w:sz w:val="24"/>
                <w:szCs w:val="24"/>
                <w:highlight w:val="none"/>
                <w:lang w:val="en-US" w:eastAsia="zh-CN" w:bidi="ar"/>
              </w:rPr>
              <w:t>0.01t/</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bidi="ar"/>
              </w:rPr>
              <w:t>根据《国家危险废物名录》</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2021年版</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，属于</w:t>
            </w:r>
            <w:r>
              <w:rPr>
                <w:rFonts w:hint="default" w:ascii="Times New Roman" w:hAnsi="Times New Roman" w:eastAsia="宋体" w:cs="Times New Roman"/>
                <w:color w:val="auto"/>
                <w:sz w:val="24"/>
                <w:szCs w:val="24"/>
                <w:highlight w:val="none"/>
                <w:lang w:eastAsia="zh-CN"/>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w:t>
            </w:r>
            <w:r>
              <w:rPr>
                <w:rFonts w:hint="eastAsia" w:eastAsia="宋体" w:cs="Times New Roman"/>
                <w:bCs/>
                <w:color w:val="auto"/>
                <w:kern w:val="0"/>
                <w:sz w:val="24"/>
                <w:szCs w:val="24"/>
                <w:highlight w:val="none"/>
                <w:lang w:val="en-US" w:eastAsia="zh-CN"/>
              </w:rPr>
              <w:t>041</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4</w:t>
            </w:r>
            <w:r>
              <w:rPr>
                <w:rFonts w:hint="default" w:ascii="Times New Roman" w:hAnsi="Times New Roman" w:eastAsia="宋体" w:cs="Times New Roman"/>
                <w:bCs/>
                <w:color w:val="auto"/>
                <w:kern w:val="0"/>
                <w:sz w:val="24"/>
                <w:szCs w:val="24"/>
                <w:highlight w:val="none"/>
              </w:rPr>
              <w:t>9</w:t>
            </w:r>
            <w:r>
              <w:rPr>
                <w:rFonts w:hint="default" w:ascii="Times New Roman" w:hAnsi="Times New Roman" w:eastAsia="宋体" w:cs="Times New Roman"/>
                <w:color w:val="auto"/>
                <w:sz w:val="24"/>
                <w:szCs w:val="24"/>
                <w:highlight w:val="none"/>
                <w:lang w:eastAsia="zh-CN"/>
              </w:rPr>
              <w:t>。</w:t>
            </w:r>
            <w:r>
              <w:rPr>
                <w:rFonts w:hint="eastAsia" w:eastAsia="宋体" w:cs="Times New Roman"/>
                <w:color w:val="auto"/>
                <w:sz w:val="24"/>
                <w:szCs w:val="24"/>
                <w:highlight w:val="none"/>
                <w:lang w:eastAsia="zh-CN"/>
              </w:rPr>
              <w:t>废试剂瓶</w:t>
            </w:r>
            <w:r>
              <w:rPr>
                <w:rFonts w:hint="default" w:ascii="Times New Roman" w:hAnsi="Times New Roman" w:eastAsia="宋体" w:cs="Times New Roman"/>
                <w:color w:val="auto"/>
                <w:sz w:val="24"/>
                <w:szCs w:val="24"/>
                <w:highlight w:val="none"/>
              </w:rPr>
              <w:t>收集暂存于危废暂存间后，委托资质单位</w:t>
            </w:r>
            <w:r>
              <w:rPr>
                <w:rFonts w:hint="default" w:ascii="Times New Roman" w:hAnsi="Times New Roman" w:eastAsia="宋体" w:cs="Times New Roman"/>
                <w:color w:val="auto"/>
                <w:sz w:val="24"/>
                <w:szCs w:val="24"/>
                <w:highlight w:val="none"/>
                <w:lang w:eastAsia="zh-CN"/>
              </w:rPr>
              <w:t>清运处置</w:t>
            </w:r>
            <w:r>
              <w:rPr>
                <w:rFonts w:hint="default" w:ascii="Times New Roman" w:hAnsi="Times New Roman" w:eastAsia="宋体" w:cs="Times New Roman"/>
                <w:color w:val="auto"/>
                <w:sz w:val="24"/>
                <w:szCs w:val="24"/>
                <w:highlight w:val="none"/>
              </w:rPr>
              <w:t>。</w:t>
            </w:r>
          </w:p>
          <w:p w14:paraId="6C2C1B55">
            <w:pPr>
              <w:keepNext w:val="0"/>
              <w:keepLines w:val="0"/>
              <w:pageBreakBefore w:val="0"/>
              <w:kinsoku/>
              <w:wordWrap/>
              <w:overflowPunct/>
              <w:topLinePunct w:val="0"/>
              <w:autoSpaceDE/>
              <w:autoSpaceDN/>
              <w:bidi w:val="0"/>
              <w:adjustRightInd/>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机修废物</w:t>
            </w:r>
          </w:p>
          <w:p w14:paraId="1262EB41">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bCs/>
                <w:color w:val="auto"/>
                <w:sz w:val="24"/>
                <w:szCs w:val="24"/>
                <w:highlight w:val="none"/>
              </w:rPr>
              <w:t>建设单位提供资料，项目区内的机械设备需定期进行维修保养，该过程会产生废机油及</w:t>
            </w:r>
            <w:r>
              <w:rPr>
                <w:rFonts w:hint="default" w:ascii="Times New Roman" w:hAnsi="Times New Roman" w:eastAsia="宋体" w:cs="Times New Roman"/>
                <w:color w:val="auto"/>
                <w:sz w:val="24"/>
                <w:szCs w:val="24"/>
                <w:highlight w:val="none"/>
              </w:rPr>
              <w:t>工作人员工作使用的废弃手套、毛巾等，</w:t>
            </w:r>
            <w:r>
              <w:rPr>
                <w:rFonts w:hint="default" w:ascii="Times New Roman" w:hAnsi="Times New Roman" w:eastAsia="宋体" w:cs="Times New Roman"/>
                <w:bCs/>
                <w:color w:val="auto"/>
                <w:sz w:val="24"/>
                <w:szCs w:val="24"/>
                <w:highlight w:val="none"/>
              </w:rPr>
              <w:t>废机油产生</w:t>
            </w:r>
            <w:r>
              <w:rPr>
                <w:rFonts w:hint="default" w:ascii="Times New Roman" w:hAnsi="Times New Roman" w:eastAsia="宋体" w:cs="Times New Roman"/>
                <w:bCs/>
                <w:color w:val="auto"/>
                <w:sz w:val="24"/>
                <w:szCs w:val="24"/>
                <w:highlight w:val="none"/>
                <w:lang w:eastAsia="zh-CN"/>
              </w:rPr>
              <w:t>量</w:t>
            </w:r>
            <w:r>
              <w:rPr>
                <w:rFonts w:hint="default" w:ascii="Times New Roman" w:hAnsi="Times New Roman" w:eastAsia="宋体" w:cs="Times New Roman"/>
                <w:color w:val="auto"/>
                <w:sz w:val="24"/>
                <w:szCs w:val="24"/>
                <w:highlight w:val="none"/>
              </w:rPr>
              <w:t>约为0.</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废弃的含油抹布、劳保用品等</w:t>
            </w:r>
            <w:r>
              <w:rPr>
                <w:rFonts w:hint="default" w:ascii="Times New Roman" w:hAnsi="Times New Roman" w:eastAsia="宋体" w:cs="Times New Roman"/>
                <w:bCs/>
                <w:color w:val="auto"/>
                <w:sz w:val="24"/>
                <w:szCs w:val="24"/>
                <w:highlight w:val="none"/>
              </w:rPr>
              <w:t>产生</w:t>
            </w:r>
            <w:r>
              <w:rPr>
                <w:rFonts w:hint="default" w:ascii="Times New Roman" w:hAnsi="Times New Roman" w:eastAsia="宋体" w:cs="Times New Roman"/>
                <w:color w:val="auto"/>
                <w:sz w:val="24"/>
                <w:szCs w:val="24"/>
                <w:highlight w:val="none"/>
              </w:rPr>
              <w:t>约为0.</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val="en-US" w:eastAsia="zh-CN"/>
              </w:rPr>
              <w:t>。</w:t>
            </w:r>
            <w:r>
              <w:rPr>
                <w:rStyle w:val="97"/>
                <w:rFonts w:hint="default" w:ascii="Times New Roman" w:hAnsi="Times New Roman" w:eastAsia="宋体" w:cs="Times New Roman"/>
                <w:color w:val="auto"/>
                <w:spacing w:val="0"/>
                <w:sz w:val="24"/>
                <w:szCs w:val="24"/>
                <w:highlight w:val="none"/>
              </w:rPr>
              <w:t>根据</w:t>
            </w:r>
            <w:r>
              <w:rPr>
                <w:rFonts w:hint="default" w:ascii="Times New Roman" w:hAnsi="Times New Roman" w:eastAsia="宋体" w:cs="Times New Roman"/>
                <w:color w:val="auto"/>
                <w:sz w:val="24"/>
                <w:szCs w:val="24"/>
                <w:highlight w:val="none"/>
              </w:rPr>
              <w:t>《国家危险废物名录》（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color w:val="auto"/>
                <w:sz w:val="24"/>
                <w:szCs w:val="24"/>
                <w:highlight w:val="none"/>
                <w:lang w:eastAsia="zh-CN"/>
              </w:rPr>
              <w:t>，废机油</w:t>
            </w:r>
            <w:r>
              <w:rPr>
                <w:rFonts w:hint="default" w:ascii="Times New Roman" w:hAnsi="Times New Roman" w:eastAsia="宋体" w:cs="Times New Roman"/>
                <w:color w:val="auto"/>
                <w:sz w:val="24"/>
                <w:szCs w:val="24"/>
                <w:highlight w:val="none"/>
                <w:lang w:bidi="ar"/>
              </w:rPr>
              <w:t>属于</w:t>
            </w:r>
            <w:r>
              <w:rPr>
                <w:rFonts w:hint="default" w:ascii="Times New Roman" w:hAnsi="Times New Roman" w:eastAsia="宋体" w:cs="Times New Roman"/>
                <w:color w:val="auto"/>
                <w:sz w:val="24"/>
                <w:szCs w:val="24"/>
                <w:highlight w:val="none"/>
                <w:lang w:eastAsia="zh-CN"/>
              </w:rPr>
              <w:t>HW</w:t>
            </w:r>
            <w:r>
              <w:rPr>
                <w:rFonts w:hint="default" w:ascii="Times New Roman" w:hAnsi="Times New Roman" w:eastAsia="宋体" w:cs="Times New Roman"/>
                <w:color w:val="auto"/>
                <w:sz w:val="24"/>
                <w:szCs w:val="24"/>
                <w:highlight w:val="none"/>
                <w:lang w:val="en-US" w:eastAsia="zh-CN"/>
              </w:rPr>
              <w:t>08废矿物油与含矿物油废物类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w:t>
            </w:r>
            <w:r>
              <w:rPr>
                <w:rFonts w:hint="default" w:ascii="Times New Roman" w:hAnsi="Times New Roman" w:eastAsia="宋体" w:cs="Times New Roman"/>
                <w:bCs/>
                <w:color w:val="auto"/>
                <w:kern w:val="0"/>
                <w:sz w:val="24"/>
                <w:szCs w:val="24"/>
                <w:highlight w:val="none"/>
                <w:lang w:val="en-US" w:eastAsia="zh-CN"/>
              </w:rPr>
              <w:t>214</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08；</w:t>
            </w:r>
            <w:r>
              <w:rPr>
                <w:rFonts w:hint="default" w:ascii="Times New Roman" w:hAnsi="Times New Roman" w:eastAsia="宋体" w:cs="Times New Roman"/>
                <w:color w:val="auto"/>
                <w:sz w:val="24"/>
                <w:szCs w:val="24"/>
                <w:highlight w:val="none"/>
              </w:rPr>
              <w:t>废弃的含油抹布、劳保用品</w:t>
            </w:r>
            <w:r>
              <w:rPr>
                <w:rFonts w:hint="default" w:ascii="Times New Roman" w:hAnsi="Times New Roman" w:eastAsia="宋体" w:cs="Times New Roman"/>
                <w:color w:val="auto"/>
                <w:sz w:val="24"/>
                <w:szCs w:val="24"/>
                <w:highlight w:val="none"/>
                <w:lang w:eastAsia="zh-CN"/>
              </w:rPr>
              <w:t>属于</w:t>
            </w:r>
            <w:r>
              <w:rPr>
                <w:rFonts w:hint="default" w:ascii="Times New Roman" w:hAnsi="Times New Roman" w:eastAsia="宋体" w:cs="Times New Roman"/>
                <w:color w:val="auto"/>
                <w:sz w:val="24"/>
                <w:szCs w:val="24"/>
                <w:highlight w:val="none"/>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危险废物，危废代码为900-041-49</w:t>
            </w:r>
            <w:r>
              <w:rPr>
                <w:rStyle w:val="97"/>
                <w:rFonts w:hint="default" w:ascii="Times New Roman" w:hAnsi="Times New Roman" w:eastAsia="宋体" w:cs="Times New Roman"/>
                <w:color w:val="auto"/>
                <w:spacing w:val="0"/>
                <w:sz w:val="24"/>
                <w:szCs w:val="24"/>
                <w:highlight w:val="none"/>
              </w:rPr>
              <w:t>。</w:t>
            </w:r>
          </w:p>
          <w:p w14:paraId="5F812DEB">
            <w:pPr>
              <w:pStyle w:val="61"/>
              <w:keepNext w:val="0"/>
              <w:keepLines w:val="0"/>
              <w:pageBreakBefore w:val="0"/>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rPr>
              <w:t>本次环评提出在</w:t>
            </w:r>
            <w:r>
              <w:rPr>
                <w:rFonts w:hint="default" w:ascii="Times New Roman" w:hAnsi="Times New Roman" w:eastAsia="宋体" w:cs="Times New Roman"/>
                <w:color w:val="auto"/>
                <w:sz w:val="24"/>
                <w:szCs w:val="24"/>
                <w:highlight w:val="none"/>
              </w:rPr>
              <w:t>项目区内设置</w:t>
            </w:r>
            <w:r>
              <w:rPr>
                <w:rFonts w:hint="default" w:ascii="Times New Roman" w:hAnsi="Times New Roman" w:eastAsia="宋体" w:cs="Times New Roman"/>
                <w:color w:val="auto"/>
                <w:sz w:val="24"/>
                <w:szCs w:val="24"/>
                <w:highlight w:val="none"/>
                <w:lang w:val="en-US" w:eastAsia="zh-CN"/>
              </w:rPr>
              <w:t>1间面积约为</w:t>
            </w:r>
            <w:r>
              <w:rPr>
                <w:rFonts w:hint="eastAsia"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危废暂存间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采用“</w:t>
            </w:r>
            <w:r>
              <w:rPr>
                <w:rFonts w:hint="default" w:ascii="Times New Roman" w:hAnsi="Times New Roman" w:eastAsia="宋体" w:cs="Times New Roman"/>
                <w:color w:val="auto"/>
                <w:sz w:val="24"/>
                <w:szCs w:val="24"/>
                <w:highlight w:val="none"/>
              </w:rPr>
              <w:t>抗渗混凝土</w:t>
            </w:r>
            <w:r>
              <w:rPr>
                <w:rFonts w:hint="default" w:ascii="Times New Roman" w:hAnsi="Times New Roman" w:eastAsia="宋体" w:cs="Times New Roman"/>
                <w:color w:val="auto"/>
                <w:sz w:val="24"/>
                <w:szCs w:val="24"/>
                <w:highlight w:val="none"/>
                <w:lang w:val="zh-CN"/>
              </w:rPr>
              <w:t>+2mm厚HDPE+环氧树脂”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并按照要求设置规范的标识标牌，同时内设</w:t>
            </w:r>
            <w:r>
              <w:rPr>
                <w:rFonts w:hint="eastAsia"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个专用危废收集容器，</w:t>
            </w:r>
            <w:r>
              <w:rPr>
                <w:rFonts w:hint="default" w:ascii="Times New Roman" w:hAnsi="Times New Roman" w:eastAsia="宋体" w:cs="Times New Roman"/>
                <w:color w:val="auto"/>
                <w:sz w:val="24"/>
                <w:szCs w:val="24"/>
                <w:highlight w:val="none"/>
                <w:lang w:val="en-US" w:eastAsia="zh-CN"/>
              </w:rPr>
              <w:t>将项目区内所有危险废物收集后分区暂存于</w:t>
            </w:r>
            <w:r>
              <w:rPr>
                <w:rFonts w:hint="default" w:ascii="Times New Roman" w:hAnsi="Times New Roman" w:eastAsia="宋体" w:cs="Times New Roman"/>
                <w:color w:val="auto"/>
                <w:sz w:val="24"/>
                <w:szCs w:val="24"/>
                <w:highlight w:val="none"/>
              </w:rPr>
              <w:t>危废暂存间内，最终委托有资质的单位定期清运、处置。</w:t>
            </w:r>
          </w:p>
          <w:p w14:paraId="104F0F72">
            <w:pPr>
              <w:pStyle w:val="25"/>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企业严格按照</w:t>
            </w:r>
            <w:r>
              <w:rPr>
                <w:rFonts w:hint="default" w:ascii="Times New Roman" w:hAnsi="Times New Roman" w:eastAsia="宋体" w:cs="Times New Roman"/>
                <w:color w:val="auto"/>
                <w:spacing w:val="-8"/>
                <w:sz w:val="24"/>
                <w:szCs w:val="24"/>
                <w:highlight w:val="none"/>
              </w:rPr>
              <w:t>《危险废物贮存污染控制标准》</w:t>
            </w:r>
            <w:r>
              <w:rPr>
                <w:rFonts w:hint="default" w:ascii="Times New Roman" w:hAnsi="Times New Roman" w:eastAsia="宋体" w:cs="Times New Roman"/>
                <w:color w:val="auto"/>
                <w:sz w:val="24"/>
                <w:szCs w:val="24"/>
                <w:highlight w:val="none"/>
              </w:rPr>
              <w:t xml:space="preserve">（GB </w:t>
            </w:r>
            <w:r>
              <w:rPr>
                <w:rFonts w:hint="default" w:ascii="Times New Roman" w:hAnsi="Times New Roman" w:eastAsia="宋体" w:cs="Times New Roman"/>
                <w:color w:val="auto"/>
                <w:spacing w:val="-3"/>
                <w:sz w:val="24"/>
                <w:szCs w:val="24"/>
                <w:highlight w:val="none"/>
              </w:rPr>
              <w:t>18597-20</w:t>
            </w:r>
            <w:r>
              <w:rPr>
                <w:rFonts w:hint="eastAsia" w:ascii="Times New Roman" w:hAnsi="Times New Roman" w:cs="Times New Roman"/>
                <w:color w:val="auto"/>
                <w:spacing w:val="-3"/>
                <w:sz w:val="24"/>
                <w:szCs w:val="24"/>
                <w:highlight w:val="none"/>
                <w:lang w:val="en-US" w:eastAsia="zh-CN"/>
              </w:rPr>
              <w:t>23）</w:t>
            </w:r>
            <w:r>
              <w:rPr>
                <w:rFonts w:hint="default" w:ascii="Times New Roman" w:hAnsi="Times New Roman" w:eastAsia="宋体" w:cs="Times New Roman"/>
                <w:b w:val="0"/>
                <w:bCs/>
                <w:color w:val="auto"/>
                <w:kern w:val="0"/>
                <w:sz w:val="24"/>
                <w:szCs w:val="24"/>
                <w:highlight w:val="none"/>
              </w:rPr>
              <w:t>建设危险废物暂存间，将危险废物分类</w:t>
            </w:r>
            <w:r>
              <w:rPr>
                <w:rFonts w:hint="eastAsia" w:cs="Times New Roman"/>
                <w:b w:val="0"/>
                <w:bCs/>
                <w:color w:val="auto"/>
                <w:kern w:val="0"/>
                <w:sz w:val="24"/>
                <w:szCs w:val="24"/>
                <w:highlight w:val="none"/>
                <w:lang w:eastAsia="zh-CN"/>
              </w:rPr>
              <w:t>装入</w:t>
            </w:r>
            <w:r>
              <w:rPr>
                <w:rFonts w:hint="default" w:ascii="Times New Roman" w:hAnsi="Times New Roman" w:eastAsia="宋体" w:cs="Times New Roman"/>
                <w:b w:val="0"/>
                <w:bCs/>
                <w:color w:val="auto"/>
                <w:kern w:val="0"/>
                <w:sz w:val="24"/>
                <w:szCs w:val="24"/>
                <w:highlight w:val="none"/>
              </w:rPr>
              <w:t>容器内，并粘贴危险废物标签，做好</w:t>
            </w:r>
            <w:r>
              <w:rPr>
                <w:rFonts w:hint="eastAsia" w:cs="Times New Roman"/>
                <w:b w:val="0"/>
                <w:bCs/>
                <w:color w:val="auto"/>
                <w:kern w:val="0"/>
                <w:sz w:val="24"/>
                <w:szCs w:val="24"/>
                <w:highlight w:val="none"/>
                <w:lang w:eastAsia="zh-CN"/>
              </w:rPr>
              <w:t>相应的记录</w:t>
            </w:r>
            <w:r>
              <w:rPr>
                <w:rFonts w:hint="default" w:ascii="Times New Roman" w:hAnsi="Times New Roman" w:eastAsia="宋体" w:cs="Times New Roman"/>
                <w:b w:val="0"/>
                <w:bCs/>
                <w:color w:val="auto"/>
                <w:kern w:val="0"/>
                <w:sz w:val="24"/>
                <w:szCs w:val="24"/>
                <w:highlight w:val="none"/>
              </w:rPr>
              <w:t>。对相应的暂存场建设基础防渗设施、防风、防雨、防晒并配备照明设施等，并与厂区内其它生产单元、办公生活区严格区分、单独隔离。对危险废物的转移处理须严格按照</w:t>
            </w:r>
            <w:r>
              <w:rPr>
                <w:rFonts w:hint="default" w:ascii="Times New Roman" w:hAnsi="Times New Roman" w:eastAsia="宋体" w:cs="Times New Roman"/>
                <w:b w:val="0"/>
                <w:bCs/>
                <w:color w:val="auto"/>
                <w:kern w:val="0"/>
                <w:sz w:val="24"/>
                <w:szCs w:val="24"/>
                <w:highlight w:val="none"/>
                <w:lang w:val="en-US" w:eastAsia="zh-CN"/>
              </w:rPr>
              <w:t>生态环境部</w:t>
            </w:r>
            <w:r>
              <w:rPr>
                <w:rFonts w:hint="default" w:ascii="Times New Roman" w:hAnsi="Times New Roman" w:eastAsia="宋体" w:cs="Times New Roman"/>
                <w:b w:val="0"/>
                <w:bCs/>
                <w:color w:val="auto"/>
                <w:kern w:val="0"/>
                <w:sz w:val="24"/>
                <w:szCs w:val="24"/>
                <w:highlight w:val="none"/>
              </w:rPr>
              <w:t>《危险废物转移管理办法》</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部令第23号</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执行。</w:t>
            </w:r>
          </w:p>
          <w:p w14:paraId="38E244CE">
            <w:pPr>
              <w:pStyle w:val="25"/>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color w:val="auto"/>
                <w:kern w:val="0"/>
                <w:sz w:val="24"/>
                <w:szCs w:val="24"/>
                <w:highlight w:val="none"/>
                <w:lang w:val="zh-CN"/>
              </w:rPr>
              <w:t>项目所涉及的危险废物的危</w:t>
            </w:r>
            <w:r>
              <w:rPr>
                <w:rFonts w:hint="default" w:ascii="Times New Roman" w:hAnsi="Times New Roman" w:eastAsia="宋体" w:cs="Times New Roman"/>
                <w:color w:val="auto"/>
                <w:sz w:val="24"/>
                <w:highlight w:val="none"/>
                <w:lang w:val="zh-CN"/>
              </w:rPr>
              <w:t>险特性见表</w:t>
            </w:r>
            <w:r>
              <w:rPr>
                <w:rFonts w:hint="default"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36</w:t>
            </w:r>
            <w:r>
              <w:rPr>
                <w:rFonts w:hint="default" w:ascii="Times New Roman" w:hAnsi="Times New Roman" w:eastAsia="宋体" w:cs="Times New Roman"/>
                <w:color w:val="auto"/>
                <w:sz w:val="24"/>
                <w:highlight w:val="none"/>
              </w:rPr>
              <w:t>。</w:t>
            </w:r>
          </w:p>
          <w:p w14:paraId="13A2A89A">
            <w:pPr>
              <w:pStyle w:val="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4-</w:t>
            </w:r>
            <w:r>
              <w:rPr>
                <w:rFonts w:hint="eastAsia" w:cs="Times New Roman"/>
                <w:color w:val="auto"/>
                <w:sz w:val="21"/>
                <w:szCs w:val="21"/>
                <w:highlight w:val="none"/>
                <w:lang w:val="en-US" w:eastAsia="zh-CN"/>
              </w:rPr>
              <w:t>36</w:t>
            </w:r>
            <w:r>
              <w:rPr>
                <w:rFonts w:hint="default" w:ascii="Times New Roman" w:hAnsi="Times New Roman" w:eastAsia="宋体" w:cs="Times New Roman"/>
                <w:color w:val="auto"/>
                <w:sz w:val="21"/>
                <w:szCs w:val="21"/>
                <w:highlight w:val="none"/>
              </w:rPr>
              <w:t xml:space="preserve">  国家危险废物名录（</w:t>
            </w:r>
            <w:r>
              <w:rPr>
                <w:rFonts w:hint="default" w:ascii="Times New Roman" w:hAnsi="Times New Roman" w:eastAsia="宋体" w:cs="Times New Roman"/>
                <w:color w:val="auto"/>
                <w:sz w:val="21"/>
                <w:szCs w:val="21"/>
                <w:highlight w:val="none"/>
                <w:lang w:val="en-US" w:eastAsia="zh-CN"/>
              </w:rPr>
              <w:t>2021</w:t>
            </w:r>
            <w:r>
              <w:rPr>
                <w:rFonts w:hint="default" w:ascii="Times New Roman" w:hAnsi="Times New Roman" w:eastAsia="宋体" w:cs="Times New Roman"/>
                <w:color w:val="auto"/>
                <w:sz w:val="21"/>
                <w:szCs w:val="21"/>
                <w:highlight w:val="none"/>
              </w:rPr>
              <w:t>年）（摘抄）</w:t>
            </w:r>
          </w:p>
          <w:tbl>
            <w:tblPr>
              <w:tblStyle w:val="27"/>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16"/>
              <w:gridCol w:w="1107"/>
              <w:gridCol w:w="900"/>
              <w:gridCol w:w="900"/>
              <w:gridCol w:w="3546"/>
              <w:gridCol w:w="748"/>
            </w:tblGrid>
            <w:tr w14:paraId="2F6DC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316" w:type="dxa"/>
                  <w:tcBorders>
                    <w:tl2br w:val="nil"/>
                    <w:tr2bl w:val="nil"/>
                  </w:tcBorders>
                  <w:noWrap w:val="0"/>
                  <w:vAlign w:val="center"/>
                </w:tcPr>
                <w:p w14:paraId="50B7876D">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107" w:type="dxa"/>
                  <w:tcBorders>
                    <w:tl2br w:val="nil"/>
                    <w:tr2bl w:val="nil"/>
                  </w:tcBorders>
                  <w:noWrap w:val="0"/>
                  <w:vAlign w:val="center"/>
                </w:tcPr>
                <w:p w14:paraId="2D088EBD">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废物类别</w:t>
                  </w:r>
                </w:p>
              </w:tc>
              <w:tc>
                <w:tcPr>
                  <w:tcW w:w="900" w:type="dxa"/>
                  <w:tcBorders>
                    <w:tl2br w:val="nil"/>
                    <w:tr2bl w:val="nil"/>
                  </w:tcBorders>
                  <w:noWrap w:val="0"/>
                  <w:vAlign w:val="center"/>
                </w:tcPr>
                <w:p w14:paraId="04B59C54">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行业来源</w:t>
                  </w:r>
                </w:p>
              </w:tc>
              <w:tc>
                <w:tcPr>
                  <w:tcW w:w="900" w:type="dxa"/>
                  <w:tcBorders>
                    <w:tl2br w:val="nil"/>
                    <w:tr2bl w:val="nil"/>
                  </w:tcBorders>
                  <w:noWrap w:val="0"/>
                  <w:vAlign w:val="center"/>
                </w:tcPr>
                <w:p w14:paraId="3398A380">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废物代码</w:t>
                  </w:r>
                </w:p>
              </w:tc>
              <w:tc>
                <w:tcPr>
                  <w:tcW w:w="3546" w:type="dxa"/>
                  <w:tcBorders>
                    <w:tl2br w:val="nil"/>
                    <w:tr2bl w:val="nil"/>
                  </w:tcBorders>
                  <w:noWrap w:val="0"/>
                  <w:vAlign w:val="center"/>
                </w:tcPr>
                <w:p w14:paraId="0961FDA4">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tc>
              <w:tc>
                <w:tcPr>
                  <w:tcW w:w="748" w:type="dxa"/>
                  <w:tcBorders>
                    <w:tl2br w:val="nil"/>
                    <w:tr2bl w:val="nil"/>
                  </w:tcBorders>
                  <w:noWrap w:val="0"/>
                  <w:vAlign w:val="center"/>
                </w:tcPr>
                <w:p w14:paraId="3828A555">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r>
            <w:tr w14:paraId="492F1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7" w:hRule="atLeast"/>
                <w:jc w:val="center"/>
              </w:trPr>
              <w:tc>
                <w:tcPr>
                  <w:tcW w:w="1316" w:type="dxa"/>
                  <w:tcBorders>
                    <w:tl2br w:val="nil"/>
                    <w:tr2bl w:val="nil"/>
                  </w:tcBorders>
                  <w:noWrap w:val="0"/>
                  <w:vAlign w:val="center"/>
                </w:tcPr>
                <w:p w14:paraId="2DCB49F2">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废液压油</w:t>
                  </w:r>
                </w:p>
              </w:tc>
              <w:tc>
                <w:tcPr>
                  <w:tcW w:w="1107" w:type="dxa"/>
                  <w:tcBorders>
                    <w:tl2br w:val="nil"/>
                    <w:tr2bl w:val="nil"/>
                  </w:tcBorders>
                  <w:noWrap w:val="0"/>
                  <w:vAlign w:val="center"/>
                </w:tcPr>
                <w:p w14:paraId="18BAD734">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HW08废矿物油</w:t>
                  </w:r>
                </w:p>
              </w:tc>
              <w:tc>
                <w:tcPr>
                  <w:tcW w:w="900" w:type="dxa"/>
                  <w:tcBorders>
                    <w:tl2br w:val="nil"/>
                    <w:tr2bl w:val="nil"/>
                  </w:tcBorders>
                  <w:noWrap w:val="0"/>
                  <w:vAlign w:val="center"/>
                </w:tcPr>
                <w:p w14:paraId="2059029A">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14:paraId="15271725">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900-</w:t>
                  </w:r>
                  <w:r>
                    <w:rPr>
                      <w:rFonts w:hint="eastAsia" w:ascii="Times New Roman" w:hAnsi="Times New Roman" w:eastAsia="宋体" w:cs="Times New Roman"/>
                      <w:color w:val="auto"/>
                      <w:sz w:val="21"/>
                      <w:szCs w:val="21"/>
                      <w:highlight w:val="none"/>
                      <w:lang w:val="en-US" w:eastAsia="zh-CN"/>
                    </w:rPr>
                    <w:t>218</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08</w:t>
                  </w:r>
                </w:p>
              </w:tc>
              <w:tc>
                <w:tcPr>
                  <w:tcW w:w="3546" w:type="dxa"/>
                  <w:tcBorders>
                    <w:tl2br w:val="nil"/>
                    <w:tr2bl w:val="nil"/>
                  </w:tcBorders>
                  <w:noWrap w:val="0"/>
                  <w:vAlign w:val="center"/>
                </w:tcPr>
                <w:p w14:paraId="2FE5D8B7">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color w:val="auto"/>
                      <w:sz w:val="21"/>
                      <w:szCs w:val="21"/>
                      <w:highlight w:val="none"/>
                      <w:lang w:val="en-US" w:eastAsia="zh-CN"/>
                    </w:rPr>
                    <w:t>液压设备维护、更换和拆解过程中产生的废液压油</w:t>
                  </w:r>
                </w:p>
              </w:tc>
              <w:tc>
                <w:tcPr>
                  <w:tcW w:w="748" w:type="dxa"/>
                  <w:tcBorders>
                    <w:tl2br w:val="nil"/>
                    <w:tr2bl w:val="nil"/>
                  </w:tcBorders>
                  <w:noWrap w:val="0"/>
                  <w:vAlign w:val="center"/>
                </w:tcPr>
                <w:p w14:paraId="4C345B8C">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T，</w:t>
                  </w:r>
                  <w:r>
                    <w:rPr>
                      <w:rFonts w:hint="default" w:ascii="Times New Roman" w:hAnsi="Times New Roman" w:eastAsia="宋体" w:cs="Times New Roman"/>
                      <w:color w:val="auto"/>
                      <w:sz w:val="21"/>
                      <w:szCs w:val="21"/>
                      <w:highlight w:val="none"/>
                      <w:lang w:val="en-US" w:eastAsia="zh-CN"/>
                    </w:rPr>
                    <w:t>I</w:t>
                  </w:r>
                </w:p>
              </w:tc>
            </w:tr>
            <w:tr w14:paraId="64B47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5" w:hRule="atLeast"/>
                <w:jc w:val="center"/>
              </w:trPr>
              <w:tc>
                <w:tcPr>
                  <w:tcW w:w="1316" w:type="dxa"/>
                  <w:tcBorders>
                    <w:tl2br w:val="nil"/>
                    <w:tr2bl w:val="nil"/>
                  </w:tcBorders>
                  <w:noWrap w:val="0"/>
                  <w:vAlign w:val="center"/>
                </w:tcPr>
                <w:p w14:paraId="026B13FE">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w:t>
                  </w:r>
                  <w:r>
                    <w:rPr>
                      <w:rFonts w:hint="eastAsia" w:ascii="Times New Roman" w:hAnsi="Times New Roman" w:eastAsia="宋体" w:cs="Times New Roman"/>
                      <w:color w:val="auto"/>
                      <w:sz w:val="21"/>
                      <w:szCs w:val="21"/>
                      <w:highlight w:val="none"/>
                      <w:lang w:val="en-US" w:eastAsia="zh-CN"/>
                    </w:rPr>
                    <w:t>液</w:t>
                  </w:r>
                </w:p>
              </w:tc>
              <w:tc>
                <w:tcPr>
                  <w:tcW w:w="1107" w:type="dxa"/>
                  <w:tcBorders>
                    <w:tl2br w:val="nil"/>
                    <w:tr2bl w:val="nil"/>
                  </w:tcBorders>
                  <w:noWrap w:val="0"/>
                  <w:vAlign w:val="center"/>
                </w:tcPr>
                <w:p w14:paraId="17052CE6">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900" w:type="dxa"/>
                  <w:tcBorders>
                    <w:tl2br w:val="nil"/>
                    <w:tr2bl w:val="nil"/>
                  </w:tcBorders>
                  <w:noWrap w:val="0"/>
                  <w:vAlign w:val="center"/>
                </w:tcPr>
                <w:p w14:paraId="0BE1CCC1">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14:paraId="762CAB7A">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900-</w:t>
                  </w:r>
                  <w:r>
                    <w:rPr>
                      <w:rFonts w:hint="eastAsia" w:cs="Times New Roman"/>
                      <w:color w:val="auto"/>
                      <w:sz w:val="21"/>
                      <w:szCs w:val="21"/>
                      <w:highlight w:val="none"/>
                      <w:lang w:val="en-US" w:eastAsia="zh-CN"/>
                    </w:rPr>
                    <w:t>047</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49</w:t>
                  </w:r>
                </w:p>
              </w:tc>
              <w:tc>
                <w:tcPr>
                  <w:tcW w:w="3546" w:type="dxa"/>
                  <w:tcBorders>
                    <w:tl2br w:val="nil"/>
                    <w:tr2bl w:val="nil"/>
                  </w:tcBorders>
                  <w:noWrap w:val="0"/>
                  <w:vAlign w:val="center"/>
                </w:tcPr>
                <w:p w14:paraId="1E7F2A5B">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生产、研究、开发、教学、环境检测</w:t>
                  </w:r>
                </w:p>
                <w:p w14:paraId="24C50C3F">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w:t>
                  </w:r>
                  <w:r>
                    <w:rPr>
                      <w:rFonts w:hint="eastAsia" w:ascii="Times New Roman" w:hAnsi="Times New Roman" w:cs="Times New Roman"/>
                      <w:color w:val="auto"/>
                      <w:sz w:val="21"/>
                      <w:szCs w:val="21"/>
                      <w:highlight w:val="none"/>
                      <w:lang w:val="en-US" w:eastAsia="zh-CN"/>
                    </w:rPr>
                    <w:t>。</w:t>
                  </w:r>
                </w:p>
              </w:tc>
              <w:tc>
                <w:tcPr>
                  <w:tcW w:w="748" w:type="dxa"/>
                  <w:tcBorders>
                    <w:tl2br w:val="nil"/>
                    <w:tr2bl w:val="nil"/>
                  </w:tcBorders>
                  <w:noWrap w:val="0"/>
                  <w:vAlign w:val="center"/>
                </w:tcPr>
                <w:p w14:paraId="34FBDA62">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T/C/I/R</w:t>
                  </w:r>
                </w:p>
                <w:p w14:paraId="2E90530C">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750B5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5" w:hRule="atLeast"/>
                <w:jc w:val="center"/>
              </w:trPr>
              <w:tc>
                <w:tcPr>
                  <w:tcW w:w="1316" w:type="dxa"/>
                  <w:tcBorders>
                    <w:tl2br w:val="nil"/>
                    <w:tr2bl w:val="nil"/>
                  </w:tcBorders>
                  <w:noWrap w:val="0"/>
                  <w:vAlign w:val="center"/>
                </w:tcPr>
                <w:p w14:paraId="632684B6">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废试剂瓶</w:t>
                  </w:r>
                </w:p>
              </w:tc>
              <w:tc>
                <w:tcPr>
                  <w:tcW w:w="1107" w:type="dxa"/>
                  <w:tcBorders>
                    <w:tl2br w:val="nil"/>
                    <w:tr2bl w:val="nil"/>
                  </w:tcBorders>
                  <w:noWrap w:val="0"/>
                  <w:vAlign w:val="center"/>
                </w:tcPr>
                <w:p w14:paraId="32123E90">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HW49其他废物</w:t>
                  </w:r>
                </w:p>
              </w:tc>
              <w:tc>
                <w:tcPr>
                  <w:tcW w:w="900" w:type="dxa"/>
                  <w:tcBorders>
                    <w:tl2br w:val="nil"/>
                    <w:tr2bl w:val="nil"/>
                  </w:tcBorders>
                  <w:noWrap w:val="0"/>
                  <w:vAlign w:val="center"/>
                </w:tcPr>
                <w:p w14:paraId="797B3DC5">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14:paraId="51A0F15A">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3546" w:type="dxa"/>
                  <w:tcBorders>
                    <w:tl2br w:val="nil"/>
                    <w:tr2bl w:val="nil"/>
                  </w:tcBorders>
                  <w:noWrap w:val="0"/>
                  <w:vAlign w:val="center"/>
                </w:tcPr>
                <w:p w14:paraId="429FCFEC">
                  <w:pPr>
                    <w:spacing w:beforeLines="0" w:afterLines="0"/>
                    <w:jc w:val="left"/>
                    <w:rPr>
                      <w:rFonts w:hint="default" w:ascii="Times New Roman" w:hAnsi="Times New Roman" w:eastAsia="宋体" w:cs="Times New Roman"/>
                      <w:snapToGrid w:val="0"/>
                      <w:color w:val="auto"/>
                      <w:spacing w:val="2"/>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含有或沾染毒性、感染性危险废物的废弃包装物、容器、过滤吸附介质</w:t>
                  </w:r>
                </w:p>
              </w:tc>
              <w:tc>
                <w:tcPr>
                  <w:tcW w:w="748" w:type="dxa"/>
                  <w:tcBorders>
                    <w:tl2br w:val="nil"/>
                    <w:tr2bl w:val="nil"/>
                  </w:tcBorders>
                  <w:noWrap w:val="0"/>
                  <w:vAlign w:val="center"/>
                </w:tcPr>
                <w:p w14:paraId="13E1E067">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pacing w:val="2"/>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T/In</w:t>
                  </w:r>
                </w:p>
              </w:tc>
            </w:tr>
            <w:tr w14:paraId="01273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316" w:type="dxa"/>
                  <w:tcBorders>
                    <w:tl2br w:val="nil"/>
                    <w:tr2bl w:val="nil"/>
                  </w:tcBorders>
                  <w:noWrap w:val="0"/>
                  <w:vAlign w:val="center"/>
                </w:tcPr>
                <w:p w14:paraId="2B900334">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107" w:type="dxa"/>
                  <w:tcBorders>
                    <w:tl2br w:val="nil"/>
                    <w:tr2bl w:val="nil"/>
                  </w:tcBorders>
                  <w:noWrap w:val="0"/>
                  <w:vAlign w:val="center"/>
                </w:tcPr>
                <w:p w14:paraId="198BF57E">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HW49其他废物</w:t>
                  </w:r>
                </w:p>
              </w:tc>
              <w:tc>
                <w:tcPr>
                  <w:tcW w:w="900" w:type="dxa"/>
                  <w:tcBorders>
                    <w:tl2br w:val="nil"/>
                    <w:tr2bl w:val="nil"/>
                  </w:tcBorders>
                  <w:noWrap w:val="0"/>
                  <w:vAlign w:val="center"/>
                </w:tcPr>
                <w:p w14:paraId="26A57DD6">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14:paraId="4A2D3BF6">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3546" w:type="dxa"/>
                  <w:tcBorders>
                    <w:tl2br w:val="nil"/>
                    <w:tr2bl w:val="nil"/>
                  </w:tcBorders>
                  <w:noWrap w:val="0"/>
                  <w:vAlign w:val="center"/>
                </w:tcPr>
                <w:p w14:paraId="75857B9F">
                  <w:pPr>
                    <w:spacing w:beforeLines="0" w:afterLine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含有或沾染毒性、感染性危险废物的废弃包装物、容器、过滤吸附介质</w:t>
                  </w:r>
                </w:p>
              </w:tc>
              <w:tc>
                <w:tcPr>
                  <w:tcW w:w="748" w:type="dxa"/>
                  <w:tcBorders>
                    <w:tl2br w:val="nil"/>
                    <w:tr2bl w:val="nil"/>
                  </w:tcBorders>
                  <w:noWrap w:val="0"/>
                  <w:vAlign w:val="center"/>
                </w:tcPr>
                <w:p w14:paraId="5057680A">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T/In</w:t>
                  </w:r>
                </w:p>
              </w:tc>
            </w:tr>
            <w:tr w14:paraId="261BC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316" w:type="dxa"/>
                  <w:tcBorders>
                    <w:tl2br w:val="nil"/>
                    <w:tr2bl w:val="nil"/>
                  </w:tcBorders>
                  <w:noWrap w:val="0"/>
                  <w:vAlign w:val="center"/>
                </w:tcPr>
                <w:p w14:paraId="2DBA75C8">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废机油</w:t>
                  </w:r>
                </w:p>
              </w:tc>
              <w:tc>
                <w:tcPr>
                  <w:tcW w:w="1107" w:type="dxa"/>
                  <w:tcBorders>
                    <w:tl2br w:val="nil"/>
                    <w:tr2bl w:val="nil"/>
                  </w:tcBorders>
                  <w:noWrap w:val="0"/>
                  <w:vAlign w:val="center"/>
                </w:tcPr>
                <w:p w14:paraId="04C7C720">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w:t>
                  </w:r>
                </w:p>
              </w:tc>
              <w:tc>
                <w:tcPr>
                  <w:tcW w:w="900" w:type="dxa"/>
                  <w:tcBorders>
                    <w:tl2br w:val="nil"/>
                    <w:tr2bl w:val="nil"/>
                  </w:tcBorders>
                  <w:noWrap w:val="0"/>
                  <w:vAlign w:val="center"/>
                </w:tcPr>
                <w:p w14:paraId="0D3A052F">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14:paraId="16D8BF6F">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900-2</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eastAsia="zh-CN"/>
                    </w:rPr>
                    <w:t>-08</w:t>
                  </w:r>
                </w:p>
              </w:tc>
              <w:tc>
                <w:tcPr>
                  <w:tcW w:w="3546" w:type="dxa"/>
                  <w:tcBorders>
                    <w:tl2br w:val="nil"/>
                    <w:tr2bl w:val="nil"/>
                  </w:tcBorders>
                  <w:noWrap w:val="0"/>
                  <w:vAlign w:val="center"/>
                </w:tcPr>
                <w:p w14:paraId="24E813A9">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车辆、轮船及其它机械维修过程中产生的废发动机油、制动器油、自动变速器油、齿轮油等废润滑油</w:t>
                  </w:r>
                </w:p>
              </w:tc>
              <w:tc>
                <w:tcPr>
                  <w:tcW w:w="748" w:type="dxa"/>
                  <w:tcBorders>
                    <w:tl2br w:val="nil"/>
                    <w:tr2bl w:val="nil"/>
                  </w:tcBorders>
                  <w:noWrap w:val="0"/>
                  <w:vAlign w:val="center"/>
                </w:tcPr>
                <w:p w14:paraId="07197E1B">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r>
          </w:tbl>
          <w:p w14:paraId="06D26E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综上分析，项目在严格落实环评提出的各项固体废弃物收集、储存设施确实实施的情况下，一般固体废弃物的储存处置能够达到《一般工业固体废物贮存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，项目所产生的固体废弃物能够得到合理、有效的处置，各固体废弃物去向明确，处置率达到100%，对环境的影响较小。</w:t>
            </w:r>
          </w:p>
          <w:p w14:paraId="62AEF2F4">
            <w:pPr>
              <w:pStyle w:val="5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51"/>
                <w:rFonts w:hint="default" w:ascii="Times New Roman" w:hAnsi="Times New Roman" w:eastAsia="宋体" w:cs="Times New Roman"/>
                <w:b/>
                <w:bCs w:val="0"/>
                <w:color w:val="auto"/>
                <w:sz w:val="21"/>
                <w:szCs w:val="21"/>
                <w:highlight w:val="none"/>
                <w:lang w:val="en-US" w:eastAsia="zh-CN"/>
              </w:rPr>
            </w:pPr>
            <w:r>
              <w:rPr>
                <w:rStyle w:val="51"/>
                <w:rFonts w:hint="default" w:ascii="Times New Roman" w:hAnsi="Times New Roman" w:eastAsia="宋体" w:cs="Times New Roman"/>
                <w:b/>
                <w:bCs w:val="0"/>
                <w:color w:val="auto"/>
                <w:sz w:val="21"/>
                <w:szCs w:val="21"/>
                <w:highlight w:val="none"/>
                <w:lang w:val="en-US" w:eastAsia="zh-CN"/>
              </w:rPr>
              <w:t>表4-</w:t>
            </w:r>
            <w:r>
              <w:rPr>
                <w:rStyle w:val="51"/>
                <w:rFonts w:hint="eastAsia" w:cs="Times New Roman"/>
                <w:b/>
                <w:bCs w:val="0"/>
                <w:color w:val="auto"/>
                <w:sz w:val="21"/>
                <w:szCs w:val="21"/>
                <w:highlight w:val="none"/>
                <w:lang w:val="en-US" w:eastAsia="zh-CN"/>
              </w:rPr>
              <w:t>37</w:t>
            </w:r>
            <w:r>
              <w:rPr>
                <w:rStyle w:val="51"/>
                <w:rFonts w:hint="default" w:ascii="Times New Roman" w:hAnsi="Times New Roman" w:eastAsia="宋体" w:cs="Times New Roman"/>
                <w:b/>
                <w:bCs w:val="0"/>
                <w:color w:val="auto"/>
                <w:sz w:val="21"/>
                <w:szCs w:val="21"/>
                <w:highlight w:val="none"/>
                <w:lang w:val="en-US" w:eastAsia="zh-CN"/>
              </w:rPr>
              <w:t xml:space="preserve">  本项目</w:t>
            </w:r>
            <w:r>
              <w:rPr>
                <w:rStyle w:val="51"/>
                <w:rFonts w:hint="eastAsia" w:cs="Times New Roman"/>
                <w:b/>
                <w:bCs w:val="0"/>
                <w:color w:val="auto"/>
                <w:sz w:val="21"/>
                <w:szCs w:val="21"/>
                <w:highlight w:val="none"/>
                <w:lang w:val="en-US" w:eastAsia="zh-CN"/>
              </w:rPr>
              <w:t>建设完成</w:t>
            </w:r>
            <w:r>
              <w:rPr>
                <w:rStyle w:val="51"/>
                <w:rFonts w:hint="default" w:ascii="Times New Roman" w:hAnsi="Times New Roman" w:eastAsia="宋体" w:cs="Times New Roman"/>
                <w:b/>
                <w:bCs w:val="0"/>
                <w:color w:val="auto"/>
                <w:sz w:val="21"/>
                <w:szCs w:val="21"/>
                <w:highlight w:val="none"/>
                <w:lang w:val="en-US" w:eastAsia="zh-CN"/>
              </w:rPr>
              <w:t>固体废弃物处置情况</w:t>
            </w:r>
          </w:p>
          <w:tbl>
            <w:tblPr>
              <w:tblStyle w:val="28"/>
              <w:tblW w:w="8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
              <w:gridCol w:w="414"/>
              <w:gridCol w:w="440"/>
              <w:gridCol w:w="24"/>
              <w:gridCol w:w="139"/>
              <w:gridCol w:w="356"/>
              <w:gridCol w:w="60"/>
              <w:gridCol w:w="79"/>
              <w:gridCol w:w="386"/>
              <w:gridCol w:w="139"/>
              <w:gridCol w:w="356"/>
              <w:gridCol w:w="1"/>
              <w:gridCol w:w="138"/>
              <w:gridCol w:w="415"/>
              <w:gridCol w:w="139"/>
              <w:gridCol w:w="298"/>
              <w:gridCol w:w="38"/>
              <w:gridCol w:w="139"/>
              <w:gridCol w:w="261"/>
              <w:gridCol w:w="139"/>
              <w:gridCol w:w="286"/>
              <w:gridCol w:w="425"/>
              <w:gridCol w:w="587"/>
              <w:gridCol w:w="463"/>
              <w:gridCol w:w="546"/>
              <w:gridCol w:w="645"/>
              <w:gridCol w:w="467"/>
              <w:gridCol w:w="533"/>
              <w:gridCol w:w="45"/>
              <w:gridCol w:w="236"/>
            </w:tblGrid>
            <w:tr w14:paraId="500E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1" w:type="dxa"/>
                <w:trHeight w:val="0" w:hRule="atLeast"/>
                <w:jc w:val="center"/>
              </w:trPr>
              <w:tc>
                <w:tcPr>
                  <w:tcW w:w="721" w:type="dxa"/>
                  <w:gridSpan w:val="2"/>
                  <w:noWrap w:val="0"/>
                  <w:vAlign w:val="center"/>
                </w:tcPr>
                <w:p w14:paraId="70AEE4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产污环节</w:t>
                  </w:r>
                </w:p>
              </w:tc>
              <w:tc>
                <w:tcPr>
                  <w:tcW w:w="464" w:type="dxa"/>
                  <w:gridSpan w:val="2"/>
                  <w:noWrap w:val="0"/>
                  <w:vAlign w:val="center"/>
                </w:tcPr>
                <w:p w14:paraId="44F227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原料除尘</w:t>
                  </w:r>
                </w:p>
                <w:p w14:paraId="180B44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95" w:type="dxa"/>
                  <w:gridSpan w:val="2"/>
                  <w:noWrap w:val="0"/>
                  <w:vAlign w:val="center"/>
                </w:tcPr>
                <w:p w14:paraId="00F5D6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炉渣</w:t>
                  </w:r>
                </w:p>
              </w:tc>
              <w:tc>
                <w:tcPr>
                  <w:tcW w:w="525" w:type="dxa"/>
                  <w:gridSpan w:val="3"/>
                  <w:noWrap w:val="0"/>
                  <w:vAlign w:val="center"/>
                </w:tcPr>
                <w:p w14:paraId="7E96F6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烘干工序除尘</w:t>
                  </w:r>
                </w:p>
              </w:tc>
              <w:tc>
                <w:tcPr>
                  <w:tcW w:w="496" w:type="dxa"/>
                  <w:gridSpan w:val="3"/>
                  <w:noWrap w:val="0"/>
                  <w:vAlign w:val="center"/>
                </w:tcPr>
                <w:p w14:paraId="06A764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成品</w:t>
                  </w:r>
                  <w:r>
                    <w:rPr>
                      <w:rFonts w:hint="eastAsia" w:cs="Times New Roman"/>
                      <w:b w:val="0"/>
                      <w:bCs w:val="0"/>
                      <w:color w:val="auto"/>
                      <w:sz w:val="21"/>
                      <w:szCs w:val="21"/>
                      <w:highlight w:val="none"/>
                      <w:lang w:val="en-US" w:eastAsia="zh-CN"/>
                    </w:rPr>
                    <w:t>除尘</w:t>
                  </w:r>
                </w:p>
              </w:tc>
              <w:tc>
                <w:tcPr>
                  <w:tcW w:w="553" w:type="dxa"/>
                  <w:gridSpan w:val="2"/>
                  <w:noWrap w:val="0"/>
                  <w:vAlign w:val="center"/>
                </w:tcPr>
                <w:p w14:paraId="3A9AFD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石灰石粉筒仓</w:t>
                  </w:r>
                  <w:r>
                    <w:rPr>
                      <w:rFonts w:hint="eastAsia" w:cs="Times New Roman"/>
                      <w:b w:val="0"/>
                      <w:bCs w:val="0"/>
                      <w:color w:val="auto"/>
                      <w:sz w:val="21"/>
                      <w:szCs w:val="21"/>
                      <w:highlight w:val="none"/>
                      <w:lang w:val="en-US" w:eastAsia="zh-CN"/>
                    </w:rPr>
                    <w:t>除尘</w:t>
                  </w:r>
                </w:p>
              </w:tc>
              <w:tc>
                <w:tcPr>
                  <w:tcW w:w="475" w:type="dxa"/>
                  <w:gridSpan w:val="3"/>
                  <w:noWrap w:val="0"/>
                  <w:vAlign w:val="center"/>
                </w:tcPr>
                <w:p w14:paraId="6A5B38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燃料</w:t>
                  </w:r>
                  <w:r>
                    <w:rPr>
                      <w:rFonts w:hint="eastAsia" w:ascii="Times New Roman" w:hAnsi="Times New Roman" w:eastAsia="宋体" w:cs="Times New Roman"/>
                      <w:b w:val="0"/>
                      <w:bCs w:val="0"/>
                      <w:color w:val="auto"/>
                      <w:sz w:val="21"/>
                      <w:szCs w:val="21"/>
                      <w:highlight w:val="none"/>
                      <w:lang w:val="en-US" w:eastAsia="zh-CN"/>
                    </w:rPr>
                    <w:t>仓</w:t>
                  </w:r>
                  <w:r>
                    <w:rPr>
                      <w:rFonts w:hint="eastAsia" w:cs="Times New Roman"/>
                      <w:b w:val="0"/>
                      <w:bCs w:val="0"/>
                      <w:color w:val="auto"/>
                      <w:sz w:val="21"/>
                      <w:szCs w:val="21"/>
                      <w:highlight w:val="none"/>
                      <w:lang w:val="en-US" w:eastAsia="zh-CN"/>
                    </w:rPr>
                    <w:t>除尘</w:t>
                  </w:r>
                </w:p>
              </w:tc>
              <w:tc>
                <w:tcPr>
                  <w:tcW w:w="400" w:type="dxa"/>
                  <w:gridSpan w:val="2"/>
                  <w:noWrap w:val="0"/>
                  <w:vAlign w:val="center"/>
                </w:tcPr>
                <w:p w14:paraId="716807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煤粉仓除尘</w:t>
                  </w:r>
                </w:p>
              </w:tc>
              <w:tc>
                <w:tcPr>
                  <w:tcW w:w="425" w:type="dxa"/>
                  <w:gridSpan w:val="2"/>
                  <w:noWrap w:val="0"/>
                  <w:vAlign w:val="center"/>
                </w:tcPr>
                <w:p w14:paraId="0EBEAA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成品散装除尘</w:t>
                  </w:r>
                </w:p>
              </w:tc>
              <w:tc>
                <w:tcPr>
                  <w:tcW w:w="425" w:type="dxa"/>
                  <w:noWrap w:val="0"/>
                  <w:vAlign w:val="center"/>
                </w:tcPr>
                <w:p w14:paraId="59F969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日常生活</w:t>
                  </w:r>
                </w:p>
              </w:tc>
              <w:tc>
                <w:tcPr>
                  <w:tcW w:w="587" w:type="dxa"/>
                  <w:noWrap w:val="0"/>
                  <w:vAlign w:val="center"/>
                </w:tcPr>
                <w:p w14:paraId="6D272A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化粪池、一体化污水处理站</w:t>
                  </w:r>
                </w:p>
              </w:tc>
              <w:tc>
                <w:tcPr>
                  <w:tcW w:w="463" w:type="dxa"/>
                  <w:noWrap w:val="0"/>
                  <w:vAlign w:val="center"/>
                </w:tcPr>
                <w:p w14:paraId="438B46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液压油</w:t>
                  </w:r>
                  <w:r>
                    <w:rPr>
                      <w:rFonts w:hint="eastAsia" w:cs="Times New Roman"/>
                      <w:color w:val="auto"/>
                      <w:sz w:val="21"/>
                      <w:szCs w:val="21"/>
                      <w:highlight w:val="none"/>
                      <w:lang w:val="en-US" w:eastAsia="zh-CN"/>
                    </w:rPr>
                    <w:t>站</w:t>
                  </w:r>
                </w:p>
              </w:tc>
              <w:tc>
                <w:tcPr>
                  <w:tcW w:w="1191" w:type="dxa"/>
                  <w:gridSpan w:val="2"/>
                  <w:noWrap w:val="0"/>
                  <w:vAlign w:val="center"/>
                </w:tcPr>
                <w:p w14:paraId="766D17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化验室</w:t>
                  </w:r>
                </w:p>
              </w:tc>
              <w:tc>
                <w:tcPr>
                  <w:tcW w:w="1000" w:type="dxa"/>
                  <w:gridSpan w:val="2"/>
                  <w:noWrap w:val="0"/>
                  <w:vAlign w:val="center"/>
                </w:tcPr>
                <w:p w14:paraId="72A944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机修</w:t>
                  </w:r>
                </w:p>
              </w:tc>
            </w:tr>
            <w:tr w14:paraId="6430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1" w:type="dxa"/>
                <w:trHeight w:val="0" w:hRule="atLeast"/>
                <w:jc w:val="center"/>
              </w:trPr>
              <w:tc>
                <w:tcPr>
                  <w:tcW w:w="721" w:type="dxa"/>
                  <w:gridSpan w:val="2"/>
                  <w:noWrap w:val="0"/>
                  <w:vAlign w:val="center"/>
                </w:tcPr>
                <w:p w14:paraId="3E9209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名称</w:t>
                  </w:r>
                </w:p>
              </w:tc>
              <w:tc>
                <w:tcPr>
                  <w:tcW w:w="464" w:type="dxa"/>
                  <w:gridSpan w:val="2"/>
                  <w:noWrap w:val="0"/>
                  <w:vAlign w:val="center"/>
                </w:tcPr>
                <w:p w14:paraId="7D41D6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原料除尘器收集的粉尘</w:t>
                  </w:r>
                </w:p>
                <w:p w14:paraId="498653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95" w:type="dxa"/>
                  <w:gridSpan w:val="2"/>
                  <w:noWrap w:val="0"/>
                  <w:vAlign w:val="center"/>
                </w:tcPr>
                <w:p w14:paraId="249971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炉渣</w:t>
                  </w:r>
                </w:p>
              </w:tc>
              <w:tc>
                <w:tcPr>
                  <w:tcW w:w="525" w:type="dxa"/>
                  <w:gridSpan w:val="3"/>
                  <w:noWrap w:val="0"/>
                  <w:vAlign w:val="center"/>
                </w:tcPr>
                <w:p w14:paraId="16760F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烘干工序除尘器收集的粉尘</w:t>
                  </w:r>
                </w:p>
              </w:tc>
              <w:tc>
                <w:tcPr>
                  <w:tcW w:w="496" w:type="dxa"/>
                  <w:gridSpan w:val="3"/>
                  <w:noWrap w:val="0"/>
                  <w:vAlign w:val="center"/>
                </w:tcPr>
                <w:p w14:paraId="6DF120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成品除尘器收集的粉尘</w:t>
                  </w:r>
                </w:p>
              </w:tc>
              <w:tc>
                <w:tcPr>
                  <w:tcW w:w="553" w:type="dxa"/>
                  <w:gridSpan w:val="2"/>
                  <w:noWrap w:val="0"/>
                  <w:vAlign w:val="center"/>
                </w:tcPr>
                <w:p w14:paraId="462264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石灰石粉除尘器收集的粉尘</w:t>
                  </w:r>
                </w:p>
              </w:tc>
              <w:tc>
                <w:tcPr>
                  <w:tcW w:w="475" w:type="dxa"/>
                  <w:gridSpan w:val="3"/>
                  <w:noWrap w:val="0"/>
                  <w:vAlign w:val="center"/>
                </w:tcPr>
                <w:p w14:paraId="34AF91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燃料仓除尘器收集的粉尘</w:t>
                  </w:r>
                </w:p>
              </w:tc>
              <w:tc>
                <w:tcPr>
                  <w:tcW w:w="400" w:type="dxa"/>
                  <w:gridSpan w:val="2"/>
                  <w:noWrap w:val="0"/>
                  <w:vAlign w:val="center"/>
                </w:tcPr>
                <w:p w14:paraId="583C43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煤粉仓除尘器收集的粉尘</w:t>
                  </w:r>
                </w:p>
              </w:tc>
              <w:tc>
                <w:tcPr>
                  <w:tcW w:w="425" w:type="dxa"/>
                  <w:gridSpan w:val="2"/>
                  <w:noWrap w:val="0"/>
                  <w:vAlign w:val="center"/>
                </w:tcPr>
                <w:p w14:paraId="6A64A8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成品散装除尘器收集的粉尘</w:t>
                  </w:r>
                </w:p>
              </w:tc>
              <w:tc>
                <w:tcPr>
                  <w:tcW w:w="425" w:type="dxa"/>
                  <w:noWrap w:val="0"/>
                  <w:vAlign w:val="center"/>
                </w:tcPr>
                <w:p w14:paraId="342882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587" w:type="dxa"/>
                  <w:noWrap w:val="0"/>
                  <w:vAlign w:val="center"/>
                </w:tcPr>
                <w:p w14:paraId="59FDD7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污泥</w:t>
                  </w:r>
                </w:p>
              </w:tc>
              <w:tc>
                <w:tcPr>
                  <w:tcW w:w="463" w:type="dxa"/>
                  <w:noWrap w:val="0"/>
                  <w:vAlign w:val="center"/>
                </w:tcPr>
                <w:p w14:paraId="070CD9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废液压油</w:t>
                  </w:r>
                </w:p>
              </w:tc>
              <w:tc>
                <w:tcPr>
                  <w:tcW w:w="546" w:type="dxa"/>
                  <w:noWrap w:val="0"/>
                  <w:vAlign w:val="center"/>
                </w:tcPr>
                <w:p w14:paraId="2EAB35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废液</w:t>
                  </w:r>
                </w:p>
              </w:tc>
              <w:tc>
                <w:tcPr>
                  <w:tcW w:w="645" w:type="dxa"/>
                  <w:noWrap w:val="0"/>
                  <w:vAlign w:val="center"/>
                </w:tcPr>
                <w:p w14:paraId="2B50E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废试剂瓶</w:t>
                  </w:r>
                </w:p>
              </w:tc>
              <w:tc>
                <w:tcPr>
                  <w:tcW w:w="467" w:type="dxa"/>
                  <w:noWrap w:val="0"/>
                  <w:vAlign w:val="center"/>
                </w:tcPr>
                <w:p w14:paraId="65E79F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含油废劳保用品</w:t>
                  </w:r>
                </w:p>
              </w:tc>
              <w:tc>
                <w:tcPr>
                  <w:tcW w:w="533" w:type="dxa"/>
                  <w:noWrap w:val="0"/>
                  <w:vAlign w:val="center"/>
                </w:tcPr>
                <w:p w14:paraId="6E6FFB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r>
            <w:tr w14:paraId="5D09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1" w:type="dxa"/>
                <w:trHeight w:val="0" w:hRule="atLeast"/>
                <w:jc w:val="center"/>
              </w:trPr>
              <w:tc>
                <w:tcPr>
                  <w:tcW w:w="307" w:type="dxa"/>
                  <w:vMerge w:val="restart"/>
                  <w:noWrap w:val="0"/>
                  <w:vAlign w:val="center"/>
                </w:tcPr>
                <w:p w14:paraId="0E1F58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属性</w:t>
                  </w:r>
                </w:p>
              </w:tc>
              <w:tc>
                <w:tcPr>
                  <w:tcW w:w="414" w:type="dxa"/>
                  <w:noWrap w:val="0"/>
                  <w:vAlign w:val="center"/>
                </w:tcPr>
                <w:p w14:paraId="6CB7C3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属性</w:t>
                  </w:r>
                </w:p>
              </w:tc>
              <w:tc>
                <w:tcPr>
                  <w:tcW w:w="3833" w:type="dxa"/>
                  <w:gridSpan w:val="19"/>
                  <w:noWrap w:val="0"/>
                  <w:vAlign w:val="center"/>
                </w:tcPr>
                <w:p w14:paraId="07F404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一般工业固废</w:t>
                  </w:r>
                </w:p>
              </w:tc>
              <w:tc>
                <w:tcPr>
                  <w:tcW w:w="425" w:type="dxa"/>
                  <w:noWrap w:val="0"/>
                  <w:vAlign w:val="center"/>
                </w:tcPr>
                <w:p w14:paraId="3F3228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w:t>
                  </w:r>
                </w:p>
              </w:tc>
              <w:tc>
                <w:tcPr>
                  <w:tcW w:w="587" w:type="dxa"/>
                  <w:noWrap w:val="0"/>
                  <w:vAlign w:val="center"/>
                </w:tcPr>
                <w:p w14:paraId="33C4D6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w:t>
                  </w:r>
                </w:p>
              </w:tc>
              <w:tc>
                <w:tcPr>
                  <w:tcW w:w="463" w:type="dxa"/>
                  <w:noWrap w:val="0"/>
                  <w:vAlign w:val="center"/>
                </w:tcPr>
                <w:p w14:paraId="261EB0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546" w:type="dxa"/>
                  <w:noWrap w:val="0"/>
                  <w:vAlign w:val="center"/>
                </w:tcPr>
                <w:p w14:paraId="0A9A6F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645" w:type="dxa"/>
                  <w:noWrap w:val="0"/>
                  <w:vAlign w:val="center"/>
                </w:tcPr>
                <w:p w14:paraId="56795B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467" w:type="dxa"/>
                  <w:noWrap w:val="0"/>
                  <w:vAlign w:val="center"/>
                </w:tcPr>
                <w:p w14:paraId="6BFB95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533" w:type="dxa"/>
                  <w:noWrap w:val="0"/>
                  <w:vAlign w:val="center"/>
                </w:tcPr>
                <w:p w14:paraId="274C04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r>
            <w:tr w14:paraId="0601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1" w:type="dxa"/>
                <w:trHeight w:val="0" w:hRule="atLeast"/>
                <w:jc w:val="center"/>
              </w:trPr>
              <w:tc>
                <w:tcPr>
                  <w:tcW w:w="307" w:type="dxa"/>
                  <w:vMerge w:val="continue"/>
                  <w:noWrap w:val="0"/>
                  <w:vAlign w:val="center"/>
                </w:tcPr>
                <w:p w14:paraId="5B22EF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p>
              </w:tc>
              <w:tc>
                <w:tcPr>
                  <w:tcW w:w="414" w:type="dxa"/>
                  <w:noWrap w:val="0"/>
                  <w:vAlign w:val="center"/>
                </w:tcPr>
                <w:p w14:paraId="39F980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危险废物代码</w:t>
                  </w:r>
                </w:p>
              </w:tc>
              <w:tc>
                <w:tcPr>
                  <w:tcW w:w="603" w:type="dxa"/>
                  <w:gridSpan w:val="3"/>
                  <w:noWrap w:val="0"/>
                  <w:vAlign w:val="center"/>
                </w:tcPr>
                <w:p w14:paraId="1BC0FA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95" w:type="dxa"/>
                  <w:gridSpan w:val="3"/>
                  <w:noWrap w:val="0"/>
                  <w:vAlign w:val="center"/>
                </w:tcPr>
                <w:p w14:paraId="19B0D9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5" w:type="dxa"/>
                  <w:gridSpan w:val="2"/>
                  <w:noWrap w:val="0"/>
                  <w:vAlign w:val="center"/>
                </w:tcPr>
                <w:p w14:paraId="5F9114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95" w:type="dxa"/>
                  <w:gridSpan w:val="3"/>
                  <w:noWrap w:val="0"/>
                  <w:vAlign w:val="center"/>
                </w:tcPr>
                <w:p w14:paraId="4D9504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54" w:type="dxa"/>
                  <w:gridSpan w:val="2"/>
                  <w:noWrap w:val="0"/>
                  <w:vAlign w:val="center"/>
                </w:tcPr>
                <w:p w14:paraId="7457A9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75" w:type="dxa"/>
                  <w:gridSpan w:val="3"/>
                  <w:noWrap w:val="0"/>
                  <w:vAlign w:val="center"/>
                </w:tcPr>
                <w:p w14:paraId="3BEF59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0" w:type="dxa"/>
                  <w:gridSpan w:val="2"/>
                  <w:noWrap w:val="0"/>
                  <w:vAlign w:val="center"/>
                </w:tcPr>
                <w:p w14:paraId="67F595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86" w:type="dxa"/>
                  <w:noWrap w:val="0"/>
                  <w:vAlign w:val="center"/>
                </w:tcPr>
                <w:p w14:paraId="4D6853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25" w:type="dxa"/>
                  <w:noWrap w:val="0"/>
                  <w:vAlign w:val="center"/>
                </w:tcPr>
                <w:p w14:paraId="7AAFC4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7" w:type="dxa"/>
                  <w:noWrap w:val="0"/>
                  <w:vAlign w:val="center"/>
                </w:tcPr>
                <w:p w14:paraId="37B626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63" w:type="dxa"/>
                  <w:noWrap w:val="0"/>
                  <w:vAlign w:val="center"/>
                </w:tcPr>
                <w:p w14:paraId="24192B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w:t>
                  </w:r>
                  <w:r>
                    <w:rPr>
                      <w:rFonts w:hint="eastAsia" w:cs="Times New Roman"/>
                      <w:color w:val="auto"/>
                      <w:sz w:val="21"/>
                      <w:szCs w:val="21"/>
                      <w:highlight w:val="none"/>
                      <w:lang w:val="en-US" w:eastAsia="zh-CN"/>
                    </w:rPr>
                    <w:t>08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900-</w:t>
                  </w:r>
                  <w:r>
                    <w:rPr>
                      <w:rFonts w:hint="eastAsia" w:cs="Times New Roman"/>
                      <w:color w:val="auto"/>
                      <w:sz w:val="21"/>
                      <w:szCs w:val="21"/>
                      <w:highlight w:val="none"/>
                      <w:lang w:val="en-US" w:eastAsia="zh-CN"/>
                    </w:rPr>
                    <w:t>218</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08</w:t>
                  </w:r>
                </w:p>
              </w:tc>
              <w:tc>
                <w:tcPr>
                  <w:tcW w:w="546" w:type="dxa"/>
                  <w:noWrap w:val="0"/>
                  <w:vAlign w:val="center"/>
                </w:tcPr>
                <w:p w14:paraId="5198FA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HW49，</w:t>
                  </w:r>
                  <w:r>
                    <w:rPr>
                      <w:rFonts w:hint="default" w:ascii="Times New Roman" w:hAnsi="Times New Roman" w:eastAsia="宋体" w:cs="Times New Roman"/>
                      <w:bCs/>
                      <w:color w:val="auto"/>
                      <w:kern w:val="0"/>
                      <w:sz w:val="21"/>
                      <w:szCs w:val="21"/>
                      <w:highlight w:val="none"/>
                    </w:rPr>
                    <w:t>900-0</w:t>
                  </w:r>
                  <w:r>
                    <w:rPr>
                      <w:rFonts w:hint="eastAsia" w:cs="Times New Roman"/>
                      <w:bCs/>
                      <w:color w:val="auto"/>
                      <w:kern w:val="0"/>
                      <w:sz w:val="21"/>
                      <w:szCs w:val="21"/>
                      <w:highlight w:val="none"/>
                      <w:lang w:val="en-US" w:eastAsia="zh-CN"/>
                    </w:rPr>
                    <w:t>47</w:t>
                  </w:r>
                  <w:r>
                    <w:rPr>
                      <w:rFonts w:hint="default" w:ascii="Times New Roman" w:hAnsi="Times New Roman" w:eastAsia="宋体" w:cs="Times New Roman"/>
                      <w:bCs/>
                      <w:color w:val="auto"/>
                      <w:kern w:val="0"/>
                      <w:sz w:val="21"/>
                      <w:szCs w:val="21"/>
                      <w:highlight w:val="none"/>
                    </w:rPr>
                    <w:t>-</w:t>
                  </w:r>
                  <w:r>
                    <w:rPr>
                      <w:rFonts w:hint="default" w:ascii="Times New Roman" w:hAnsi="Times New Roman" w:eastAsia="宋体" w:cs="Times New Roman"/>
                      <w:bCs/>
                      <w:color w:val="auto"/>
                      <w:kern w:val="0"/>
                      <w:sz w:val="21"/>
                      <w:szCs w:val="21"/>
                      <w:highlight w:val="none"/>
                      <w:lang w:val="en-US" w:eastAsia="zh-CN"/>
                    </w:rPr>
                    <w:t>4</w:t>
                  </w:r>
                  <w:r>
                    <w:rPr>
                      <w:rFonts w:hint="default" w:ascii="Times New Roman" w:hAnsi="Times New Roman" w:eastAsia="宋体" w:cs="Times New Roman"/>
                      <w:bCs/>
                      <w:color w:val="auto"/>
                      <w:kern w:val="0"/>
                      <w:sz w:val="21"/>
                      <w:szCs w:val="21"/>
                      <w:highlight w:val="none"/>
                    </w:rPr>
                    <w:t>9</w:t>
                  </w:r>
                </w:p>
              </w:tc>
              <w:tc>
                <w:tcPr>
                  <w:tcW w:w="645" w:type="dxa"/>
                  <w:noWrap w:val="0"/>
                  <w:vAlign w:val="center"/>
                </w:tcPr>
                <w:p w14:paraId="31CD4D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HW49</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900-</w:t>
                  </w:r>
                  <w:r>
                    <w:rPr>
                      <w:rFonts w:hint="eastAsia" w:ascii="Times New Roman" w:hAnsi="Times New Roman" w:eastAsia="宋体" w:cs="Times New Roman"/>
                      <w:color w:val="auto"/>
                      <w:sz w:val="21"/>
                      <w:szCs w:val="21"/>
                      <w:highlight w:val="none"/>
                      <w:lang w:val="en-US" w:eastAsia="zh-CN"/>
                    </w:rPr>
                    <w:t>041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9</w:t>
                  </w:r>
                </w:p>
              </w:tc>
              <w:tc>
                <w:tcPr>
                  <w:tcW w:w="467" w:type="dxa"/>
                  <w:noWrap w:val="0"/>
                  <w:vAlign w:val="center"/>
                </w:tcPr>
                <w:p w14:paraId="7D943F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rPr>
                    <w:t>HW08</w:t>
                  </w:r>
                  <w:r>
                    <w:rPr>
                      <w:rFonts w:hint="default" w:ascii="Times New Roman" w:hAnsi="Times New Roman" w:eastAsia="宋体" w:cs="Times New Roman"/>
                      <w:bCs/>
                      <w:color w:val="auto"/>
                      <w:kern w:val="0"/>
                      <w:sz w:val="21"/>
                      <w:szCs w:val="21"/>
                      <w:highlight w:val="none"/>
                      <w:lang w:eastAsia="zh-CN"/>
                    </w:rPr>
                    <w:t>，900-2</w:t>
                  </w:r>
                  <w:r>
                    <w:rPr>
                      <w:rFonts w:hint="default" w:ascii="Times New Roman" w:hAnsi="Times New Roman" w:eastAsia="宋体" w:cs="Times New Roman"/>
                      <w:bCs/>
                      <w:color w:val="auto"/>
                      <w:kern w:val="0"/>
                      <w:sz w:val="21"/>
                      <w:szCs w:val="21"/>
                      <w:highlight w:val="none"/>
                      <w:lang w:val="en-US" w:eastAsia="zh-CN"/>
                    </w:rPr>
                    <w:t>14</w:t>
                  </w:r>
                  <w:r>
                    <w:rPr>
                      <w:rFonts w:hint="default" w:ascii="Times New Roman" w:hAnsi="Times New Roman" w:eastAsia="宋体" w:cs="Times New Roman"/>
                      <w:bCs/>
                      <w:color w:val="auto"/>
                      <w:kern w:val="0"/>
                      <w:sz w:val="21"/>
                      <w:szCs w:val="21"/>
                      <w:highlight w:val="none"/>
                      <w:lang w:eastAsia="zh-CN"/>
                    </w:rPr>
                    <w:t>-08</w:t>
                  </w:r>
                </w:p>
              </w:tc>
              <w:tc>
                <w:tcPr>
                  <w:tcW w:w="533" w:type="dxa"/>
                  <w:noWrap w:val="0"/>
                  <w:vAlign w:val="center"/>
                </w:tcPr>
                <w:p w14:paraId="74BF6E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rPr>
                    <w:t>HW49</w:t>
                  </w:r>
                  <w:r>
                    <w:rPr>
                      <w:rFonts w:hint="default" w:ascii="Times New Roman" w:hAnsi="Times New Roman" w:eastAsia="宋体" w:cs="Times New Roman"/>
                      <w:bCs/>
                      <w:color w:val="auto"/>
                      <w:kern w:val="0"/>
                      <w:sz w:val="21"/>
                      <w:szCs w:val="21"/>
                      <w:highlight w:val="none"/>
                      <w:lang w:eastAsia="zh-CN"/>
                    </w:rPr>
                    <w:t>，</w:t>
                  </w:r>
                  <w:r>
                    <w:rPr>
                      <w:rFonts w:hint="default" w:ascii="Times New Roman" w:hAnsi="Times New Roman" w:eastAsia="宋体" w:cs="Times New Roman"/>
                      <w:bCs/>
                      <w:color w:val="auto"/>
                      <w:kern w:val="0"/>
                      <w:sz w:val="21"/>
                      <w:szCs w:val="21"/>
                      <w:highlight w:val="none"/>
                    </w:rPr>
                    <w:t>900-041-49</w:t>
                  </w:r>
                </w:p>
              </w:tc>
            </w:tr>
            <w:tr w14:paraId="4D57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1" w:type="dxa"/>
                <w:trHeight w:val="0" w:hRule="atLeast"/>
                <w:jc w:val="center"/>
              </w:trPr>
              <w:tc>
                <w:tcPr>
                  <w:tcW w:w="721" w:type="dxa"/>
                  <w:gridSpan w:val="2"/>
                  <w:noWrap w:val="0"/>
                  <w:vAlign w:val="center"/>
                </w:tcPr>
                <w:p w14:paraId="3D08EE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主要有毒有害物质名称</w:t>
                  </w:r>
                </w:p>
              </w:tc>
              <w:tc>
                <w:tcPr>
                  <w:tcW w:w="464" w:type="dxa"/>
                  <w:gridSpan w:val="2"/>
                  <w:noWrap w:val="0"/>
                  <w:vAlign w:val="center"/>
                </w:tcPr>
                <w:p w14:paraId="489314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95" w:type="dxa"/>
                  <w:gridSpan w:val="2"/>
                  <w:noWrap w:val="0"/>
                  <w:vAlign w:val="center"/>
                </w:tcPr>
                <w:p w14:paraId="3E0F8D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5" w:type="dxa"/>
                  <w:gridSpan w:val="3"/>
                  <w:noWrap w:val="0"/>
                  <w:vAlign w:val="center"/>
                </w:tcPr>
                <w:p w14:paraId="2DB0B9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95" w:type="dxa"/>
                  <w:gridSpan w:val="2"/>
                  <w:noWrap w:val="0"/>
                  <w:vAlign w:val="center"/>
                </w:tcPr>
                <w:p w14:paraId="73522A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54" w:type="dxa"/>
                  <w:gridSpan w:val="3"/>
                  <w:noWrap w:val="0"/>
                  <w:vAlign w:val="center"/>
                </w:tcPr>
                <w:p w14:paraId="50500D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75" w:type="dxa"/>
                  <w:gridSpan w:val="3"/>
                  <w:noWrap w:val="0"/>
                  <w:vAlign w:val="center"/>
                </w:tcPr>
                <w:p w14:paraId="6EF21E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0" w:type="dxa"/>
                  <w:gridSpan w:val="2"/>
                  <w:noWrap w:val="0"/>
                  <w:vAlign w:val="center"/>
                </w:tcPr>
                <w:p w14:paraId="2E9BDE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25" w:type="dxa"/>
                  <w:gridSpan w:val="2"/>
                  <w:noWrap w:val="0"/>
                  <w:vAlign w:val="center"/>
                </w:tcPr>
                <w:p w14:paraId="7142ED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25" w:type="dxa"/>
                  <w:noWrap w:val="0"/>
                  <w:vAlign w:val="center"/>
                </w:tcPr>
                <w:p w14:paraId="47112F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7" w:type="dxa"/>
                  <w:noWrap w:val="0"/>
                  <w:vAlign w:val="center"/>
                </w:tcPr>
                <w:p w14:paraId="327E7B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63" w:type="dxa"/>
                  <w:noWrap w:val="0"/>
                  <w:vAlign w:val="center"/>
                </w:tcPr>
                <w:p w14:paraId="4B3210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废液压油</w:t>
                  </w:r>
                </w:p>
              </w:tc>
              <w:tc>
                <w:tcPr>
                  <w:tcW w:w="546" w:type="dxa"/>
                  <w:noWrap w:val="0"/>
                  <w:vAlign w:val="center"/>
                </w:tcPr>
                <w:p w14:paraId="66C749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废液</w:t>
                  </w:r>
                </w:p>
              </w:tc>
              <w:tc>
                <w:tcPr>
                  <w:tcW w:w="645" w:type="dxa"/>
                  <w:noWrap w:val="0"/>
                  <w:vAlign w:val="center"/>
                </w:tcPr>
                <w:p w14:paraId="47322E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废试剂瓶</w:t>
                  </w:r>
                </w:p>
              </w:tc>
              <w:tc>
                <w:tcPr>
                  <w:tcW w:w="467" w:type="dxa"/>
                  <w:noWrap w:val="0"/>
                  <w:vAlign w:val="center"/>
                </w:tcPr>
                <w:p w14:paraId="1E499B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533" w:type="dxa"/>
                  <w:noWrap w:val="0"/>
                  <w:vAlign w:val="center"/>
                </w:tcPr>
                <w:p w14:paraId="1C81AF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r>
            <w:tr w14:paraId="2A12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1" w:type="dxa"/>
                <w:trHeight w:val="0" w:hRule="atLeast"/>
                <w:jc w:val="center"/>
              </w:trPr>
              <w:tc>
                <w:tcPr>
                  <w:tcW w:w="721" w:type="dxa"/>
                  <w:gridSpan w:val="2"/>
                  <w:noWrap w:val="0"/>
                  <w:vAlign w:val="center"/>
                </w:tcPr>
                <w:p w14:paraId="400A7C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物理性状</w:t>
                  </w:r>
                </w:p>
              </w:tc>
              <w:tc>
                <w:tcPr>
                  <w:tcW w:w="464" w:type="dxa"/>
                  <w:gridSpan w:val="2"/>
                  <w:noWrap w:val="0"/>
                  <w:vAlign w:val="center"/>
                </w:tcPr>
                <w:p w14:paraId="3D6E36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495" w:type="dxa"/>
                  <w:gridSpan w:val="2"/>
                  <w:noWrap w:val="0"/>
                  <w:vAlign w:val="center"/>
                </w:tcPr>
                <w:p w14:paraId="602C90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525" w:type="dxa"/>
                  <w:gridSpan w:val="3"/>
                  <w:noWrap w:val="0"/>
                  <w:vAlign w:val="center"/>
                </w:tcPr>
                <w:p w14:paraId="3A1950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495" w:type="dxa"/>
                  <w:gridSpan w:val="2"/>
                  <w:noWrap w:val="0"/>
                  <w:vAlign w:val="center"/>
                </w:tcPr>
                <w:p w14:paraId="4808DB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554" w:type="dxa"/>
                  <w:gridSpan w:val="3"/>
                  <w:noWrap w:val="0"/>
                  <w:vAlign w:val="center"/>
                </w:tcPr>
                <w:p w14:paraId="47E04C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475" w:type="dxa"/>
                  <w:gridSpan w:val="3"/>
                  <w:noWrap w:val="0"/>
                  <w:vAlign w:val="center"/>
                </w:tcPr>
                <w:p w14:paraId="3E19A5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固体</w:t>
                  </w:r>
                </w:p>
              </w:tc>
              <w:tc>
                <w:tcPr>
                  <w:tcW w:w="400" w:type="dxa"/>
                  <w:gridSpan w:val="2"/>
                  <w:noWrap w:val="0"/>
                  <w:vAlign w:val="center"/>
                </w:tcPr>
                <w:p w14:paraId="30BBBE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固体</w:t>
                  </w:r>
                </w:p>
              </w:tc>
              <w:tc>
                <w:tcPr>
                  <w:tcW w:w="425" w:type="dxa"/>
                  <w:gridSpan w:val="2"/>
                  <w:noWrap w:val="0"/>
                  <w:vAlign w:val="center"/>
                </w:tcPr>
                <w:p w14:paraId="0129B3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固体</w:t>
                  </w:r>
                </w:p>
              </w:tc>
              <w:tc>
                <w:tcPr>
                  <w:tcW w:w="425" w:type="dxa"/>
                  <w:noWrap w:val="0"/>
                  <w:vAlign w:val="center"/>
                </w:tcPr>
                <w:p w14:paraId="646F22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587" w:type="dxa"/>
                  <w:noWrap w:val="0"/>
                  <w:vAlign w:val="center"/>
                </w:tcPr>
                <w:p w14:paraId="7840E6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463" w:type="dxa"/>
                  <w:noWrap w:val="0"/>
                  <w:vAlign w:val="center"/>
                </w:tcPr>
                <w:p w14:paraId="0AF93E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546" w:type="dxa"/>
                  <w:noWrap w:val="0"/>
                  <w:vAlign w:val="center"/>
                </w:tcPr>
                <w:p w14:paraId="0E3C6B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w:t>
                  </w:r>
                  <w:r>
                    <w:rPr>
                      <w:rFonts w:hint="eastAsia" w:cs="Times New Roman"/>
                      <w:color w:val="auto"/>
                      <w:sz w:val="21"/>
                      <w:szCs w:val="21"/>
                      <w:highlight w:val="none"/>
                      <w:lang w:val="en-US" w:eastAsia="zh-CN"/>
                    </w:rPr>
                    <w:t>体</w:t>
                  </w:r>
                </w:p>
              </w:tc>
              <w:tc>
                <w:tcPr>
                  <w:tcW w:w="645" w:type="dxa"/>
                  <w:noWrap w:val="0"/>
                  <w:vAlign w:val="center"/>
                </w:tcPr>
                <w:p w14:paraId="612C90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液体</w:t>
                  </w:r>
                </w:p>
              </w:tc>
              <w:tc>
                <w:tcPr>
                  <w:tcW w:w="467" w:type="dxa"/>
                  <w:noWrap w:val="0"/>
                  <w:vAlign w:val="center"/>
                </w:tcPr>
                <w:p w14:paraId="72AC8D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533" w:type="dxa"/>
                  <w:noWrap w:val="0"/>
                  <w:vAlign w:val="center"/>
                </w:tcPr>
                <w:p w14:paraId="2E6025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油状</w:t>
                  </w:r>
                </w:p>
              </w:tc>
            </w:tr>
            <w:tr w14:paraId="067C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1" w:type="dxa"/>
                <w:trHeight w:val="0" w:hRule="atLeast"/>
                <w:jc w:val="center"/>
              </w:trPr>
              <w:tc>
                <w:tcPr>
                  <w:tcW w:w="721" w:type="dxa"/>
                  <w:gridSpan w:val="2"/>
                  <w:noWrap w:val="0"/>
                  <w:vAlign w:val="center"/>
                </w:tcPr>
                <w:p w14:paraId="2D9FD7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环境危险特性</w:t>
                  </w:r>
                </w:p>
              </w:tc>
              <w:tc>
                <w:tcPr>
                  <w:tcW w:w="464" w:type="dxa"/>
                  <w:gridSpan w:val="2"/>
                  <w:noWrap w:val="0"/>
                  <w:vAlign w:val="center"/>
                </w:tcPr>
                <w:p w14:paraId="43E5DC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95" w:type="dxa"/>
                  <w:gridSpan w:val="2"/>
                  <w:noWrap w:val="0"/>
                  <w:vAlign w:val="center"/>
                </w:tcPr>
                <w:p w14:paraId="7FD5C4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5" w:type="dxa"/>
                  <w:gridSpan w:val="3"/>
                  <w:noWrap w:val="0"/>
                  <w:vAlign w:val="center"/>
                </w:tcPr>
                <w:p w14:paraId="106194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95" w:type="dxa"/>
                  <w:gridSpan w:val="2"/>
                  <w:noWrap w:val="0"/>
                  <w:vAlign w:val="center"/>
                </w:tcPr>
                <w:p w14:paraId="305413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54" w:type="dxa"/>
                  <w:gridSpan w:val="3"/>
                  <w:noWrap w:val="0"/>
                  <w:vAlign w:val="center"/>
                </w:tcPr>
                <w:p w14:paraId="60E0F8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75" w:type="dxa"/>
                  <w:gridSpan w:val="3"/>
                  <w:noWrap w:val="0"/>
                  <w:vAlign w:val="center"/>
                </w:tcPr>
                <w:p w14:paraId="15C4F4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0" w:type="dxa"/>
                  <w:gridSpan w:val="2"/>
                  <w:noWrap w:val="0"/>
                  <w:vAlign w:val="center"/>
                </w:tcPr>
                <w:p w14:paraId="795CB6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25" w:type="dxa"/>
                  <w:gridSpan w:val="2"/>
                  <w:noWrap w:val="0"/>
                  <w:vAlign w:val="center"/>
                </w:tcPr>
                <w:p w14:paraId="57B587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25" w:type="dxa"/>
                  <w:noWrap w:val="0"/>
                  <w:vAlign w:val="center"/>
                </w:tcPr>
                <w:p w14:paraId="5293DA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7" w:type="dxa"/>
                  <w:noWrap w:val="0"/>
                  <w:vAlign w:val="center"/>
                </w:tcPr>
                <w:p w14:paraId="31298D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63" w:type="dxa"/>
                  <w:noWrap w:val="0"/>
                  <w:vAlign w:val="center"/>
                </w:tcPr>
                <w:p w14:paraId="047CF2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I</w:t>
                  </w:r>
                </w:p>
              </w:tc>
              <w:tc>
                <w:tcPr>
                  <w:tcW w:w="546" w:type="dxa"/>
                  <w:noWrap w:val="0"/>
                  <w:vAlign w:val="center"/>
                </w:tcPr>
                <w:p w14:paraId="56BDAB40">
                  <w:pPr>
                    <w:pStyle w:val="10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T/In</w:t>
                  </w:r>
                </w:p>
              </w:tc>
              <w:tc>
                <w:tcPr>
                  <w:tcW w:w="645" w:type="dxa"/>
                  <w:noWrap w:val="0"/>
                  <w:vAlign w:val="center"/>
                </w:tcPr>
                <w:p w14:paraId="70D15C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T/C/I/R</w:t>
                  </w:r>
                </w:p>
              </w:tc>
              <w:tc>
                <w:tcPr>
                  <w:tcW w:w="467" w:type="dxa"/>
                  <w:noWrap w:val="0"/>
                  <w:vAlign w:val="center"/>
                </w:tcPr>
                <w:p w14:paraId="0F408C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c>
                <w:tcPr>
                  <w:tcW w:w="533" w:type="dxa"/>
                  <w:noWrap w:val="0"/>
                  <w:vAlign w:val="center"/>
                </w:tcPr>
                <w:p w14:paraId="7A81A1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T/In</w:t>
                  </w:r>
                </w:p>
              </w:tc>
            </w:tr>
            <w:tr w14:paraId="633C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1" w:type="dxa"/>
                <w:trHeight w:val="0" w:hRule="atLeast"/>
                <w:jc w:val="center"/>
              </w:trPr>
              <w:tc>
                <w:tcPr>
                  <w:tcW w:w="721" w:type="dxa"/>
                  <w:gridSpan w:val="2"/>
                  <w:noWrap w:val="0"/>
                  <w:vAlign w:val="center"/>
                </w:tcPr>
                <w:p w14:paraId="48D6B0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年度产生量（t/a）</w:t>
                  </w:r>
                </w:p>
              </w:tc>
              <w:tc>
                <w:tcPr>
                  <w:tcW w:w="464" w:type="dxa"/>
                  <w:gridSpan w:val="2"/>
                  <w:noWrap w:val="0"/>
                  <w:vAlign w:val="center"/>
                </w:tcPr>
                <w:p w14:paraId="09F95C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99.8988</w:t>
                  </w:r>
                </w:p>
              </w:tc>
              <w:tc>
                <w:tcPr>
                  <w:tcW w:w="495" w:type="dxa"/>
                  <w:gridSpan w:val="2"/>
                  <w:noWrap w:val="0"/>
                  <w:vAlign w:val="center"/>
                </w:tcPr>
                <w:p w14:paraId="625C04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290.2888</w:t>
                  </w:r>
                </w:p>
              </w:tc>
              <w:tc>
                <w:tcPr>
                  <w:tcW w:w="525" w:type="dxa"/>
                  <w:gridSpan w:val="3"/>
                  <w:noWrap w:val="0"/>
                  <w:vAlign w:val="center"/>
                </w:tcPr>
                <w:p w14:paraId="5C9A94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76.3603</w:t>
                  </w:r>
                </w:p>
              </w:tc>
              <w:tc>
                <w:tcPr>
                  <w:tcW w:w="495" w:type="dxa"/>
                  <w:gridSpan w:val="2"/>
                  <w:noWrap w:val="0"/>
                  <w:vAlign w:val="center"/>
                </w:tcPr>
                <w:p w14:paraId="1D4D43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59.3049</w:t>
                  </w:r>
                </w:p>
              </w:tc>
              <w:tc>
                <w:tcPr>
                  <w:tcW w:w="554" w:type="dxa"/>
                  <w:gridSpan w:val="3"/>
                  <w:noWrap w:val="0"/>
                  <w:vAlign w:val="center"/>
                </w:tcPr>
                <w:p w14:paraId="748E38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rPr>
                    <w:t>0.3053</w:t>
                  </w:r>
                </w:p>
              </w:tc>
              <w:tc>
                <w:tcPr>
                  <w:tcW w:w="475" w:type="dxa"/>
                  <w:gridSpan w:val="3"/>
                  <w:noWrap w:val="0"/>
                  <w:vAlign w:val="center"/>
                </w:tcPr>
                <w:p w14:paraId="06076A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s="Times New Roman"/>
                      <w:b w:val="0"/>
                      <w:bCs w:val="0"/>
                      <w:color w:val="auto"/>
                      <w:sz w:val="21"/>
                      <w:szCs w:val="21"/>
                      <w:highlight w:val="none"/>
                      <w:lang w:val="en-US" w:eastAsia="zh-CN"/>
                    </w:rPr>
                    <w:t>0.7262</w:t>
                  </w:r>
                </w:p>
              </w:tc>
              <w:tc>
                <w:tcPr>
                  <w:tcW w:w="400" w:type="dxa"/>
                  <w:gridSpan w:val="2"/>
                  <w:noWrap w:val="0"/>
                  <w:vAlign w:val="center"/>
                </w:tcPr>
                <w:p w14:paraId="618AFF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0.2388</w:t>
                  </w:r>
                </w:p>
              </w:tc>
              <w:tc>
                <w:tcPr>
                  <w:tcW w:w="425" w:type="dxa"/>
                  <w:gridSpan w:val="2"/>
                  <w:noWrap w:val="0"/>
                  <w:vAlign w:val="center"/>
                </w:tcPr>
                <w:p w14:paraId="393D6D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5.5382</w:t>
                  </w:r>
                </w:p>
              </w:tc>
              <w:tc>
                <w:tcPr>
                  <w:tcW w:w="425" w:type="dxa"/>
                  <w:noWrap w:val="0"/>
                  <w:vAlign w:val="center"/>
                </w:tcPr>
                <w:p w14:paraId="3745A3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11.9</w:t>
                  </w:r>
                </w:p>
              </w:tc>
              <w:tc>
                <w:tcPr>
                  <w:tcW w:w="587" w:type="dxa"/>
                  <w:noWrap w:val="0"/>
                  <w:vAlign w:val="center"/>
                </w:tcPr>
                <w:p w14:paraId="4E46F6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0.476</w:t>
                  </w:r>
                </w:p>
              </w:tc>
              <w:tc>
                <w:tcPr>
                  <w:tcW w:w="463" w:type="dxa"/>
                  <w:noWrap w:val="0"/>
                  <w:vAlign w:val="center"/>
                </w:tcPr>
                <w:p w14:paraId="42E7F2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1.0</w:t>
                  </w:r>
                </w:p>
              </w:tc>
              <w:tc>
                <w:tcPr>
                  <w:tcW w:w="546" w:type="dxa"/>
                  <w:noWrap w:val="0"/>
                  <w:vAlign w:val="center"/>
                </w:tcPr>
                <w:p w14:paraId="6E8F1B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w:t>
                  </w:r>
                </w:p>
              </w:tc>
              <w:tc>
                <w:tcPr>
                  <w:tcW w:w="645" w:type="dxa"/>
                  <w:noWrap w:val="0"/>
                  <w:vAlign w:val="center"/>
                </w:tcPr>
                <w:p w14:paraId="51EB6A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467" w:type="dxa"/>
                  <w:noWrap w:val="0"/>
                  <w:vAlign w:val="center"/>
                </w:tcPr>
                <w:p w14:paraId="68D1FE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w:t>
                  </w:r>
                </w:p>
              </w:tc>
              <w:tc>
                <w:tcPr>
                  <w:tcW w:w="533" w:type="dxa"/>
                  <w:noWrap w:val="0"/>
                  <w:vAlign w:val="center"/>
                </w:tcPr>
                <w:p w14:paraId="613004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5</w:t>
                  </w:r>
                </w:p>
              </w:tc>
            </w:tr>
            <w:tr w14:paraId="467C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1" w:type="dxa"/>
                <w:trHeight w:val="0" w:hRule="atLeast"/>
                <w:jc w:val="center"/>
              </w:trPr>
              <w:tc>
                <w:tcPr>
                  <w:tcW w:w="721" w:type="dxa"/>
                  <w:gridSpan w:val="2"/>
                  <w:noWrap w:val="0"/>
                  <w:vAlign w:val="center"/>
                </w:tcPr>
                <w:p w14:paraId="0C7E86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贮存方式</w:t>
                  </w:r>
                </w:p>
              </w:tc>
              <w:tc>
                <w:tcPr>
                  <w:tcW w:w="464" w:type="dxa"/>
                  <w:gridSpan w:val="2"/>
                  <w:noWrap w:val="0"/>
                  <w:vAlign w:val="center"/>
                </w:tcPr>
                <w:p w14:paraId="05BB7E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95" w:type="dxa"/>
                  <w:gridSpan w:val="2"/>
                  <w:noWrap w:val="0"/>
                  <w:vAlign w:val="center"/>
                </w:tcPr>
                <w:p w14:paraId="0A1D56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一般固废暂存区</w:t>
                  </w:r>
                </w:p>
              </w:tc>
              <w:tc>
                <w:tcPr>
                  <w:tcW w:w="525" w:type="dxa"/>
                  <w:gridSpan w:val="3"/>
                  <w:noWrap w:val="0"/>
                  <w:vAlign w:val="center"/>
                </w:tcPr>
                <w:p w14:paraId="667A02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96" w:type="dxa"/>
                  <w:gridSpan w:val="3"/>
                  <w:noWrap w:val="0"/>
                  <w:vAlign w:val="center"/>
                </w:tcPr>
                <w:p w14:paraId="69EAE3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53" w:type="dxa"/>
                  <w:gridSpan w:val="2"/>
                  <w:noWrap w:val="0"/>
                  <w:vAlign w:val="center"/>
                </w:tcPr>
                <w:p w14:paraId="389269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75" w:type="dxa"/>
                  <w:gridSpan w:val="3"/>
                  <w:noWrap w:val="0"/>
                  <w:vAlign w:val="center"/>
                </w:tcPr>
                <w:p w14:paraId="4E8642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0" w:type="dxa"/>
                  <w:gridSpan w:val="2"/>
                  <w:noWrap w:val="0"/>
                  <w:vAlign w:val="center"/>
                </w:tcPr>
                <w:p w14:paraId="1254D7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25" w:type="dxa"/>
                  <w:gridSpan w:val="2"/>
                  <w:noWrap w:val="0"/>
                  <w:vAlign w:val="center"/>
                </w:tcPr>
                <w:p w14:paraId="76CD1C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25" w:type="dxa"/>
                  <w:noWrap w:val="0"/>
                  <w:vAlign w:val="center"/>
                </w:tcPr>
                <w:p w14:paraId="6B6F65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生活垃圾桶</w:t>
                  </w:r>
                </w:p>
              </w:tc>
              <w:tc>
                <w:tcPr>
                  <w:tcW w:w="587" w:type="dxa"/>
                  <w:noWrap w:val="0"/>
                  <w:vAlign w:val="center"/>
                </w:tcPr>
                <w:p w14:paraId="0272E4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泔水桶</w:t>
                  </w:r>
                </w:p>
              </w:tc>
              <w:tc>
                <w:tcPr>
                  <w:tcW w:w="2654" w:type="dxa"/>
                  <w:gridSpan w:val="5"/>
                  <w:noWrap w:val="0"/>
                  <w:vAlign w:val="center"/>
                </w:tcPr>
                <w:p w14:paraId="7EA972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危废</w:t>
                  </w:r>
                  <w:r>
                    <w:rPr>
                      <w:rFonts w:hint="default" w:ascii="Times New Roman" w:hAnsi="Times New Roman" w:eastAsia="宋体" w:cs="Times New Roman"/>
                      <w:color w:val="auto"/>
                      <w:sz w:val="21"/>
                      <w:szCs w:val="21"/>
                      <w:highlight w:val="none"/>
                      <w:lang w:val="en-US" w:eastAsia="zh-CN"/>
                    </w:rPr>
                    <w:t>暂存间</w:t>
                  </w:r>
                </w:p>
              </w:tc>
            </w:tr>
            <w:tr w14:paraId="1B39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1" w:type="dxa"/>
                <w:trHeight w:val="0" w:hRule="atLeast"/>
                <w:jc w:val="center"/>
              </w:trPr>
              <w:tc>
                <w:tcPr>
                  <w:tcW w:w="721" w:type="dxa"/>
                  <w:gridSpan w:val="2"/>
                  <w:noWrap w:val="0"/>
                  <w:vAlign w:val="center"/>
                </w:tcPr>
                <w:p w14:paraId="7B55FF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利用处置方式和去向</w:t>
                  </w:r>
                </w:p>
              </w:tc>
              <w:tc>
                <w:tcPr>
                  <w:tcW w:w="3408" w:type="dxa"/>
                  <w:gridSpan w:val="17"/>
                  <w:noWrap w:val="0"/>
                  <w:vAlign w:val="center"/>
                </w:tcPr>
                <w:p w14:paraId="2FAB8ACE">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原料</w:t>
                  </w:r>
                  <w:r>
                    <w:rPr>
                      <w:rFonts w:hint="default" w:ascii="Times New Roman" w:hAnsi="Times New Roman" w:eastAsia="宋体" w:cs="Times New Roman"/>
                      <w:color w:val="auto"/>
                      <w:sz w:val="21"/>
                      <w:szCs w:val="21"/>
                      <w:highlight w:val="none"/>
                      <w:lang w:val="en-US" w:eastAsia="zh-CN"/>
                    </w:rPr>
                    <w:t>除尘器收集的粉尘定期清理收集后作为</w:t>
                  </w:r>
                  <w:r>
                    <w:rPr>
                      <w:rFonts w:hint="eastAsia" w:ascii="Times New Roman" w:hAnsi="Times New Roman" w:eastAsia="宋体" w:cs="Times New Roman"/>
                      <w:color w:val="auto"/>
                      <w:sz w:val="21"/>
                      <w:szCs w:val="21"/>
                      <w:highlight w:val="none"/>
                      <w:lang w:val="en-US" w:eastAsia="zh-CN"/>
                    </w:rPr>
                    <w:t>原料返回原料工序；炉渣</w:t>
                  </w:r>
                  <w:r>
                    <w:rPr>
                      <w:rFonts w:hint="eastAsia" w:ascii="Times New Roman" w:hAnsi="Times New Roman" w:eastAsia="宋体" w:cs="Times New Roman"/>
                      <w:color w:val="auto"/>
                      <w:sz w:val="21"/>
                      <w:szCs w:val="21"/>
                      <w:highlight w:val="none"/>
                      <w:lang w:val="zh-CN" w:eastAsia="zh-CN"/>
                    </w:rPr>
                    <w:t>通过铲车装车作为水泥生产的混合材外售；</w:t>
                  </w:r>
                  <w:r>
                    <w:rPr>
                      <w:rFonts w:hint="eastAsia" w:ascii="Times New Roman" w:hAnsi="Times New Roman" w:eastAsia="宋体" w:cs="Times New Roman"/>
                      <w:color w:val="auto"/>
                      <w:sz w:val="21"/>
                      <w:szCs w:val="21"/>
                      <w:highlight w:val="none"/>
                      <w:lang w:val="en-US" w:eastAsia="zh-CN"/>
                    </w:rPr>
                    <w:t>烘干工序除尘器收集的粉尘</w:t>
                  </w:r>
                  <w:r>
                    <w:rPr>
                      <w:rFonts w:hint="default" w:ascii="Times New Roman" w:hAnsi="Times New Roman" w:eastAsia="宋体" w:cs="Times New Roman"/>
                      <w:color w:val="auto"/>
                      <w:sz w:val="21"/>
                      <w:szCs w:val="21"/>
                      <w:highlight w:val="none"/>
                      <w:lang w:val="en-US" w:eastAsia="zh-CN"/>
                    </w:rPr>
                    <w:t>定期清理收集后</w:t>
                  </w:r>
                  <w:r>
                    <w:rPr>
                      <w:rFonts w:hint="eastAsia" w:ascii="Times New Roman" w:hAnsi="Times New Roman" w:eastAsia="宋体" w:cs="Times New Roman"/>
                      <w:color w:val="auto"/>
                      <w:sz w:val="21"/>
                      <w:szCs w:val="21"/>
                      <w:highlight w:val="none"/>
                      <w:lang w:val="en-US" w:eastAsia="zh-CN"/>
                    </w:rPr>
                    <w:t>储存于粉煤仓内，作为成品外售；</w:t>
                  </w:r>
                  <w:r>
                    <w:rPr>
                      <w:rFonts w:hint="eastAsia" w:ascii="Times New Roman" w:hAnsi="Times New Roman" w:eastAsia="宋体" w:cs="Times New Roman"/>
                      <w:b w:val="0"/>
                      <w:bCs w:val="0"/>
                      <w:color w:val="auto"/>
                      <w:sz w:val="21"/>
                      <w:szCs w:val="21"/>
                      <w:highlight w:val="none"/>
                      <w:lang w:val="en-US" w:eastAsia="zh-CN"/>
                    </w:rPr>
                    <w:t>成品除尘器收集的粉尘</w:t>
                  </w:r>
                  <w:r>
                    <w:rPr>
                      <w:rFonts w:hint="default" w:ascii="Times New Roman" w:hAnsi="Times New Roman" w:eastAsia="宋体" w:cs="Times New Roman"/>
                      <w:b w:val="0"/>
                      <w:bCs w:val="0"/>
                      <w:color w:val="auto"/>
                      <w:sz w:val="21"/>
                      <w:szCs w:val="21"/>
                      <w:highlight w:val="none"/>
                      <w:lang w:val="en-US" w:eastAsia="zh-CN"/>
                    </w:rPr>
                    <w:t>定期清理收集后作为成品送回储仓内发运外售</w:t>
                  </w:r>
                  <w:r>
                    <w:rPr>
                      <w:rFonts w:hint="eastAsia" w:ascii="Times New Roman" w:hAnsi="Times New Roman" w:eastAsia="宋体" w:cs="Times New Roman"/>
                      <w:b w:val="0"/>
                      <w:bCs w:val="0"/>
                      <w:color w:val="auto"/>
                      <w:sz w:val="21"/>
                      <w:szCs w:val="21"/>
                      <w:highlight w:val="none"/>
                      <w:lang w:val="en-US" w:eastAsia="zh-CN"/>
                    </w:rPr>
                    <w:t>。石灰石粉除尘器收集的粉尘</w:t>
                  </w:r>
                  <w:r>
                    <w:rPr>
                      <w:rFonts w:hint="default" w:ascii="Times New Roman" w:hAnsi="Times New Roman" w:cs="Times New Roman"/>
                      <w:color w:val="auto"/>
                      <w:sz w:val="21"/>
                      <w:szCs w:val="21"/>
                      <w:highlight w:val="none"/>
                      <w:lang w:val="zh-CN"/>
                    </w:rPr>
                    <w:t>统一收集后</w:t>
                  </w:r>
                  <w:r>
                    <w:rPr>
                      <w:rFonts w:hint="eastAsia" w:ascii="Times New Roman" w:hAnsi="Times New Roman" w:cs="Times New Roman"/>
                      <w:color w:val="auto"/>
                      <w:sz w:val="21"/>
                      <w:szCs w:val="21"/>
                      <w:highlight w:val="none"/>
                      <w:lang w:val="zh-CN"/>
                    </w:rPr>
                    <w:t>继续回用于烘干废气脱硫</w:t>
                  </w:r>
                  <w:r>
                    <w:rPr>
                      <w:rFonts w:hint="default" w:ascii="Times New Roman" w:hAnsi="Times New Roman" w:cs="Times New Roman"/>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燃料仓除尘器收集的粉尘</w:t>
                  </w:r>
                  <w:r>
                    <w:rPr>
                      <w:rFonts w:hint="default" w:ascii="Times New Roman" w:hAnsi="Times New Roman" w:eastAsia="宋体" w:cs="Times New Roman"/>
                      <w:b w:val="0"/>
                      <w:bCs w:val="0"/>
                      <w:color w:val="auto"/>
                      <w:sz w:val="21"/>
                      <w:szCs w:val="21"/>
                      <w:highlight w:val="none"/>
                      <w:lang w:val="zh-CN" w:eastAsia="zh-CN"/>
                    </w:rPr>
                    <w:t>统一收集后</w:t>
                  </w:r>
                  <w:r>
                    <w:rPr>
                      <w:rFonts w:hint="eastAsia" w:ascii="Times New Roman" w:hAnsi="Times New Roman" w:eastAsia="宋体" w:cs="Times New Roman"/>
                      <w:b w:val="0"/>
                      <w:bCs w:val="0"/>
                      <w:color w:val="auto"/>
                      <w:sz w:val="21"/>
                      <w:szCs w:val="21"/>
                      <w:highlight w:val="none"/>
                      <w:lang w:val="zh-CN" w:eastAsia="zh-CN"/>
                    </w:rPr>
                    <w:t>继续回用于烘干环节</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煤粉仓除尘器收集的粉尘、成品散装除尘器收集的粉尘</w:t>
                  </w:r>
                  <w:r>
                    <w:rPr>
                      <w:rFonts w:hint="default" w:ascii="Times New Roman" w:hAnsi="Times New Roman" w:cs="Times New Roman"/>
                      <w:color w:val="auto"/>
                      <w:sz w:val="21"/>
                      <w:szCs w:val="21"/>
                      <w:highlight w:val="none"/>
                      <w:lang w:val="zh-CN"/>
                    </w:rPr>
                    <w:t>统一收集后</w:t>
                  </w:r>
                  <w:r>
                    <w:rPr>
                      <w:rFonts w:hint="default" w:ascii="Times New Roman" w:hAnsi="Times New Roman" w:eastAsia="宋体" w:cs="Times New Roman"/>
                      <w:b w:val="0"/>
                      <w:bCs w:val="0"/>
                      <w:color w:val="auto"/>
                      <w:sz w:val="21"/>
                      <w:szCs w:val="21"/>
                      <w:highlight w:val="none"/>
                      <w:lang w:val="en-US" w:eastAsia="zh-CN"/>
                    </w:rPr>
                    <w:t>作为成品送回储仓内发运外售</w:t>
                  </w:r>
                  <w:r>
                    <w:rPr>
                      <w:rFonts w:hint="default" w:ascii="Times New Roman" w:hAnsi="Times New Roman" w:cs="Times New Roman"/>
                      <w:color w:val="auto"/>
                      <w:sz w:val="21"/>
                      <w:szCs w:val="21"/>
                      <w:highlight w:val="none"/>
                    </w:rPr>
                    <w:t>。</w:t>
                  </w:r>
                </w:p>
              </w:tc>
              <w:tc>
                <w:tcPr>
                  <w:tcW w:w="425" w:type="dxa"/>
                  <w:gridSpan w:val="2"/>
                  <w:noWrap w:val="0"/>
                  <w:vAlign w:val="center"/>
                </w:tcPr>
                <w:p w14:paraId="6CB98DFB">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sz w:val="21"/>
                      <w:szCs w:val="21"/>
                      <w:highlight w:val="none"/>
                      <w:lang w:val="en-US" w:eastAsia="zh-CN"/>
                    </w:rPr>
                  </w:pPr>
                </w:p>
              </w:tc>
              <w:tc>
                <w:tcPr>
                  <w:tcW w:w="425" w:type="dxa"/>
                  <w:noWrap w:val="0"/>
                  <w:vAlign w:val="center"/>
                </w:tcPr>
                <w:p w14:paraId="220B7A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zh-CN" w:eastAsia="zh-CN"/>
                    </w:rPr>
                    <w:t>委托环卫部门清运处置。</w:t>
                  </w:r>
                </w:p>
              </w:tc>
              <w:tc>
                <w:tcPr>
                  <w:tcW w:w="587" w:type="dxa"/>
                  <w:noWrap w:val="0"/>
                  <w:vAlign w:val="center"/>
                </w:tcPr>
                <w:p w14:paraId="2BC630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委托有资质</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lang w:val="zh-CN" w:eastAsia="zh-CN"/>
                    </w:rPr>
                    <w:t>单位进行处置。</w:t>
                  </w:r>
                </w:p>
              </w:tc>
              <w:tc>
                <w:tcPr>
                  <w:tcW w:w="2654" w:type="dxa"/>
                  <w:gridSpan w:val="5"/>
                  <w:noWrap w:val="0"/>
                  <w:vAlign w:val="center"/>
                </w:tcPr>
                <w:p w14:paraId="51E85B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委托有资质单位进行处置。</w:t>
                  </w:r>
                </w:p>
              </w:tc>
            </w:tr>
            <w:tr w14:paraId="5038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1" w:type="dxa"/>
                <w:trHeight w:val="0" w:hRule="atLeast"/>
                <w:jc w:val="center"/>
              </w:trPr>
              <w:tc>
                <w:tcPr>
                  <w:tcW w:w="721" w:type="dxa"/>
                  <w:gridSpan w:val="2"/>
                  <w:noWrap w:val="0"/>
                  <w:vAlign w:val="center"/>
                </w:tcPr>
                <w:p w14:paraId="6F29A7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利用或处置量（t/a）</w:t>
                  </w:r>
                </w:p>
              </w:tc>
              <w:tc>
                <w:tcPr>
                  <w:tcW w:w="440" w:type="dxa"/>
                  <w:noWrap w:val="0"/>
                  <w:vAlign w:val="center"/>
                </w:tcPr>
                <w:p w14:paraId="2EB197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99.8988</w:t>
                  </w:r>
                </w:p>
              </w:tc>
              <w:tc>
                <w:tcPr>
                  <w:tcW w:w="579" w:type="dxa"/>
                  <w:gridSpan w:val="4"/>
                  <w:noWrap w:val="0"/>
                  <w:vAlign w:val="center"/>
                </w:tcPr>
                <w:p w14:paraId="4F6E36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290.2888</w:t>
                  </w:r>
                </w:p>
              </w:tc>
              <w:tc>
                <w:tcPr>
                  <w:tcW w:w="465" w:type="dxa"/>
                  <w:gridSpan w:val="2"/>
                  <w:noWrap w:val="0"/>
                  <w:vAlign w:val="center"/>
                </w:tcPr>
                <w:p w14:paraId="6123A0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76.3603</w:t>
                  </w:r>
                </w:p>
              </w:tc>
              <w:tc>
                <w:tcPr>
                  <w:tcW w:w="496" w:type="dxa"/>
                  <w:gridSpan w:val="3"/>
                  <w:noWrap w:val="0"/>
                  <w:vAlign w:val="center"/>
                </w:tcPr>
                <w:p w14:paraId="1D36C8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59.3049</w:t>
                  </w:r>
                </w:p>
              </w:tc>
              <w:tc>
                <w:tcPr>
                  <w:tcW w:w="553" w:type="dxa"/>
                  <w:gridSpan w:val="2"/>
                  <w:noWrap w:val="0"/>
                  <w:vAlign w:val="center"/>
                </w:tcPr>
                <w:p w14:paraId="5FAF50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rPr>
                    <w:t>0.3053</w:t>
                  </w:r>
                </w:p>
              </w:tc>
              <w:tc>
                <w:tcPr>
                  <w:tcW w:w="437" w:type="dxa"/>
                  <w:gridSpan w:val="2"/>
                  <w:noWrap w:val="0"/>
                  <w:vAlign w:val="center"/>
                </w:tcPr>
                <w:p w14:paraId="366105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s="Times New Roman"/>
                      <w:b w:val="0"/>
                      <w:bCs w:val="0"/>
                      <w:color w:val="auto"/>
                      <w:sz w:val="21"/>
                      <w:szCs w:val="21"/>
                      <w:highlight w:val="none"/>
                      <w:lang w:val="en-US" w:eastAsia="zh-CN"/>
                    </w:rPr>
                    <w:t>0.7262</w:t>
                  </w:r>
                </w:p>
              </w:tc>
              <w:tc>
                <w:tcPr>
                  <w:tcW w:w="438" w:type="dxa"/>
                  <w:gridSpan w:val="3"/>
                  <w:noWrap w:val="0"/>
                  <w:vAlign w:val="center"/>
                </w:tcPr>
                <w:p w14:paraId="6ABC01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s="Times New Roman"/>
                      <w:b w:val="0"/>
                      <w:bCs w:val="0"/>
                      <w:color w:val="auto"/>
                      <w:sz w:val="21"/>
                      <w:szCs w:val="21"/>
                      <w:highlight w:val="none"/>
                      <w:lang w:val="en-US" w:eastAsia="zh-CN"/>
                    </w:rPr>
                    <w:t>0.2388</w:t>
                  </w:r>
                </w:p>
              </w:tc>
              <w:tc>
                <w:tcPr>
                  <w:tcW w:w="425" w:type="dxa"/>
                  <w:gridSpan w:val="2"/>
                  <w:noWrap w:val="0"/>
                  <w:vAlign w:val="center"/>
                </w:tcPr>
                <w:p w14:paraId="1A1FD2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5.5382</w:t>
                  </w:r>
                </w:p>
              </w:tc>
              <w:tc>
                <w:tcPr>
                  <w:tcW w:w="425" w:type="dxa"/>
                  <w:noWrap w:val="0"/>
                  <w:vAlign w:val="center"/>
                </w:tcPr>
                <w:p w14:paraId="546DDF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zh-CN" w:eastAsia="zh-CN"/>
                    </w:rPr>
                  </w:pPr>
                  <w:r>
                    <w:rPr>
                      <w:rFonts w:hint="eastAsia" w:cs="Times New Roman"/>
                      <w:color w:val="auto"/>
                      <w:sz w:val="21"/>
                      <w:szCs w:val="21"/>
                      <w:highlight w:val="none"/>
                      <w:lang w:val="en-US" w:eastAsia="zh-CN"/>
                    </w:rPr>
                    <w:t>11.9</w:t>
                  </w:r>
                </w:p>
              </w:tc>
              <w:tc>
                <w:tcPr>
                  <w:tcW w:w="587" w:type="dxa"/>
                  <w:noWrap w:val="0"/>
                  <w:vAlign w:val="center"/>
                </w:tcPr>
                <w:p w14:paraId="686A37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zh-CN" w:eastAsia="zh-CN"/>
                    </w:rPr>
                  </w:pPr>
                  <w:r>
                    <w:rPr>
                      <w:rFonts w:hint="eastAsia" w:cs="Times New Roman"/>
                      <w:color w:val="auto"/>
                      <w:sz w:val="21"/>
                      <w:szCs w:val="21"/>
                      <w:highlight w:val="none"/>
                      <w:lang w:val="en-US" w:eastAsia="zh-CN"/>
                    </w:rPr>
                    <w:t>0.476</w:t>
                  </w:r>
                </w:p>
              </w:tc>
              <w:tc>
                <w:tcPr>
                  <w:tcW w:w="463" w:type="dxa"/>
                  <w:noWrap w:val="0"/>
                  <w:vAlign w:val="center"/>
                </w:tcPr>
                <w:p w14:paraId="24C2C5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546" w:type="dxa"/>
                  <w:noWrap w:val="0"/>
                  <w:vAlign w:val="center"/>
                </w:tcPr>
                <w:p w14:paraId="58368C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w:t>
                  </w:r>
                </w:p>
              </w:tc>
              <w:tc>
                <w:tcPr>
                  <w:tcW w:w="645" w:type="dxa"/>
                  <w:noWrap w:val="0"/>
                  <w:vAlign w:val="center"/>
                </w:tcPr>
                <w:p w14:paraId="132247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467" w:type="dxa"/>
                  <w:noWrap w:val="0"/>
                  <w:vAlign w:val="center"/>
                </w:tcPr>
                <w:p w14:paraId="68CB9B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w:t>
                  </w:r>
                </w:p>
              </w:tc>
              <w:tc>
                <w:tcPr>
                  <w:tcW w:w="533" w:type="dxa"/>
                  <w:noWrap w:val="0"/>
                  <w:vAlign w:val="center"/>
                </w:tcPr>
                <w:p w14:paraId="19B964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5</w:t>
                  </w:r>
                </w:p>
              </w:tc>
            </w:tr>
            <w:tr w14:paraId="1343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1" w:type="dxa"/>
                  <w:gridSpan w:val="2"/>
                  <w:noWrap w:val="0"/>
                  <w:vAlign w:val="center"/>
                </w:tcPr>
                <w:p w14:paraId="1BB465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环境管理要求</w:t>
                  </w:r>
                </w:p>
              </w:tc>
              <w:tc>
                <w:tcPr>
                  <w:tcW w:w="7544" w:type="dxa"/>
                  <w:gridSpan w:val="27"/>
                  <w:noWrap w:val="0"/>
                  <w:vAlign w:val="center"/>
                </w:tcPr>
                <w:p w14:paraId="16F0BA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en-US" w:eastAsia="zh-CN"/>
                    </w:rPr>
                    <w:t>100%处置</w:t>
                  </w:r>
                </w:p>
              </w:tc>
              <w:tc>
                <w:tcPr>
                  <w:tcW w:w="236" w:type="dxa"/>
                  <w:noWrap w:val="0"/>
                  <w:vAlign w:val="center"/>
                </w:tcPr>
                <w:p w14:paraId="2AF316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bl>
          <w:p w14:paraId="1B72E076">
            <w:pPr>
              <w:pStyle w:val="82"/>
              <w:keepNext w:val="0"/>
              <w:keepLines w:val="0"/>
              <w:pageBreakBefore w:val="0"/>
              <w:widowControl w:val="0"/>
              <w:kinsoku/>
              <w:wordWrap/>
              <w:overflowPunct/>
              <w:topLinePunct w:val="0"/>
              <w:autoSpaceDE/>
              <w:autoSpaceDN/>
              <w:bidi w:val="0"/>
              <w:adjustRightInd/>
              <w:snapToGrid/>
              <w:spacing w:beforeLines="0" w:afterLines="0" w:line="360" w:lineRule="auto"/>
              <w:ind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危废间建设：</w:t>
            </w:r>
          </w:p>
          <w:p w14:paraId="0135DC3B">
            <w:pPr>
              <w:pStyle w:val="82"/>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200" w:right="0" w:rightChars="0"/>
              <w:jc w:val="left"/>
              <w:textAlignment w:val="auto"/>
              <w:rPr>
                <w:rFonts w:hint="eastAsia" w:ascii="Times New Roman" w:hAnsi="Times New Roman" w:cs="Times New Roman"/>
                <w:color w:val="auto"/>
                <w:spacing w:val="-3"/>
                <w:sz w:val="24"/>
                <w:szCs w:val="24"/>
                <w:highlight w:val="none"/>
                <w:lang w:eastAsia="zh-CN"/>
              </w:rPr>
            </w:pPr>
            <w:r>
              <w:rPr>
                <w:rFonts w:hint="default" w:ascii="Times New Roman" w:hAnsi="Times New Roman" w:eastAsia="宋体" w:cs="Times New Roman"/>
                <w:color w:val="auto"/>
                <w:spacing w:val="-8"/>
                <w:sz w:val="24"/>
                <w:szCs w:val="24"/>
                <w:highlight w:val="none"/>
              </w:rPr>
              <w:t>根据《危险废物贮存污染控制标准》</w:t>
            </w:r>
            <w:r>
              <w:rPr>
                <w:rFonts w:hint="default" w:ascii="Times New Roman" w:hAnsi="Times New Roman" w:eastAsia="宋体" w:cs="Times New Roman"/>
                <w:color w:val="auto"/>
                <w:sz w:val="24"/>
                <w:szCs w:val="24"/>
                <w:highlight w:val="none"/>
              </w:rPr>
              <w:t xml:space="preserve">（GB </w:t>
            </w:r>
            <w:r>
              <w:rPr>
                <w:rFonts w:hint="default" w:ascii="Times New Roman" w:hAnsi="Times New Roman" w:eastAsia="宋体" w:cs="Times New Roman"/>
                <w:color w:val="auto"/>
                <w:spacing w:val="-3"/>
                <w:sz w:val="24"/>
                <w:szCs w:val="24"/>
                <w:highlight w:val="none"/>
              </w:rPr>
              <w:t>18597-20</w:t>
            </w:r>
            <w:r>
              <w:rPr>
                <w:rFonts w:hint="eastAsia" w:ascii="Times New Roman" w:hAnsi="Times New Roman" w:cs="Times New Roman"/>
                <w:color w:val="auto"/>
                <w:spacing w:val="-3"/>
                <w:sz w:val="24"/>
                <w:szCs w:val="24"/>
                <w:highlight w:val="none"/>
                <w:lang w:val="en-US" w:eastAsia="zh-CN"/>
              </w:rPr>
              <w:t>23</w:t>
            </w:r>
            <w:r>
              <w:rPr>
                <w:rFonts w:hint="default" w:ascii="Times New Roman" w:hAnsi="Times New Roman" w:eastAsia="宋体" w:cs="Times New Roman"/>
                <w:color w:val="auto"/>
                <w:spacing w:val="-3"/>
                <w:sz w:val="24"/>
                <w:szCs w:val="24"/>
                <w:highlight w:val="none"/>
              </w:rPr>
              <w:t>）</w:t>
            </w:r>
            <w:r>
              <w:rPr>
                <w:rFonts w:hint="eastAsia" w:ascii="Times New Roman" w:hAnsi="Times New Roman" w:cs="Times New Roman"/>
                <w:color w:val="auto"/>
                <w:spacing w:val="-3"/>
                <w:sz w:val="24"/>
                <w:szCs w:val="24"/>
                <w:highlight w:val="none"/>
                <w:lang w:eastAsia="zh-CN"/>
              </w:rPr>
              <w:t>要求如下：</w:t>
            </w:r>
          </w:p>
          <w:p w14:paraId="2C0069E3">
            <w:pPr>
              <w:pStyle w:val="82"/>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200" w:right="0" w:right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防渗标准</w:t>
            </w:r>
            <w:r>
              <w:rPr>
                <w:rFonts w:hint="default" w:ascii="Times New Roman" w:hAnsi="Times New Roman" w:eastAsia="宋体" w:cs="Times New Roman"/>
                <w:color w:val="auto"/>
                <w:sz w:val="24"/>
                <w:szCs w:val="24"/>
                <w:highlight w:val="none"/>
                <w:lang w:val="en-US" w:eastAsia="zh-CN"/>
              </w:rPr>
              <w:t>及措施</w:t>
            </w:r>
          </w:p>
          <w:p w14:paraId="2C0427E6">
            <w:pPr>
              <w:pStyle w:val="82"/>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48" w:firstLineChars="200"/>
              <w:jc w:val="both"/>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8"/>
                <w:sz w:val="24"/>
                <w:szCs w:val="24"/>
                <w:highlight w:val="none"/>
              </w:rPr>
              <w:t>根据</w:t>
            </w:r>
            <w:r>
              <w:rPr>
                <w:rStyle w:val="75"/>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采用“抗渗混凝土+2mm厚HDPE+环氧树脂”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w:t>
            </w:r>
            <w:r>
              <w:rPr>
                <w:rFonts w:hint="default" w:ascii="Times New Roman" w:hAnsi="Times New Roman" w:eastAsia="宋体" w:cs="Times New Roman"/>
                <w:color w:val="auto"/>
                <w:sz w:val="24"/>
                <w:szCs w:val="24"/>
                <w:highlight w:val="none"/>
                <w:lang w:eastAsia="zh-CN"/>
              </w:rPr>
              <w:t>。</w:t>
            </w:r>
          </w:p>
          <w:p w14:paraId="4CF260AC">
            <w:pPr>
              <w:pStyle w:val="82"/>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暂存</w:t>
            </w:r>
          </w:p>
          <w:p w14:paraId="2837CDA1">
            <w:pPr>
              <w:pStyle w:val="82"/>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①</w:t>
            </w:r>
            <w:r>
              <w:rPr>
                <w:rFonts w:hint="default" w:ascii="Times New Roman" w:hAnsi="Times New Roman" w:eastAsia="宋体" w:cs="Times New Roman"/>
                <w:color w:val="auto"/>
                <w:sz w:val="24"/>
                <w:szCs w:val="24"/>
                <w:highlight w:val="none"/>
              </w:rPr>
              <w:t>贮存设施应根据危险废物的形态、物理化学性质、包装形式和污染物迁移</w:t>
            </w:r>
          </w:p>
          <w:p w14:paraId="569A5133">
            <w:pPr>
              <w:pStyle w:val="82"/>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途径，采取必要的防风、防晒、防雨、防漏、防渗、防腐以及其他环境污染防治措施，不应露天堆放危险废物。</w:t>
            </w:r>
          </w:p>
          <w:p w14:paraId="277766C4">
            <w:pPr>
              <w:pStyle w:val="82"/>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②</w:t>
            </w:r>
            <w:r>
              <w:rPr>
                <w:rFonts w:hint="default" w:ascii="Times New Roman" w:hAnsi="Times New Roman" w:eastAsia="宋体" w:cs="Times New Roman"/>
                <w:color w:val="auto"/>
                <w:sz w:val="24"/>
                <w:szCs w:val="24"/>
                <w:highlight w:val="none"/>
              </w:rPr>
              <w:t>贮存设施应根据危险废物的类别、数量、形态、物理化学性质和污染防治</w:t>
            </w:r>
          </w:p>
          <w:p w14:paraId="795D92B5">
            <w:pPr>
              <w:pStyle w:val="82"/>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等要求设置必要的贮存分区，避免不相容的危险废物接触、混合。</w:t>
            </w:r>
          </w:p>
          <w:p w14:paraId="167A37B7">
            <w:pPr>
              <w:pStyle w:val="82"/>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③</w:t>
            </w:r>
            <w:r>
              <w:rPr>
                <w:rFonts w:hint="default" w:ascii="Times New Roman" w:hAnsi="Times New Roman" w:eastAsia="宋体" w:cs="Times New Roman"/>
                <w:color w:val="auto"/>
                <w:sz w:val="24"/>
                <w:szCs w:val="24"/>
                <w:highlight w:val="none"/>
              </w:rPr>
              <w:t>贮存设施或贮存分区内地面、墙面裙脚、堵截泄漏的围堰、接触危险废物的隔板和墙体等应采用坚固的材料建造，表面无裂缝。</w:t>
            </w:r>
          </w:p>
          <w:p w14:paraId="1EF228B5">
            <w:pPr>
              <w:pStyle w:val="82"/>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④</w:t>
            </w:r>
            <w:r>
              <w:rPr>
                <w:rFonts w:hint="default" w:ascii="Times New Roman" w:hAnsi="Times New Roman" w:eastAsia="宋体" w:cs="Times New Roman"/>
                <w:color w:val="auto"/>
                <w:sz w:val="24"/>
                <w:szCs w:val="24"/>
                <w:highlight w:val="none"/>
              </w:rPr>
              <w:t>贮存设施地面与裙脚应采取表面防渗措施；表面防渗材料应与所接触的物</w:t>
            </w:r>
          </w:p>
          <w:p w14:paraId="7C5EFDFD">
            <w:pPr>
              <w:pStyle w:val="82"/>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cm/s），或至少2mm厚高密度聚乙烯膜等人工防渗材料（渗透系数不大于10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cm/s），或其他防渗性能等效的材料。</w:t>
            </w:r>
          </w:p>
          <w:p w14:paraId="23F12191">
            <w:pPr>
              <w:pStyle w:val="82"/>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⑤</w:t>
            </w:r>
            <w:r>
              <w:rPr>
                <w:rFonts w:hint="default" w:ascii="Times New Roman" w:hAnsi="Times New Roman" w:eastAsia="宋体" w:cs="Times New Roman"/>
                <w:color w:val="auto"/>
                <w:sz w:val="24"/>
                <w:szCs w:val="24"/>
                <w:highlight w:val="none"/>
              </w:rPr>
              <w:t>同一贮存设施宜采用相同的防渗、防腐工艺（包括防渗、防腐结构或材料），</w:t>
            </w:r>
          </w:p>
          <w:p w14:paraId="1CA7D787">
            <w:pPr>
              <w:pStyle w:val="82"/>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防渗、防腐材料应覆盖所有可能与废物及其渗滤液、渗漏液等接触的构筑物表面；采用不同防渗、防腐工艺应分别建设贮存分区。</w:t>
            </w:r>
          </w:p>
          <w:p w14:paraId="031AADD7">
            <w:pPr>
              <w:pStyle w:val="82"/>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⑥</w:t>
            </w:r>
            <w:r>
              <w:rPr>
                <w:rFonts w:hint="default" w:ascii="Times New Roman" w:hAnsi="Times New Roman" w:eastAsia="宋体" w:cs="Times New Roman"/>
                <w:color w:val="auto"/>
                <w:sz w:val="24"/>
                <w:szCs w:val="24"/>
                <w:highlight w:val="none"/>
              </w:rPr>
              <w:t>贮存设施应采取技术和管理措施防止无关人员进入。</w:t>
            </w:r>
          </w:p>
          <w:p w14:paraId="7DE349B7">
            <w:pPr>
              <w:pStyle w:val="82"/>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危废转移</w:t>
            </w:r>
          </w:p>
          <w:p w14:paraId="62170337">
            <w:pPr>
              <w:pStyle w:val="82"/>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危废转移</w:t>
            </w:r>
            <w:r>
              <w:rPr>
                <w:rFonts w:hint="default" w:ascii="Times New Roman" w:hAnsi="Times New Roman" w:eastAsia="宋体" w:cs="Times New Roman"/>
                <w:color w:val="auto"/>
                <w:spacing w:val="-5"/>
                <w:sz w:val="24"/>
                <w:szCs w:val="24"/>
                <w:highlight w:val="none"/>
                <w:lang w:val="en-US" w:eastAsia="zh-CN"/>
              </w:rPr>
              <w:t>过程</w:t>
            </w:r>
            <w:r>
              <w:rPr>
                <w:rFonts w:hint="default" w:ascii="Times New Roman" w:hAnsi="Times New Roman" w:eastAsia="宋体" w:cs="Times New Roman"/>
                <w:color w:val="auto"/>
                <w:spacing w:val="-5"/>
                <w:sz w:val="24"/>
                <w:szCs w:val="24"/>
                <w:highlight w:val="none"/>
              </w:rPr>
              <w:t>应当严格遵守《危险废物转移管理办法》（部令第23号）、《危险废</w:t>
            </w:r>
            <w:r>
              <w:rPr>
                <w:rFonts w:hint="default" w:ascii="Times New Roman" w:hAnsi="Times New Roman" w:eastAsia="宋体" w:cs="Times New Roman"/>
                <w:color w:val="auto"/>
                <w:sz w:val="24"/>
                <w:szCs w:val="24"/>
                <w:highlight w:val="none"/>
              </w:rPr>
              <w:t>物收集贮存运输技术规范</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z w:val="24"/>
                <w:szCs w:val="24"/>
                <w:highlight w:val="none"/>
              </w:rPr>
              <w:t>（HJ 2025-2012）相关要求，确保危险废物得到安全处置：</w:t>
            </w:r>
          </w:p>
          <w:p w14:paraId="0811AD90">
            <w:pPr>
              <w:pStyle w:val="82"/>
              <w:keepNext w:val="0"/>
              <w:keepLines w:val="0"/>
              <w:pageBreakBefore w:val="0"/>
              <w:widowControl w:val="0"/>
              <w:numPr>
                <w:ilvl w:val="0"/>
                <w:numId w:val="0"/>
              </w:numPr>
              <w:tabs>
                <w:tab w:val="left" w:pos="953"/>
              </w:tabs>
              <w:kinsoku/>
              <w:wordWrap/>
              <w:overflowPunct/>
              <w:topLinePunct w:val="0"/>
              <w:autoSpaceDE/>
              <w:autoSpaceDN/>
              <w:bidi w:val="0"/>
              <w:adjustRightInd/>
              <w:snapToGri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做好危险废物转移手续，按照《危险废物转移管理办法》（部令第23号）要求进行。建</w:t>
            </w:r>
            <w:r>
              <w:rPr>
                <w:rFonts w:hint="default" w:ascii="Times New Roman" w:hAnsi="Times New Roman" w:eastAsia="宋体" w:cs="Times New Roman"/>
                <w:color w:val="auto"/>
                <w:spacing w:val="-4"/>
                <w:sz w:val="24"/>
                <w:szCs w:val="24"/>
                <w:highlight w:val="none"/>
              </w:rPr>
              <w:t>设单位在转移危险废物前，须按照国家有关规定报批危险废物转移计划；经批准后，产生</w:t>
            </w:r>
            <w:r>
              <w:rPr>
                <w:rFonts w:hint="default" w:ascii="Times New Roman" w:hAnsi="Times New Roman" w:eastAsia="宋体" w:cs="Times New Roman"/>
                <w:color w:val="auto"/>
                <w:spacing w:val="-3"/>
                <w:sz w:val="24"/>
                <w:szCs w:val="24"/>
                <w:highlight w:val="none"/>
              </w:rPr>
              <w:t>单位应当向移出地环境保护行政主管部门申请领取联单。危险废物产生单位应当如实填写</w:t>
            </w:r>
            <w:r>
              <w:rPr>
                <w:rFonts w:hint="default" w:ascii="Times New Roman" w:hAnsi="Times New Roman" w:eastAsia="宋体" w:cs="Times New Roman"/>
                <w:color w:val="auto"/>
                <w:spacing w:val="-5"/>
                <w:sz w:val="24"/>
                <w:szCs w:val="24"/>
                <w:highlight w:val="none"/>
              </w:rPr>
              <w:t>联单中产生单位栏目，并加盖公章，经交付危险废物运输单位核实验收签字后，将联单第</w:t>
            </w:r>
            <w:r>
              <w:rPr>
                <w:rFonts w:hint="default" w:ascii="Times New Roman" w:hAnsi="Times New Roman" w:eastAsia="宋体" w:cs="Times New Roman"/>
                <w:color w:val="auto"/>
                <w:spacing w:val="-4"/>
                <w:sz w:val="24"/>
                <w:szCs w:val="24"/>
                <w:highlight w:val="none"/>
              </w:rPr>
              <w:t>一联副联自留存档，将联单第二联交移出地环境保护行政主管部门，联单第一联正联及其</w:t>
            </w:r>
            <w:r>
              <w:rPr>
                <w:rFonts w:hint="default" w:ascii="Times New Roman" w:hAnsi="Times New Roman" w:eastAsia="宋体" w:cs="Times New Roman"/>
                <w:color w:val="auto"/>
                <w:sz w:val="24"/>
                <w:szCs w:val="24"/>
                <w:highlight w:val="none"/>
              </w:rPr>
              <w:t>余各联交付运输单位随危险废物转移运行。</w:t>
            </w:r>
          </w:p>
          <w:p w14:paraId="6699E045">
            <w:pPr>
              <w:pStyle w:val="82"/>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危险废物运输由持有危险废物经营许可证的单位按照其许可证的经营范围组织实施，承担危险废物运输单位应获得交通运输部门颁发的危险货物运输资质；</w:t>
            </w:r>
          </w:p>
          <w:p w14:paraId="76585E21">
            <w:pPr>
              <w:pStyle w:val="82"/>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危险废物在运输途中若发生被盗、丢失、流散、</w:t>
            </w:r>
            <w:r>
              <w:rPr>
                <w:rFonts w:hint="default" w:ascii="Times New Roman" w:hAnsi="Times New Roman" w:eastAsia="宋体"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等情况时，公司及押运人员必须立即向当地环保部门、公安部门报告，并采取一切可能的警示措施。</w:t>
            </w:r>
          </w:p>
          <w:p w14:paraId="0C08DFB0">
            <w:pPr>
              <w:pStyle w:val="82"/>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措施，并</w:t>
            </w:r>
            <w:r>
              <w:rPr>
                <w:rFonts w:hint="default" w:ascii="Times New Roman" w:hAnsi="Times New Roman" w:eastAsia="宋体" w:cs="Times New Roman"/>
                <w:color w:val="auto"/>
                <w:sz w:val="24"/>
                <w:szCs w:val="24"/>
                <w:highlight w:val="none"/>
                <w:lang w:val="en-US" w:eastAsia="zh-CN"/>
              </w:rPr>
              <w:t>对事故造成的危害进行监测、处置，符合国家环境保护标准。</w:t>
            </w:r>
          </w:p>
          <w:p w14:paraId="2C7C7FB3">
            <w:pPr>
              <w:pStyle w:val="82"/>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在采取上述措</w:t>
            </w:r>
            <w:r>
              <w:rPr>
                <w:rFonts w:hint="default" w:ascii="Times New Roman" w:hAnsi="Times New Roman" w:eastAsia="宋体" w:cs="Times New Roman"/>
                <w:color w:val="auto"/>
                <w:sz w:val="24"/>
                <w:szCs w:val="24"/>
                <w:highlight w:val="none"/>
              </w:rPr>
              <w:t>施的前提下，项目运营期固体废物均能得到及时、妥善的处理和处置，不会对周围环境造成大的影响。</w:t>
            </w:r>
          </w:p>
          <w:p w14:paraId="5FC7F56B">
            <w:pPr>
              <w:adjustRightInd w:val="0"/>
              <w:snapToGrid w:val="0"/>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szCs w:val="24"/>
                <w:highlight w:val="none"/>
                <w:lang w:val="en-US" w:eastAsia="zh-CN"/>
              </w:rPr>
              <w:t>五</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color w:val="auto"/>
                <w:sz w:val="24"/>
                <w:highlight w:val="none"/>
              </w:rPr>
              <w:t>土壤、地下水环境影响分析</w:t>
            </w:r>
          </w:p>
          <w:p w14:paraId="5EC8C660">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zh-CN"/>
              </w:rPr>
              <w:t>污染源分析</w:t>
            </w:r>
          </w:p>
          <w:p w14:paraId="5D786623">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本项目正常工况下，不会产生地下水、土壤污染，只有在事故状态下，项目内</w:t>
            </w:r>
            <w:r>
              <w:rPr>
                <w:rFonts w:hint="eastAsia" w:cs="Times New Roman"/>
                <w:color w:val="auto"/>
                <w:sz w:val="24"/>
                <w:highlight w:val="none"/>
                <w:lang w:val="zh-CN"/>
              </w:rPr>
              <w:t>危废暂存间内</w:t>
            </w:r>
            <w:r>
              <w:rPr>
                <w:rFonts w:hint="default" w:ascii="Times New Roman" w:hAnsi="Times New Roman" w:eastAsia="宋体" w:cs="Times New Roman"/>
                <w:color w:val="auto"/>
                <w:sz w:val="24"/>
                <w:highlight w:val="none"/>
                <w:lang w:val="zh-CN"/>
              </w:rPr>
              <w:t>暂存的废矿物油</w:t>
            </w:r>
            <w:r>
              <w:rPr>
                <w:rFonts w:hint="eastAsia" w:cs="Times New Roman"/>
                <w:color w:val="auto"/>
                <w:sz w:val="24"/>
                <w:highlight w:val="none"/>
                <w:lang w:val="zh-CN"/>
              </w:rPr>
              <w:t>、废液压油、废液、污水处理设施废水</w:t>
            </w:r>
            <w:r>
              <w:rPr>
                <w:rFonts w:hint="default" w:ascii="Times New Roman" w:hAnsi="Times New Roman" w:eastAsia="宋体" w:cs="Times New Roman"/>
                <w:color w:val="auto"/>
                <w:sz w:val="24"/>
                <w:highlight w:val="none"/>
                <w:lang w:val="zh-CN"/>
              </w:rPr>
              <w:t>可能会发生</w:t>
            </w:r>
            <w:r>
              <w:rPr>
                <w:rFonts w:hint="default" w:ascii="Times New Roman" w:hAnsi="Times New Roman" w:eastAsia="宋体" w:cs="Times New Roman"/>
                <w:color w:val="auto"/>
                <w:sz w:val="24"/>
                <w:highlight w:val="none"/>
              </w:rPr>
              <w:t>泄漏</w:t>
            </w:r>
            <w:r>
              <w:rPr>
                <w:rFonts w:hint="default" w:ascii="Times New Roman" w:hAnsi="Times New Roman" w:eastAsia="宋体" w:cs="Times New Roman"/>
                <w:color w:val="auto"/>
                <w:sz w:val="24"/>
                <w:highlight w:val="none"/>
                <w:lang w:val="zh-CN"/>
              </w:rPr>
              <w:t>等情况，可能对周边土壤造成污染，长时间</w:t>
            </w:r>
            <w:r>
              <w:rPr>
                <w:rFonts w:hint="default" w:ascii="Times New Roman" w:hAnsi="Times New Roman" w:eastAsia="宋体" w:cs="Times New Roman"/>
                <w:color w:val="auto"/>
                <w:sz w:val="24"/>
                <w:highlight w:val="none"/>
              </w:rPr>
              <w:t>泄漏</w:t>
            </w:r>
            <w:r>
              <w:rPr>
                <w:rFonts w:hint="default" w:ascii="Times New Roman" w:hAnsi="Times New Roman" w:eastAsia="宋体" w:cs="Times New Roman"/>
                <w:color w:val="auto"/>
                <w:sz w:val="24"/>
                <w:highlight w:val="none"/>
                <w:lang w:val="zh-CN"/>
              </w:rPr>
              <w:t>可能深入地下对地下水造成污染。</w:t>
            </w:r>
          </w:p>
          <w:p w14:paraId="33CF8423">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本项目生产废水</w:t>
            </w:r>
            <w:r>
              <w:rPr>
                <w:rFonts w:hint="eastAsia" w:cs="Times New Roman"/>
                <w:color w:val="auto"/>
                <w:sz w:val="24"/>
                <w:highlight w:val="none"/>
                <w:lang w:val="en-US" w:eastAsia="zh-CN"/>
              </w:rPr>
              <w:t>为设备</w:t>
            </w:r>
            <w:r>
              <w:rPr>
                <w:rFonts w:hint="default" w:ascii="Times New Roman" w:hAnsi="Times New Roman" w:eastAsia="宋体" w:cs="Times New Roman"/>
                <w:b w:val="0"/>
                <w:bCs w:val="0"/>
                <w:color w:val="auto"/>
                <w:sz w:val="24"/>
                <w:szCs w:val="24"/>
                <w:highlight w:val="none"/>
                <w:lang w:val="en-US" w:eastAsia="zh-CN"/>
              </w:rPr>
              <w:t>冷却</w:t>
            </w:r>
            <w:r>
              <w:rPr>
                <w:rFonts w:hint="eastAsia" w:cs="Times New Roman"/>
                <w:b w:val="0"/>
                <w:bCs w:val="0"/>
                <w:color w:val="auto"/>
                <w:sz w:val="24"/>
                <w:szCs w:val="24"/>
                <w:highlight w:val="none"/>
                <w:lang w:val="en-US" w:eastAsia="zh-CN"/>
              </w:rPr>
              <w:t>废</w:t>
            </w:r>
            <w:r>
              <w:rPr>
                <w:rFonts w:hint="default" w:ascii="Times New Roman" w:hAnsi="Times New Roman" w:eastAsia="宋体" w:cs="Times New Roman"/>
                <w:b w:val="0"/>
                <w:bCs w:val="0"/>
                <w:color w:val="auto"/>
                <w:sz w:val="24"/>
                <w:szCs w:val="24"/>
                <w:highlight w:val="none"/>
                <w:lang w:val="en-US" w:eastAsia="zh-CN"/>
              </w:rPr>
              <w:t>水</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化验后的容器清洗废水、吸收氨气的废水</w:t>
            </w:r>
            <w:r>
              <w:rPr>
                <w:rFonts w:hint="default" w:ascii="Times New Roman" w:hAnsi="Times New Roman" w:eastAsia="宋体" w:cs="Times New Roman"/>
                <w:color w:val="auto"/>
                <w:sz w:val="24"/>
                <w:highlight w:val="none"/>
                <w:lang w:val="en-US" w:eastAsia="zh-CN"/>
              </w:rPr>
              <w:t>，本项目设置的</w:t>
            </w:r>
            <w:r>
              <w:rPr>
                <w:rFonts w:hint="eastAsia" w:ascii="Times New Roman" w:hAnsi="Times New Roman" w:eastAsia="宋体" w:cs="Times New Roman"/>
                <w:color w:val="auto"/>
                <w:sz w:val="24"/>
                <w:highlight w:val="none"/>
                <w:lang w:val="en-US" w:eastAsia="zh-CN"/>
              </w:rPr>
              <w:t>却冷废水</w:t>
            </w:r>
            <w:r>
              <w:rPr>
                <w:rFonts w:hint="default" w:ascii="Times New Roman" w:hAnsi="Times New Roman" w:eastAsia="宋体" w:cs="Times New Roman"/>
                <w:color w:val="auto"/>
                <w:sz w:val="24"/>
                <w:highlight w:val="none"/>
                <w:lang w:val="en-US" w:eastAsia="zh-CN"/>
              </w:rPr>
              <w:t>水池为混凝土结构，不易破损也不易造成废水泄漏等情况</w:t>
            </w:r>
            <w:r>
              <w:rPr>
                <w:rFonts w:hint="eastAsia" w:cs="Times New Roman"/>
                <w:color w:val="auto"/>
                <w:sz w:val="24"/>
                <w:highlight w:val="none"/>
                <w:lang w:val="en-US" w:eastAsia="zh-CN"/>
              </w:rPr>
              <w:t>；</w:t>
            </w:r>
          </w:p>
          <w:p w14:paraId="2BA5CD70">
            <w:pPr>
              <w:adjustRightInd w:val="0"/>
              <w:snapToGrid w:val="0"/>
              <w:spacing w:line="360" w:lineRule="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化验后的容器清洗废水通过投加絮凝剂、加入酸碱中和剂等方式对废水进行沉淀、中和等简易处理，处理后的废水排入厂内拟建的污水处理站统一处置；吸收氨气的清水浓度大于10%时直接作为脱硝使用喷入炉膛内，不外排</w:t>
            </w:r>
            <w:r>
              <w:rPr>
                <w:rFonts w:hint="eastAsia" w:cs="Times New Roman"/>
                <w:color w:val="auto"/>
                <w:sz w:val="24"/>
                <w:highlight w:val="none"/>
                <w:lang w:val="en-US" w:eastAsia="zh-CN"/>
              </w:rPr>
              <w:t>，氨水储罐区域进行重点防渗，防止污染地下水及土壤环境。</w:t>
            </w:r>
          </w:p>
          <w:p w14:paraId="11EBBCEA">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zh-CN"/>
              </w:rPr>
              <w:t>污染物类型和污染途径识别</w:t>
            </w:r>
          </w:p>
          <w:p w14:paraId="7FA13BE7">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1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lang w:val="zh-CN"/>
              </w:rPr>
              <w:t>①</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环境影响类型与影响途径识别</w:t>
            </w:r>
          </w:p>
          <w:p w14:paraId="300EB369">
            <w:pPr>
              <w:adjustRightInd w:val="0"/>
              <w:snapToGrid w:val="0"/>
              <w:spacing w:line="360" w:lineRule="auto"/>
              <w:ind w:firstLine="480" w:firstLineChars="200"/>
              <w:rPr>
                <w:rStyle w:val="51"/>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 w:val="24"/>
                <w:highlight w:val="none"/>
                <w:lang w:val="zh-CN"/>
              </w:rPr>
              <w:t>本项目对周边</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土壤环境影响的类型与影响途径见表4-</w:t>
            </w:r>
            <w:r>
              <w:rPr>
                <w:rFonts w:hint="eastAsia" w:cs="Times New Roman"/>
                <w:color w:val="auto"/>
                <w:sz w:val="24"/>
                <w:highlight w:val="none"/>
                <w:lang w:val="en-US" w:eastAsia="zh-CN"/>
              </w:rPr>
              <w:t>38</w:t>
            </w:r>
            <w:r>
              <w:rPr>
                <w:rFonts w:hint="default" w:ascii="Times New Roman" w:hAnsi="Times New Roman" w:eastAsia="宋体" w:cs="Times New Roman"/>
                <w:color w:val="auto"/>
                <w:sz w:val="24"/>
                <w:highlight w:val="none"/>
                <w:lang w:val="zh-CN"/>
              </w:rPr>
              <w:t>。</w:t>
            </w:r>
          </w:p>
          <w:p w14:paraId="62BAA629">
            <w:pPr>
              <w:pStyle w:val="54"/>
              <w:adjustRightInd w:val="0"/>
              <w:snapToGrid w:val="0"/>
              <w:rPr>
                <w:rStyle w:val="51"/>
                <w:rFonts w:hint="default" w:ascii="Times New Roman" w:hAnsi="Times New Roman" w:eastAsia="宋体" w:cs="Times New Roman"/>
                <w:b/>
                <w:color w:val="auto"/>
                <w:szCs w:val="21"/>
                <w:highlight w:val="none"/>
              </w:rPr>
            </w:pPr>
            <w:r>
              <w:rPr>
                <w:rStyle w:val="51"/>
                <w:rFonts w:hint="default" w:ascii="Times New Roman" w:hAnsi="Times New Roman" w:eastAsia="宋体" w:cs="Times New Roman"/>
                <w:b/>
                <w:color w:val="auto"/>
                <w:szCs w:val="21"/>
                <w:highlight w:val="none"/>
              </w:rPr>
              <w:t>表4-</w:t>
            </w:r>
            <w:r>
              <w:rPr>
                <w:rStyle w:val="51"/>
                <w:rFonts w:hint="eastAsia" w:cs="Times New Roman"/>
                <w:b/>
                <w:color w:val="auto"/>
                <w:szCs w:val="21"/>
                <w:highlight w:val="none"/>
                <w:lang w:val="en-US" w:eastAsia="zh-CN"/>
              </w:rPr>
              <w:t>38</w:t>
            </w:r>
            <w:r>
              <w:rPr>
                <w:rStyle w:val="51"/>
                <w:rFonts w:hint="default" w:ascii="Times New Roman" w:hAnsi="Times New Roman" w:eastAsia="宋体" w:cs="Times New Roman"/>
                <w:b/>
                <w:color w:val="auto"/>
                <w:szCs w:val="21"/>
                <w:highlight w:val="none"/>
              </w:rPr>
              <w:t xml:space="preserve">  项目土壤、地下水环境影响类型与影响途径识别表</w:t>
            </w:r>
          </w:p>
          <w:tbl>
            <w:tblPr>
              <w:tblStyle w:val="28"/>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484"/>
              <w:gridCol w:w="1724"/>
              <w:gridCol w:w="1760"/>
              <w:gridCol w:w="1557"/>
            </w:tblGrid>
            <w:tr w14:paraId="2136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restart"/>
                  <w:vAlign w:val="center"/>
                </w:tcPr>
                <w:p w14:paraId="09D23885">
                  <w:pPr>
                    <w:pStyle w:val="54"/>
                    <w:adjustRightInd w:val="0"/>
                    <w:snapToGrid w:val="0"/>
                    <w:rPr>
                      <w:rStyle w:val="51"/>
                      <w:rFonts w:hint="default" w:ascii="Times New Roman" w:hAnsi="Times New Roman" w:eastAsia="宋体" w:cs="Times New Roman"/>
                      <w:b/>
                      <w:color w:val="auto"/>
                      <w:szCs w:val="21"/>
                      <w:highlight w:val="none"/>
                    </w:rPr>
                  </w:pPr>
                  <w:r>
                    <w:rPr>
                      <w:rStyle w:val="51"/>
                      <w:rFonts w:hint="default" w:ascii="Times New Roman" w:hAnsi="Times New Roman" w:eastAsia="宋体" w:cs="Times New Roman"/>
                      <w:b/>
                      <w:color w:val="auto"/>
                      <w:szCs w:val="21"/>
                      <w:highlight w:val="none"/>
                    </w:rPr>
                    <w:t>时段</w:t>
                  </w:r>
                </w:p>
              </w:tc>
              <w:tc>
                <w:tcPr>
                  <w:tcW w:w="6525" w:type="dxa"/>
                  <w:gridSpan w:val="4"/>
                  <w:vAlign w:val="center"/>
                </w:tcPr>
                <w:p w14:paraId="72300490">
                  <w:pPr>
                    <w:pStyle w:val="54"/>
                    <w:adjustRightInd w:val="0"/>
                    <w:snapToGrid w:val="0"/>
                    <w:rPr>
                      <w:rStyle w:val="51"/>
                      <w:rFonts w:hint="default" w:ascii="Times New Roman" w:hAnsi="Times New Roman" w:eastAsia="宋体" w:cs="Times New Roman"/>
                      <w:b/>
                      <w:color w:val="auto"/>
                      <w:szCs w:val="21"/>
                      <w:highlight w:val="none"/>
                    </w:rPr>
                  </w:pPr>
                  <w:r>
                    <w:rPr>
                      <w:rStyle w:val="51"/>
                      <w:rFonts w:hint="default" w:ascii="Times New Roman" w:hAnsi="Times New Roman" w:eastAsia="宋体" w:cs="Times New Roman"/>
                      <w:b/>
                      <w:color w:val="auto"/>
                      <w:szCs w:val="21"/>
                      <w:highlight w:val="none"/>
                    </w:rPr>
                    <w:t>污染影响类型</w:t>
                  </w:r>
                </w:p>
              </w:tc>
            </w:tr>
            <w:tr w14:paraId="11E1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continue"/>
                  <w:vAlign w:val="center"/>
                </w:tcPr>
                <w:p w14:paraId="3A8542F9">
                  <w:pPr>
                    <w:pStyle w:val="54"/>
                    <w:adjustRightInd w:val="0"/>
                    <w:snapToGrid w:val="0"/>
                    <w:rPr>
                      <w:rStyle w:val="51"/>
                      <w:rFonts w:hint="default" w:ascii="Times New Roman" w:hAnsi="Times New Roman" w:eastAsia="宋体" w:cs="Times New Roman"/>
                      <w:bCs/>
                      <w:color w:val="auto"/>
                      <w:szCs w:val="21"/>
                      <w:highlight w:val="none"/>
                    </w:rPr>
                  </w:pPr>
                </w:p>
              </w:tc>
              <w:tc>
                <w:tcPr>
                  <w:tcW w:w="1484" w:type="dxa"/>
                  <w:vAlign w:val="center"/>
                </w:tcPr>
                <w:p w14:paraId="2901AA32">
                  <w:pPr>
                    <w:pStyle w:val="54"/>
                    <w:adjustRightInd w:val="0"/>
                    <w:snapToGrid w:val="0"/>
                    <w:rPr>
                      <w:rStyle w:val="51"/>
                      <w:rFonts w:hint="default" w:ascii="Times New Roman" w:hAnsi="Times New Roman" w:eastAsia="宋体" w:cs="Times New Roman"/>
                      <w:bCs/>
                      <w:color w:val="auto"/>
                      <w:szCs w:val="21"/>
                      <w:highlight w:val="none"/>
                    </w:rPr>
                  </w:pPr>
                  <w:r>
                    <w:rPr>
                      <w:rStyle w:val="51"/>
                      <w:rFonts w:hint="default" w:ascii="Times New Roman" w:hAnsi="Times New Roman" w:eastAsia="宋体" w:cs="Times New Roman"/>
                      <w:bCs/>
                      <w:color w:val="auto"/>
                      <w:szCs w:val="21"/>
                      <w:highlight w:val="none"/>
                    </w:rPr>
                    <w:t>大气沉降</w:t>
                  </w:r>
                </w:p>
              </w:tc>
              <w:tc>
                <w:tcPr>
                  <w:tcW w:w="1724" w:type="dxa"/>
                  <w:vAlign w:val="center"/>
                </w:tcPr>
                <w:p w14:paraId="2FE78269">
                  <w:pPr>
                    <w:pStyle w:val="54"/>
                    <w:adjustRightInd w:val="0"/>
                    <w:snapToGrid w:val="0"/>
                    <w:rPr>
                      <w:rStyle w:val="51"/>
                      <w:rFonts w:hint="default" w:ascii="Times New Roman" w:hAnsi="Times New Roman" w:eastAsia="宋体" w:cs="Times New Roman"/>
                      <w:bCs/>
                      <w:color w:val="auto"/>
                      <w:szCs w:val="21"/>
                      <w:highlight w:val="none"/>
                    </w:rPr>
                  </w:pPr>
                  <w:r>
                    <w:rPr>
                      <w:rStyle w:val="51"/>
                      <w:rFonts w:hint="default" w:ascii="Times New Roman" w:hAnsi="Times New Roman" w:eastAsia="宋体" w:cs="Times New Roman"/>
                      <w:bCs/>
                      <w:color w:val="auto"/>
                      <w:szCs w:val="21"/>
                      <w:highlight w:val="none"/>
                    </w:rPr>
                    <w:t>地面漫流</w:t>
                  </w:r>
                </w:p>
              </w:tc>
              <w:tc>
                <w:tcPr>
                  <w:tcW w:w="1760" w:type="dxa"/>
                  <w:vAlign w:val="center"/>
                </w:tcPr>
                <w:p w14:paraId="50BB3C16">
                  <w:pPr>
                    <w:pStyle w:val="54"/>
                    <w:adjustRightInd w:val="0"/>
                    <w:snapToGrid w:val="0"/>
                    <w:rPr>
                      <w:rStyle w:val="51"/>
                      <w:rFonts w:hint="default" w:ascii="Times New Roman" w:hAnsi="Times New Roman" w:eastAsia="宋体" w:cs="Times New Roman"/>
                      <w:bCs/>
                      <w:color w:val="auto"/>
                      <w:szCs w:val="21"/>
                      <w:highlight w:val="none"/>
                    </w:rPr>
                  </w:pPr>
                  <w:r>
                    <w:rPr>
                      <w:rStyle w:val="51"/>
                      <w:rFonts w:hint="default" w:ascii="Times New Roman" w:hAnsi="Times New Roman" w:eastAsia="宋体" w:cs="Times New Roman"/>
                      <w:bCs/>
                      <w:color w:val="auto"/>
                      <w:szCs w:val="21"/>
                      <w:highlight w:val="none"/>
                    </w:rPr>
                    <w:t>垂直入渗</w:t>
                  </w:r>
                </w:p>
              </w:tc>
              <w:tc>
                <w:tcPr>
                  <w:tcW w:w="1557" w:type="dxa"/>
                  <w:vAlign w:val="center"/>
                </w:tcPr>
                <w:p w14:paraId="7DBCCB7F">
                  <w:pPr>
                    <w:pStyle w:val="54"/>
                    <w:adjustRightInd w:val="0"/>
                    <w:snapToGrid w:val="0"/>
                    <w:rPr>
                      <w:rStyle w:val="51"/>
                      <w:rFonts w:hint="default" w:ascii="Times New Roman" w:hAnsi="Times New Roman" w:eastAsia="宋体" w:cs="Times New Roman"/>
                      <w:bCs/>
                      <w:color w:val="auto"/>
                      <w:szCs w:val="21"/>
                      <w:highlight w:val="none"/>
                    </w:rPr>
                  </w:pPr>
                  <w:r>
                    <w:rPr>
                      <w:rStyle w:val="51"/>
                      <w:rFonts w:hint="default" w:ascii="Times New Roman" w:hAnsi="Times New Roman" w:eastAsia="宋体" w:cs="Times New Roman"/>
                      <w:bCs/>
                      <w:color w:val="auto"/>
                      <w:szCs w:val="21"/>
                      <w:highlight w:val="none"/>
                    </w:rPr>
                    <w:t>其他</w:t>
                  </w:r>
                </w:p>
              </w:tc>
            </w:tr>
            <w:tr w14:paraId="3C0A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14:paraId="230E81DD">
                  <w:pPr>
                    <w:pStyle w:val="54"/>
                    <w:adjustRightInd w:val="0"/>
                    <w:snapToGrid w:val="0"/>
                    <w:rPr>
                      <w:rStyle w:val="51"/>
                      <w:rFonts w:hint="default" w:ascii="Times New Roman" w:hAnsi="Times New Roman" w:eastAsia="宋体" w:cs="Times New Roman"/>
                      <w:bCs/>
                      <w:color w:val="auto"/>
                      <w:szCs w:val="21"/>
                      <w:highlight w:val="none"/>
                    </w:rPr>
                  </w:pPr>
                  <w:r>
                    <w:rPr>
                      <w:rStyle w:val="51"/>
                      <w:rFonts w:hint="default" w:ascii="Times New Roman" w:hAnsi="Times New Roman" w:eastAsia="宋体" w:cs="Times New Roman"/>
                      <w:bCs/>
                      <w:color w:val="auto"/>
                      <w:szCs w:val="21"/>
                      <w:highlight w:val="none"/>
                    </w:rPr>
                    <w:t>运营期</w:t>
                  </w:r>
                </w:p>
              </w:tc>
              <w:tc>
                <w:tcPr>
                  <w:tcW w:w="1484" w:type="dxa"/>
                  <w:vAlign w:val="center"/>
                </w:tcPr>
                <w:p w14:paraId="47EDCA07">
                  <w:pPr>
                    <w:pStyle w:val="54"/>
                    <w:adjustRightInd w:val="0"/>
                    <w:snapToGrid w:val="0"/>
                    <w:rPr>
                      <w:rStyle w:val="51"/>
                      <w:rFonts w:hint="default" w:ascii="Times New Roman" w:hAnsi="Times New Roman" w:eastAsia="宋体" w:cs="Times New Roman"/>
                      <w:bCs/>
                      <w:color w:val="auto"/>
                      <w:szCs w:val="21"/>
                      <w:highlight w:val="none"/>
                    </w:rPr>
                  </w:pPr>
                  <w:r>
                    <w:rPr>
                      <w:rStyle w:val="51"/>
                      <w:rFonts w:hint="default" w:ascii="Times New Roman" w:hAnsi="Times New Roman" w:eastAsia="宋体" w:cs="Times New Roman"/>
                      <w:bCs/>
                      <w:color w:val="auto"/>
                      <w:szCs w:val="21"/>
                      <w:highlight w:val="none"/>
                    </w:rPr>
                    <w:t>/</w:t>
                  </w:r>
                </w:p>
              </w:tc>
              <w:tc>
                <w:tcPr>
                  <w:tcW w:w="1724" w:type="dxa"/>
                  <w:vAlign w:val="center"/>
                </w:tcPr>
                <w:p w14:paraId="5384E165">
                  <w:pPr>
                    <w:pStyle w:val="54"/>
                    <w:adjustRightInd w:val="0"/>
                    <w:snapToGrid w:val="0"/>
                    <w:rPr>
                      <w:rStyle w:val="51"/>
                      <w:rFonts w:hint="default" w:ascii="Times New Roman" w:hAnsi="Times New Roman" w:eastAsia="宋体" w:cs="Times New Roman"/>
                      <w:bCs/>
                      <w:color w:val="auto"/>
                      <w:szCs w:val="21"/>
                      <w:highlight w:val="none"/>
                    </w:rPr>
                  </w:pPr>
                  <w:r>
                    <w:rPr>
                      <w:rStyle w:val="51"/>
                      <w:rFonts w:hint="default" w:ascii="Times New Roman" w:hAnsi="Times New Roman" w:eastAsia="宋体" w:cs="Times New Roman"/>
                      <w:bCs/>
                      <w:color w:val="auto"/>
                      <w:szCs w:val="21"/>
                      <w:highlight w:val="none"/>
                    </w:rPr>
                    <w:t>√</w:t>
                  </w:r>
                </w:p>
              </w:tc>
              <w:tc>
                <w:tcPr>
                  <w:tcW w:w="1760" w:type="dxa"/>
                  <w:vAlign w:val="center"/>
                </w:tcPr>
                <w:p w14:paraId="4CD7C104">
                  <w:pPr>
                    <w:pStyle w:val="54"/>
                    <w:adjustRightInd w:val="0"/>
                    <w:snapToGrid w:val="0"/>
                    <w:rPr>
                      <w:rStyle w:val="51"/>
                      <w:rFonts w:hint="default" w:ascii="Times New Roman" w:hAnsi="Times New Roman" w:eastAsia="宋体" w:cs="Times New Roman"/>
                      <w:bCs/>
                      <w:color w:val="auto"/>
                      <w:szCs w:val="21"/>
                      <w:highlight w:val="none"/>
                    </w:rPr>
                  </w:pPr>
                  <w:r>
                    <w:rPr>
                      <w:rStyle w:val="51"/>
                      <w:rFonts w:hint="default" w:ascii="Times New Roman" w:hAnsi="Times New Roman" w:eastAsia="宋体" w:cs="Times New Roman"/>
                      <w:bCs/>
                      <w:color w:val="auto"/>
                      <w:szCs w:val="21"/>
                      <w:highlight w:val="none"/>
                    </w:rPr>
                    <w:t>√</w:t>
                  </w:r>
                </w:p>
              </w:tc>
              <w:tc>
                <w:tcPr>
                  <w:tcW w:w="1557" w:type="dxa"/>
                  <w:vAlign w:val="center"/>
                </w:tcPr>
                <w:p w14:paraId="3F350246">
                  <w:pPr>
                    <w:pStyle w:val="54"/>
                    <w:adjustRightInd w:val="0"/>
                    <w:snapToGrid w:val="0"/>
                    <w:rPr>
                      <w:rStyle w:val="51"/>
                      <w:rFonts w:hint="default" w:ascii="Times New Roman" w:hAnsi="Times New Roman" w:eastAsia="宋体" w:cs="Times New Roman"/>
                      <w:bCs/>
                      <w:color w:val="auto"/>
                      <w:szCs w:val="21"/>
                      <w:highlight w:val="none"/>
                    </w:rPr>
                  </w:pPr>
                  <w:r>
                    <w:rPr>
                      <w:rStyle w:val="51"/>
                      <w:rFonts w:hint="default" w:ascii="Times New Roman" w:hAnsi="Times New Roman" w:eastAsia="宋体" w:cs="Times New Roman"/>
                      <w:bCs/>
                      <w:color w:val="auto"/>
                      <w:szCs w:val="21"/>
                      <w:highlight w:val="none"/>
                    </w:rPr>
                    <w:t>/</w:t>
                  </w:r>
                </w:p>
              </w:tc>
            </w:tr>
          </w:tbl>
          <w:p w14:paraId="40761470">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2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w:t>
            </w:r>
            <w:r>
              <w:rPr>
                <w:rFonts w:hint="default" w:ascii="Times New Roman" w:hAnsi="Times New Roman" w:eastAsia="宋体" w:cs="Times New Roman"/>
                <w:color w:val="auto"/>
                <w:sz w:val="24"/>
                <w:highlight w:val="none"/>
              </w:rPr>
              <w:t>源及影响因子</w:t>
            </w:r>
          </w:p>
          <w:p w14:paraId="6175E60A">
            <w:pPr>
              <w:adjustRightInd w:val="0"/>
              <w:snapToGrid w:val="0"/>
              <w:spacing w:line="360" w:lineRule="auto"/>
              <w:ind w:firstLine="480" w:firstLineChars="200"/>
              <w:rPr>
                <w:rStyle w:val="51"/>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 w:val="24"/>
                <w:highlight w:val="none"/>
              </w:rPr>
              <w:t>项目对</w:t>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w:t>
            </w:r>
            <w:r>
              <w:rPr>
                <w:rFonts w:hint="default"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lang w:val="zh-CN"/>
              </w:rPr>
              <w:t>影响</w:t>
            </w:r>
            <w:r>
              <w:rPr>
                <w:rFonts w:hint="default" w:ascii="Times New Roman" w:hAnsi="Times New Roman" w:eastAsia="宋体" w:cs="Times New Roman"/>
                <w:color w:val="auto"/>
                <w:sz w:val="24"/>
                <w:highlight w:val="none"/>
              </w:rPr>
              <w:t>源及影响因子</w:t>
            </w:r>
            <w:r>
              <w:rPr>
                <w:rFonts w:hint="default" w:ascii="Times New Roman" w:hAnsi="Times New Roman" w:eastAsia="宋体" w:cs="Times New Roman"/>
                <w:color w:val="auto"/>
                <w:sz w:val="24"/>
                <w:highlight w:val="none"/>
                <w:lang w:val="zh-CN"/>
              </w:rPr>
              <w:t>见表4-</w:t>
            </w:r>
            <w:r>
              <w:rPr>
                <w:rFonts w:hint="eastAsia" w:cs="Times New Roman"/>
                <w:color w:val="auto"/>
                <w:sz w:val="24"/>
                <w:highlight w:val="none"/>
                <w:lang w:val="en-US" w:eastAsia="zh-CN"/>
              </w:rPr>
              <w:t>39</w:t>
            </w:r>
            <w:r>
              <w:rPr>
                <w:rFonts w:hint="default" w:ascii="Times New Roman" w:hAnsi="Times New Roman" w:eastAsia="宋体" w:cs="Times New Roman"/>
                <w:color w:val="auto"/>
                <w:sz w:val="24"/>
                <w:highlight w:val="none"/>
                <w:lang w:val="zh-CN"/>
              </w:rPr>
              <w:t>。</w:t>
            </w:r>
          </w:p>
          <w:p w14:paraId="076FB5CD">
            <w:pPr>
              <w:pStyle w:val="54"/>
              <w:adjustRightInd w:val="0"/>
              <w:snapToGrid w:val="0"/>
              <w:rPr>
                <w:rStyle w:val="51"/>
                <w:rFonts w:hint="default" w:ascii="Times New Roman" w:hAnsi="Times New Roman" w:eastAsia="宋体" w:cs="Times New Roman"/>
                <w:b/>
                <w:color w:val="auto"/>
                <w:szCs w:val="21"/>
                <w:highlight w:val="none"/>
              </w:rPr>
            </w:pPr>
            <w:r>
              <w:rPr>
                <w:rStyle w:val="51"/>
                <w:rFonts w:hint="default" w:ascii="Times New Roman" w:hAnsi="Times New Roman" w:eastAsia="宋体" w:cs="Times New Roman"/>
                <w:b/>
                <w:color w:val="auto"/>
                <w:szCs w:val="21"/>
                <w:highlight w:val="none"/>
              </w:rPr>
              <w:t>表4-</w:t>
            </w:r>
            <w:r>
              <w:rPr>
                <w:rStyle w:val="51"/>
                <w:rFonts w:hint="eastAsia" w:cs="Times New Roman"/>
                <w:b/>
                <w:color w:val="auto"/>
                <w:szCs w:val="21"/>
                <w:highlight w:val="none"/>
                <w:lang w:val="en-US" w:eastAsia="zh-CN"/>
              </w:rPr>
              <w:t>39</w:t>
            </w:r>
            <w:r>
              <w:rPr>
                <w:rStyle w:val="51"/>
                <w:rFonts w:hint="default" w:ascii="Times New Roman" w:hAnsi="Times New Roman" w:eastAsia="宋体" w:cs="Times New Roman"/>
                <w:b/>
                <w:color w:val="auto"/>
                <w:szCs w:val="21"/>
                <w:highlight w:val="none"/>
              </w:rPr>
              <w:t xml:space="preserve">  项目土壤、地下水环境影响源及影响因子识别表</w:t>
            </w:r>
          </w:p>
          <w:tbl>
            <w:tblPr>
              <w:tblStyle w:val="28"/>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605"/>
              <w:gridCol w:w="1260"/>
              <w:gridCol w:w="1395"/>
              <w:gridCol w:w="2779"/>
            </w:tblGrid>
            <w:tr w14:paraId="59AE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14:paraId="1714D9A8">
                  <w:pPr>
                    <w:pStyle w:val="54"/>
                    <w:adjustRightInd w:val="0"/>
                    <w:snapToGrid w:val="0"/>
                    <w:rPr>
                      <w:rStyle w:val="51"/>
                      <w:rFonts w:hint="default" w:ascii="Times New Roman" w:hAnsi="Times New Roman" w:eastAsia="宋体" w:cs="Times New Roman"/>
                      <w:b/>
                      <w:color w:val="auto"/>
                      <w:szCs w:val="21"/>
                      <w:highlight w:val="none"/>
                    </w:rPr>
                  </w:pPr>
                  <w:r>
                    <w:rPr>
                      <w:rStyle w:val="51"/>
                      <w:rFonts w:hint="default" w:ascii="Times New Roman" w:hAnsi="Times New Roman" w:eastAsia="宋体" w:cs="Times New Roman"/>
                      <w:b/>
                      <w:color w:val="auto"/>
                      <w:szCs w:val="21"/>
                      <w:highlight w:val="none"/>
                    </w:rPr>
                    <w:t>污染源</w:t>
                  </w:r>
                </w:p>
              </w:tc>
              <w:tc>
                <w:tcPr>
                  <w:tcW w:w="1605" w:type="dxa"/>
                  <w:vAlign w:val="center"/>
                </w:tcPr>
                <w:p w14:paraId="5B2FD867">
                  <w:pPr>
                    <w:pStyle w:val="54"/>
                    <w:adjustRightInd w:val="0"/>
                    <w:snapToGrid w:val="0"/>
                    <w:rPr>
                      <w:rStyle w:val="51"/>
                      <w:rFonts w:hint="default" w:ascii="Times New Roman" w:hAnsi="Times New Roman" w:eastAsia="宋体" w:cs="Times New Roman"/>
                      <w:b/>
                      <w:color w:val="auto"/>
                      <w:szCs w:val="21"/>
                      <w:highlight w:val="none"/>
                    </w:rPr>
                  </w:pPr>
                  <w:r>
                    <w:rPr>
                      <w:rStyle w:val="51"/>
                      <w:rFonts w:hint="default" w:ascii="Times New Roman" w:hAnsi="Times New Roman" w:eastAsia="宋体" w:cs="Times New Roman"/>
                      <w:b/>
                      <w:color w:val="auto"/>
                      <w:szCs w:val="21"/>
                      <w:highlight w:val="none"/>
                    </w:rPr>
                    <w:t>工艺流程/环节</w:t>
                  </w:r>
                </w:p>
              </w:tc>
              <w:tc>
                <w:tcPr>
                  <w:tcW w:w="1260" w:type="dxa"/>
                  <w:vAlign w:val="center"/>
                </w:tcPr>
                <w:p w14:paraId="50D80EFA">
                  <w:pPr>
                    <w:pStyle w:val="54"/>
                    <w:adjustRightInd w:val="0"/>
                    <w:snapToGrid w:val="0"/>
                    <w:rPr>
                      <w:rStyle w:val="51"/>
                      <w:rFonts w:hint="default" w:ascii="Times New Roman" w:hAnsi="Times New Roman" w:eastAsia="宋体" w:cs="Times New Roman"/>
                      <w:b/>
                      <w:color w:val="auto"/>
                      <w:szCs w:val="21"/>
                      <w:highlight w:val="none"/>
                    </w:rPr>
                  </w:pPr>
                  <w:r>
                    <w:rPr>
                      <w:rStyle w:val="51"/>
                      <w:rFonts w:hint="default" w:ascii="Times New Roman" w:hAnsi="Times New Roman" w:eastAsia="宋体" w:cs="Times New Roman"/>
                      <w:b/>
                      <w:color w:val="auto"/>
                      <w:szCs w:val="21"/>
                      <w:highlight w:val="none"/>
                    </w:rPr>
                    <w:t>污染途径</w:t>
                  </w:r>
                </w:p>
              </w:tc>
              <w:tc>
                <w:tcPr>
                  <w:tcW w:w="1395" w:type="dxa"/>
                  <w:vAlign w:val="center"/>
                </w:tcPr>
                <w:p w14:paraId="6A43E0D8">
                  <w:pPr>
                    <w:pStyle w:val="54"/>
                    <w:adjustRightInd w:val="0"/>
                    <w:snapToGrid w:val="0"/>
                    <w:rPr>
                      <w:rStyle w:val="51"/>
                      <w:rFonts w:hint="default" w:ascii="Times New Roman" w:hAnsi="Times New Roman" w:eastAsia="宋体" w:cs="Times New Roman"/>
                      <w:b/>
                      <w:color w:val="auto"/>
                      <w:szCs w:val="21"/>
                      <w:highlight w:val="none"/>
                    </w:rPr>
                  </w:pPr>
                  <w:r>
                    <w:rPr>
                      <w:rStyle w:val="51"/>
                      <w:rFonts w:hint="default" w:ascii="Times New Roman" w:hAnsi="Times New Roman" w:eastAsia="宋体" w:cs="Times New Roman"/>
                      <w:b/>
                      <w:color w:val="auto"/>
                      <w:szCs w:val="21"/>
                      <w:highlight w:val="none"/>
                    </w:rPr>
                    <w:t>污染物</w:t>
                  </w:r>
                </w:p>
              </w:tc>
              <w:tc>
                <w:tcPr>
                  <w:tcW w:w="2779" w:type="dxa"/>
                  <w:vAlign w:val="center"/>
                </w:tcPr>
                <w:p w14:paraId="3F4F4780">
                  <w:pPr>
                    <w:pStyle w:val="54"/>
                    <w:adjustRightInd w:val="0"/>
                    <w:snapToGrid w:val="0"/>
                    <w:rPr>
                      <w:rStyle w:val="51"/>
                      <w:rFonts w:hint="default" w:ascii="Times New Roman" w:hAnsi="Times New Roman" w:eastAsia="宋体" w:cs="Times New Roman"/>
                      <w:b/>
                      <w:color w:val="auto"/>
                      <w:szCs w:val="21"/>
                      <w:highlight w:val="none"/>
                    </w:rPr>
                  </w:pPr>
                  <w:r>
                    <w:rPr>
                      <w:rStyle w:val="51"/>
                      <w:rFonts w:hint="default" w:ascii="Times New Roman" w:hAnsi="Times New Roman" w:eastAsia="宋体" w:cs="Times New Roman"/>
                      <w:b/>
                      <w:color w:val="auto"/>
                      <w:szCs w:val="21"/>
                      <w:highlight w:val="none"/>
                    </w:rPr>
                    <w:t>备注</w:t>
                  </w:r>
                </w:p>
              </w:tc>
            </w:tr>
            <w:tr w14:paraId="5128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14:paraId="03CD4E60">
                  <w:pPr>
                    <w:pStyle w:val="54"/>
                    <w:adjustRightInd w:val="0"/>
                    <w:snapToGrid w:val="0"/>
                    <w:rPr>
                      <w:rStyle w:val="51"/>
                      <w:rFonts w:hint="default" w:ascii="Times New Roman" w:hAnsi="Times New Roman" w:eastAsia="宋体" w:cs="Times New Roman"/>
                      <w:bCs/>
                      <w:color w:val="auto"/>
                      <w:szCs w:val="21"/>
                      <w:highlight w:val="none"/>
                    </w:rPr>
                  </w:pPr>
                  <w:r>
                    <w:rPr>
                      <w:rStyle w:val="51"/>
                      <w:rFonts w:hint="default" w:ascii="Times New Roman" w:hAnsi="Times New Roman" w:eastAsia="宋体" w:cs="Times New Roman"/>
                      <w:bCs/>
                      <w:color w:val="auto"/>
                      <w:szCs w:val="21"/>
                      <w:highlight w:val="none"/>
                    </w:rPr>
                    <w:t>危险废物暂存间</w:t>
                  </w:r>
                </w:p>
              </w:tc>
              <w:tc>
                <w:tcPr>
                  <w:tcW w:w="1605" w:type="dxa"/>
                  <w:vAlign w:val="center"/>
                </w:tcPr>
                <w:p w14:paraId="0A80B771">
                  <w:pPr>
                    <w:pStyle w:val="54"/>
                    <w:adjustRightInd w:val="0"/>
                    <w:snapToGrid w:val="0"/>
                    <w:rPr>
                      <w:rStyle w:val="51"/>
                      <w:rFonts w:hint="default" w:ascii="Times New Roman" w:hAnsi="Times New Roman" w:eastAsia="宋体" w:cs="Times New Roman"/>
                      <w:bCs/>
                      <w:color w:val="auto"/>
                      <w:szCs w:val="21"/>
                      <w:highlight w:val="none"/>
                    </w:rPr>
                  </w:pPr>
                  <w:r>
                    <w:rPr>
                      <w:rStyle w:val="51"/>
                      <w:rFonts w:hint="default" w:ascii="Times New Roman" w:hAnsi="Times New Roman" w:eastAsia="宋体" w:cs="Times New Roman"/>
                      <w:bCs/>
                      <w:color w:val="auto"/>
                      <w:szCs w:val="21"/>
                      <w:highlight w:val="none"/>
                    </w:rPr>
                    <w:t>危险废物暂存</w:t>
                  </w:r>
                </w:p>
              </w:tc>
              <w:tc>
                <w:tcPr>
                  <w:tcW w:w="1260" w:type="dxa"/>
                  <w:vAlign w:val="center"/>
                </w:tcPr>
                <w:p w14:paraId="0BAC1BA3">
                  <w:pPr>
                    <w:pStyle w:val="54"/>
                    <w:adjustRightInd w:val="0"/>
                    <w:snapToGrid w:val="0"/>
                    <w:rPr>
                      <w:rStyle w:val="51"/>
                      <w:rFonts w:hint="default" w:ascii="Times New Roman" w:hAnsi="Times New Roman" w:eastAsia="宋体" w:cs="Times New Roman"/>
                      <w:bCs/>
                      <w:color w:val="auto"/>
                      <w:szCs w:val="21"/>
                      <w:highlight w:val="none"/>
                    </w:rPr>
                  </w:pPr>
                  <w:r>
                    <w:rPr>
                      <w:rStyle w:val="51"/>
                      <w:rFonts w:hint="default" w:ascii="Times New Roman" w:hAnsi="Times New Roman" w:eastAsia="宋体" w:cs="Times New Roman"/>
                      <w:bCs/>
                      <w:color w:val="auto"/>
                      <w:szCs w:val="21"/>
                      <w:highlight w:val="none"/>
                    </w:rPr>
                    <w:t>垂直入渗</w:t>
                  </w:r>
                </w:p>
              </w:tc>
              <w:tc>
                <w:tcPr>
                  <w:tcW w:w="1395" w:type="dxa"/>
                  <w:vAlign w:val="center"/>
                </w:tcPr>
                <w:p w14:paraId="679F3FEB">
                  <w:pPr>
                    <w:pStyle w:val="54"/>
                    <w:adjustRightInd w:val="0"/>
                    <w:snapToGrid w:val="0"/>
                    <w:rPr>
                      <w:rStyle w:val="51"/>
                      <w:rFonts w:hint="eastAsia" w:ascii="Times New Roman" w:hAnsi="Times New Roman" w:eastAsia="宋体" w:cs="Times New Roman"/>
                      <w:bCs/>
                      <w:color w:val="auto"/>
                      <w:szCs w:val="21"/>
                      <w:highlight w:val="none"/>
                      <w:lang w:eastAsia="zh-CN"/>
                    </w:rPr>
                  </w:pPr>
                  <w:r>
                    <w:rPr>
                      <w:rStyle w:val="51"/>
                      <w:rFonts w:hint="default" w:ascii="Times New Roman" w:hAnsi="Times New Roman" w:eastAsia="宋体" w:cs="Times New Roman"/>
                      <w:bCs/>
                      <w:color w:val="auto"/>
                      <w:szCs w:val="21"/>
                      <w:highlight w:val="none"/>
                    </w:rPr>
                    <w:t>废</w:t>
                  </w:r>
                  <w:r>
                    <w:rPr>
                      <w:rStyle w:val="51"/>
                      <w:rFonts w:hint="eastAsia" w:cs="Times New Roman"/>
                      <w:bCs/>
                      <w:color w:val="auto"/>
                      <w:szCs w:val="21"/>
                      <w:highlight w:val="none"/>
                      <w:lang w:eastAsia="zh-CN"/>
                    </w:rPr>
                    <w:t>机</w:t>
                  </w:r>
                  <w:r>
                    <w:rPr>
                      <w:rStyle w:val="51"/>
                      <w:rFonts w:hint="default" w:ascii="Times New Roman" w:hAnsi="Times New Roman" w:eastAsia="宋体" w:cs="Times New Roman"/>
                      <w:bCs/>
                      <w:color w:val="auto"/>
                      <w:szCs w:val="21"/>
                      <w:highlight w:val="none"/>
                    </w:rPr>
                    <w:t>油</w:t>
                  </w:r>
                  <w:r>
                    <w:rPr>
                      <w:rStyle w:val="51"/>
                      <w:rFonts w:hint="eastAsia" w:cs="Times New Roman"/>
                      <w:bCs/>
                      <w:color w:val="auto"/>
                      <w:szCs w:val="21"/>
                      <w:highlight w:val="none"/>
                      <w:lang w:eastAsia="zh-CN"/>
                    </w:rPr>
                    <w:t>、废液压油、废液</w:t>
                  </w:r>
                </w:p>
              </w:tc>
              <w:tc>
                <w:tcPr>
                  <w:tcW w:w="2779" w:type="dxa"/>
                  <w:vAlign w:val="center"/>
                </w:tcPr>
                <w:p w14:paraId="6B5F3919">
                  <w:pPr>
                    <w:pStyle w:val="54"/>
                    <w:adjustRightInd w:val="0"/>
                    <w:snapToGrid w:val="0"/>
                    <w:rPr>
                      <w:rStyle w:val="51"/>
                      <w:rFonts w:hint="default" w:ascii="Times New Roman" w:hAnsi="Times New Roman" w:eastAsia="宋体" w:cs="Times New Roman"/>
                      <w:bCs/>
                      <w:color w:val="auto"/>
                      <w:szCs w:val="21"/>
                      <w:highlight w:val="none"/>
                    </w:rPr>
                  </w:pPr>
                  <w:r>
                    <w:rPr>
                      <w:rStyle w:val="51"/>
                      <w:rFonts w:hint="default" w:ascii="Times New Roman" w:hAnsi="Times New Roman" w:eastAsia="宋体" w:cs="Times New Roman"/>
                      <w:bCs/>
                      <w:color w:val="auto"/>
                      <w:szCs w:val="21"/>
                      <w:highlight w:val="none"/>
                    </w:rPr>
                    <w:t>危废收集容器损坏，废</w:t>
                  </w:r>
                  <w:r>
                    <w:rPr>
                      <w:rStyle w:val="51"/>
                      <w:rFonts w:hint="eastAsia" w:cs="Times New Roman"/>
                      <w:bCs/>
                      <w:color w:val="auto"/>
                      <w:szCs w:val="21"/>
                      <w:highlight w:val="none"/>
                      <w:lang w:eastAsia="zh-CN"/>
                    </w:rPr>
                    <w:t>机油、废液压油、废液</w:t>
                  </w:r>
                  <w:r>
                    <w:rPr>
                      <w:rStyle w:val="51"/>
                      <w:rFonts w:hint="default" w:ascii="Times New Roman" w:hAnsi="Times New Roman" w:eastAsia="宋体" w:cs="Times New Roman"/>
                      <w:bCs/>
                      <w:color w:val="auto"/>
                      <w:szCs w:val="21"/>
                      <w:highlight w:val="none"/>
                    </w:rPr>
                    <w:t>泄漏渗入土壤</w:t>
                  </w:r>
                  <w:r>
                    <w:rPr>
                      <w:rStyle w:val="51"/>
                      <w:rFonts w:hint="eastAsia" w:cs="Times New Roman"/>
                      <w:bCs/>
                      <w:color w:val="auto"/>
                      <w:szCs w:val="21"/>
                      <w:highlight w:val="none"/>
                      <w:lang w:eastAsia="zh-CN"/>
                    </w:rPr>
                    <w:t>、地下水</w:t>
                  </w:r>
                  <w:r>
                    <w:rPr>
                      <w:rStyle w:val="51"/>
                      <w:rFonts w:hint="default" w:ascii="Times New Roman" w:hAnsi="Times New Roman" w:eastAsia="宋体" w:cs="Times New Roman"/>
                      <w:bCs/>
                      <w:color w:val="auto"/>
                      <w:szCs w:val="21"/>
                      <w:highlight w:val="none"/>
                    </w:rPr>
                    <w:t>造成污染</w:t>
                  </w:r>
                </w:p>
              </w:tc>
            </w:tr>
            <w:tr w14:paraId="193C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14:paraId="09A61BFB">
                  <w:pPr>
                    <w:pStyle w:val="54"/>
                    <w:adjustRightInd w:val="0"/>
                    <w:snapToGrid w:val="0"/>
                    <w:rPr>
                      <w:rStyle w:val="51"/>
                      <w:rFonts w:hint="default" w:ascii="Times New Roman" w:hAnsi="Times New Roman" w:eastAsia="宋体" w:cs="Times New Roman"/>
                      <w:bCs/>
                      <w:color w:val="auto"/>
                      <w:szCs w:val="21"/>
                      <w:highlight w:val="none"/>
                    </w:rPr>
                  </w:pPr>
                  <w:r>
                    <w:rPr>
                      <w:rFonts w:hint="eastAsia" w:cs="Times New Roman"/>
                      <w:color w:val="auto"/>
                      <w:kern w:val="0"/>
                      <w:sz w:val="21"/>
                      <w:szCs w:val="21"/>
                      <w:highlight w:val="none"/>
                      <w:lang w:val="en-US" w:eastAsia="zh-CN"/>
                    </w:rPr>
                    <w:t>吸收氨气的清水罐、氨水罐</w:t>
                  </w:r>
                </w:p>
              </w:tc>
              <w:tc>
                <w:tcPr>
                  <w:tcW w:w="1605" w:type="dxa"/>
                  <w:vAlign w:val="center"/>
                </w:tcPr>
                <w:p w14:paraId="5127F39E">
                  <w:pPr>
                    <w:pStyle w:val="54"/>
                    <w:adjustRightInd w:val="0"/>
                    <w:snapToGrid w:val="0"/>
                    <w:rPr>
                      <w:rStyle w:val="51"/>
                      <w:rFonts w:hint="eastAsia" w:ascii="Times New Roman" w:hAnsi="Times New Roman" w:eastAsia="宋体" w:cs="Times New Roman"/>
                      <w:bCs/>
                      <w:color w:val="auto"/>
                      <w:szCs w:val="21"/>
                      <w:highlight w:val="none"/>
                      <w:lang w:eastAsia="zh-CN"/>
                    </w:rPr>
                  </w:pPr>
                  <w:r>
                    <w:rPr>
                      <w:rStyle w:val="51"/>
                      <w:rFonts w:hint="eastAsia" w:cs="Times New Roman"/>
                      <w:bCs/>
                      <w:color w:val="auto"/>
                      <w:szCs w:val="21"/>
                      <w:highlight w:val="none"/>
                      <w:lang w:eastAsia="zh-CN"/>
                    </w:rPr>
                    <w:t>氨水储罐区域（脱销）</w:t>
                  </w:r>
                </w:p>
              </w:tc>
              <w:tc>
                <w:tcPr>
                  <w:tcW w:w="1260" w:type="dxa"/>
                  <w:vAlign w:val="center"/>
                </w:tcPr>
                <w:p w14:paraId="2A2FDA74">
                  <w:pPr>
                    <w:pStyle w:val="54"/>
                    <w:adjustRightInd w:val="0"/>
                    <w:snapToGrid w:val="0"/>
                    <w:rPr>
                      <w:rStyle w:val="51"/>
                      <w:rFonts w:hint="default" w:ascii="Times New Roman" w:hAnsi="Times New Roman" w:eastAsia="宋体" w:cs="Times New Roman"/>
                      <w:bCs/>
                      <w:color w:val="auto"/>
                      <w:szCs w:val="21"/>
                      <w:highlight w:val="none"/>
                    </w:rPr>
                  </w:pPr>
                  <w:r>
                    <w:rPr>
                      <w:rStyle w:val="51"/>
                      <w:rFonts w:hint="default" w:ascii="Times New Roman" w:hAnsi="Times New Roman" w:eastAsia="宋体" w:cs="Times New Roman"/>
                      <w:bCs/>
                      <w:color w:val="auto"/>
                      <w:szCs w:val="21"/>
                      <w:highlight w:val="none"/>
                    </w:rPr>
                    <w:t>垂直入渗</w:t>
                  </w:r>
                  <w:r>
                    <w:rPr>
                      <w:rStyle w:val="51"/>
                      <w:rFonts w:hint="default" w:ascii="Times New Roman" w:hAnsi="Times New Roman" w:eastAsia="宋体" w:cs="Times New Roman"/>
                      <w:bCs/>
                      <w:color w:val="auto"/>
                      <w:szCs w:val="21"/>
                      <w:highlight w:val="none"/>
                      <w:lang w:eastAsia="zh-CN"/>
                    </w:rPr>
                    <w:t>、</w:t>
                  </w:r>
                  <w:r>
                    <w:rPr>
                      <w:rStyle w:val="51"/>
                      <w:rFonts w:hint="default" w:ascii="Times New Roman" w:hAnsi="Times New Roman" w:eastAsia="宋体" w:cs="Times New Roman"/>
                      <w:bCs/>
                      <w:color w:val="auto"/>
                      <w:szCs w:val="21"/>
                      <w:highlight w:val="none"/>
                      <w:lang w:val="en-US" w:eastAsia="zh-CN"/>
                    </w:rPr>
                    <w:t>地面漫流</w:t>
                  </w:r>
                </w:p>
              </w:tc>
              <w:tc>
                <w:tcPr>
                  <w:tcW w:w="1395" w:type="dxa"/>
                  <w:vAlign w:val="center"/>
                </w:tcPr>
                <w:p w14:paraId="13B35635">
                  <w:pPr>
                    <w:pStyle w:val="54"/>
                    <w:adjustRightInd w:val="0"/>
                    <w:snapToGrid w:val="0"/>
                    <w:rPr>
                      <w:rStyle w:val="51"/>
                      <w:rFonts w:hint="default" w:ascii="Times New Roman" w:hAnsi="Times New Roman" w:eastAsia="宋体" w:cs="Times New Roman"/>
                      <w:bCs/>
                      <w:color w:val="auto"/>
                      <w:szCs w:val="21"/>
                      <w:highlight w:val="none"/>
                    </w:rPr>
                  </w:pPr>
                  <w:r>
                    <w:rPr>
                      <w:rFonts w:hint="eastAsia" w:cs="Times New Roman"/>
                      <w:color w:val="auto"/>
                      <w:kern w:val="0"/>
                      <w:sz w:val="21"/>
                      <w:szCs w:val="21"/>
                      <w:highlight w:val="none"/>
                      <w:lang w:val="en-US" w:eastAsia="zh-CN"/>
                    </w:rPr>
                    <w:t>吸收氨气的清水</w:t>
                  </w:r>
                </w:p>
              </w:tc>
              <w:tc>
                <w:tcPr>
                  <w:tcW w:w="2779" w:type="dxa"/>
                  <w:vAlign w:val="center"/>
                </w:tcPr>
                <w:p w14:paraId="03E6F2C1">
                  <w:pPr>
                    <w:pStyle w:val="54"/>
                    <w:adjustRightInd w:val="0"/>
                    <w:snapToGrid w:val="0"/>
                    <w:rPr>
                      <w:rStyle w:val="51"/>
                      <w:rFonts w:hint="default" w:ascii="Times New Roman" w:hAnsi="Times New Roman" w:eastAsia="宋体" w:cs="Times New Roman"/>
                      <w:bCs/>
                      <w:color w:val="auto"/>
                      <w:szCs w:val="21"/>
                      <w:highlight w:val="none"/>
                    </w:rPr>
                  </w:pPr>
                  <w:r>
                    <w:rPr>
                      <w:rFonts w:hint="eastAsia" w:cs="Times New Roman"/>
                      <w:color w:val="auto"/>
                      <w:kern w:val="0"/>
                      <w:sz w:val="21"/>
                      <w:szCs w:val="21"/>
                      <w:highlight w:val="none"/>
                      <w:lang w:val="en-US" w:eastAsia="zh-CN"/>
                    </w:rPr>
                    <w:t>吸收氨气的清水</w:t>
                  </w:r>
                  <w:r>
                    <w:rPr>
                      <w:rStyle w:val="51"/>
                      <w:rFonts w:hint="default" w:ascii="Times New Roman" w:hAnsi="Times New Roman" w:eastAsia="宋体" w:cs="Times New Roman"/>
                      <w:bCs/>
                      <w:color w:val="auto"/>
                      <w:szCs w:val="21"/>
                      <w:highlight w:val="none"/>
                      <w:lang w:val="en-US" w:eastAsia="zh-CN"/>
                    </w:rPr>
                    <w:t>外溢通过地表漫流、垂直</w:t>
                  </w:r>
                  <w:r>
                    <w:rPr>
                      <w:rStyle w:val="51"/>
                      <w:rFonts w:hint="default" w:ascii="Times New Roman" w:hAnsi="Times New Roman" w:eastAsia="宋体" w:cs="Times New Roman"/>
                      <w:bCs/>
                      <w:color w:val="auto"/>
                      <w:szCs w:val="21"/>
                      <w:highlight w:val="none"/>
                    </w:rPr>
                    <w:t>入渗</w:t>
                  </w:r>
                  <w:r>
                    <w:rPr>
                      <w:rStyle w:val="51"/>
                      <w:rFonts w:hint="default" w:ascii="Times New Roman" w:hAnsi="Times New Roman" w:eastAsia="宋体" w:cs="Times New Roman"/>
                      <w:bCs/>
                      <w:color w:val="auto"/>
                      <w:szCs w:val="21"/>
                      <w:highlight w:val="none"/>
                      <w:lang w:val="en-US" w:eastAsia="zh-CN"/>
                    </w:rPr>
                    <w:t>进入土壤、地下水造成污染</w:t>
                  </w:r>
                </w:p>
              </w:tc>
            </w:tr>
            <w:tr w14:paraId="1DA0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14:paraId="5A25550C">
                  <w:pPr>
                    <w:pStyle w:val="54"/>
                    <w:adjustRightInd w:val="0"/>
                    <w:snapToGrid w:val="0"/>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生产区</w:t>
                  </w:r>
                </w:p>
              </w:tc>
              <w:tc>
                <w:tcPr>
                  <w:tcW w:w="1605" w:type="dxa"/>
                  <w:vAlign w:val="center"/>
                </w:tcPr>
                <w:p w14:paraId="389389A9">
                  <w:pPr>
                    <w:pStyle w:val="54"/>
                    <w:adjustRightInd w:val="0"/>
                    <w:snapToGrid w:val="0"/>
                    <w:rPr>
                      <w:rStyle w:val="51"/>
                      <w:rFonts w:hint="eastAsia" w:cs="Times New Roman"/>
                      <w:bCs/>
                      <w:color w:val="auto"/>
                      <w:szCs w:val="21"/>
                      <w:highlight w:val="none"/>
                      <w:lang w:eastAsia="zh-CN"/>
                    </w:rPr>
                  </w:pPr>
                  <w:r>
                    <w:rPr>
                      <w:rStyle w:val="51"/>
                      <w:rFonts w:hint="eastAsia" w:cs="Times New Roman"/>
                      <w:bCs/>
                      <w:color w:val="auto"/>
                      <w:szCs w:val="21"/>
                      <w:highlight w:val="none"/>
                      <w:lang w:eastAsia="zh-CN"/>
                    </w:rPr>
                    <w:t>生产工段</w:t>
                  </w:r>
                </w:p>
              </w:tc>
              <w:tc>
                <w:tcPr>
                  <w:tcW w:w="1260" w:type="dxa"/>
                  <w:vAlign w:val="center"/>
                </w:tcPr>
                <w:p w14:paraId="478E9C1F">
                  <w:pPr>
                    <w:pStyle w:val="54"/>
                    <w:adjustRightInd w:val="0"/>
                    <w:snapToGrid w:val="0"/>
                    <w:rPr>
                      <w:rStyle w:val="51"/>
                      <w:rFonts w:hint="eastAsia" w:ascii="Times New Roman" w:hAnsi="Times New Roman" w:eastAsia="宋体" w:cs="Times New Roman"/>
                      <w:bCs/>
                      <w:color w:val="auto"/>
                      <w:szCs w:val="21"/>
                      <w:highlight w:val="none"/>
                      <w:lang w:eastAsia="zh-CN"/>
                    </w:rPr>
                  </w:pPr>
                  <w:r>
                    <w:rPr>
                      <w:rStyle w:val="51"/>
                      <w:rFonts w:hint="eastAsia" w:cs="Times New Roman"/>
                      <w:bCs/>
                      <w:color w:val="auto"/>
                      <w:szCs w:val="21"/>
                      <w:highlight w:val="none"/>
                      <w:lang w:eastAsia="zh-CN"/>
                    </w:rPr>
                    <w:t>大气沉降</w:t>
                  </w:r>
                </w:p>
              </w:tc>
              <w:tc>
                <w:tcPr>
                  <w:tcW w:w="1395" w:type="dxa"/>
                  <w:vAlign w:val="center"/>
                </w:tcPr>
                <w:p w14:paraId="7C33A28E">
                  <w:pPr>
                    <w:pStyle w:val="54"/>
                    <w:adjustRightInd w:val="0"/>
                    <w:snapToGrid w:val="0"/>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颗粒物、二氧化物、氮氧化物、氨</w:t>
                  </w:r>
                </w:p>
              </w:tc>
              <w:tc>
                <w:tcPr>
                  <w:tcW w:w="2779" w:type="dxa"/>
                  <w:vAlign w:val="center"/>
                </w:tcPr>
                <w:p w14:paraId="137B6668">
                  <w:pPr>
                    <w:pStyle w:val="54"/>
                    <w:adjustRightInd w:val="0"/>
                    <w:snapToGrid w:val="0"/>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大气污染物通过大气沉降</w:t>
                  </w:r>
                  <w:r>
                    <w:rPr>
                      <w:rStyle w:val="51"/>
                      <w:rFonts w:hint="default" w:ascii="Times New Roman" w:hAnsi="Times New Roman" w:eastAsia="宋体" w:cs="Times New Roman"/>
                      <w:bCs/>
                      <w:color w:val="auto"/>
                      <w:szCs w:val="21"/>
                      <w:highlight w:val="none"/>
                      <w:lang w:val="en-US" w:eastAsia="zh-CN"/>
                    </w:rPr>
                    <w:t>进入土壤、地下水造成污染</w:t>
                  </w:r>
                </w:p>
              </w:tc>
            </w:tr>
          </w:tbl>
          <w:p w14:paraId="21E2B6C5">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3、分区防控措施</w:t>
            </w:r>
          </w:p>
          <w:p w14:paraId="580C3AEE">
            <w:pPr>
              <w:keepNext w:val="0"/>
              <w:keepLines w:val="0"/>
              <w:pageBreakBefore w:val="0"/>
              <w:widowControl/>
              <w:kinsoku/>
              <w:wordWrap/>
              <w:overflowPunct/>
              <w:topLinePunct w:val="0"/>
              <w:autoSpaceDE/>
              <w:autoSpaceDN/>
              <w:bidi w:val="0"/>
              <w:adjustRightInd w:val="0"/>
              <w:snapToGrid w:val="0"/>
              <w:spacing w:line="360" w:lineRule="auto"/>
              <w:ind w:firstLine="480" w:firstLineChars="0"/>
              <w:jc w:val="center"/>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根据以上分析，项目存在土壤、地下水污染源的区域主要为危险废</w:t>
            </w:r>
            <w:r>
              <w:rPr>
                <w:rFonts w:hint="default" w:ascii="Times New Roman" w:hAnsi="Times New Roman" w:eastAsia="宋体" w:cs="Times New Roman"/>
                <w:color w:val="auto"/>
                <w:sz w:val="24"/>
                <w:szCs w:val="24"/>
                <w:highlight w:val="none"/>
              </w:rPr>
              <w:t>物</w:t>
            </w:r>
            <w:r>
              <w:rPr>
                <w:rFonts w:hint="default" w:ascii="Times New Roman" w:hAnsi="Times New Roman" w:eastAsia="宋体" w:cs="Times New Roman"/>
                <w:color w:val="auto"/>
                <w:sz w:val="24"/>
                <w:szCs w:val="24"/>
                <w:highlight w:val="none"/>
                <w:lang w:val="zh-CN"/>
              </w:rPr>
              <w:t>暂存间</w:t>
            </w:r>
            <w:r>
              <w:rPr>
                <w:rFonts w:hint="eastAsia" w:cs="Times New Roman"/>
                <w:color w:val="auto"/>
                <w:sz w:val="24"/>
                <w:szCs w:val="24"/>
                <w:highlight w:val="none"/>
                <w:lang w:val="zh-CN"/>
              </w:rPr>
              <w:t>、氨水储罐区域</w:t>
            </w:r>
            <w:r>
              <w:rPr>
                <w:rFonts w:hint="default" w:ascii="Times New Roman" w:hAnsi="Times New Roman" w:eastAsia="宋体" w:cs="Times New Roman"/>
                <w:color w:val="auto"/>
                <w:sz w:val="24"/>
                <w:szCs w:val="24"/>
                <w:highlight w:val="none"/>
                <w:lang w:val="zh-CN"/>
              </w:rPr>
              <w:t>，因此提出厂内进行分区防渗措施，其中</w:t>
            </w: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z w:val="24"/>
                <w:szCs w:val="24"/>
                <w:highlight w:val="none"/>
                <w:lang w:val="zh-CN"/>
              </w:rPr>
              <w:t>暂存间</w:t>
            </w:r>
            <w:r>
              <w:rPr>
                <w:rFonts w:hint="eastAsia" w:cs="Times New Roman"/>
                <w:color w:val="auto"/>
                <w:sz w:val="24"/>
                <w:szCs w:val="24"/>
                <w:highlight w:val="none"/>
                <w:lang w:val="zh-CN"/>
              </w:rPr>
              <w:t>、氨水储罐区域</w:t>
            </w:r>
            <w:r>
              <w:rPr>
                <w:rFonts w:hint="default" w:ascii="Times New Roman" w:hAnsi="Times New Roman" w:eastAsia="宋体" w:cs="Times New Roman"/>
                <w:color w:val="auto"/>
                <w:sz w:val="24"/>
                <w:szCs w:val="24"/>
                <w:highlight w:val="none"/>
                <w:lang w:val="zh-CN"/>
              </w:rPr>
              <w:t>为重点防渗区，</w:t>
            </w: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z w:val="24"/>
                <w:szCs w:val="24"/>
                <w:highlight w:val="none"/>
                <w:lang w:val="zh-CN"/>
              </w:rPr>
              <w:t>暂存间地面及</w:t>
            </w:r>
            <w:r>
              <w:rPr>
                <w:rFonts w:hint="default" w:ascii="Times New Roman" w:hAnsi="Times New Roman" w:eastAsia="宋体" w:cs="Times New Roman"/>
                <w:color w:val="auto"/>
                <w:sz w:val="24"/>
                <w:szCs w:val="24"/>
                <w:highlight w:val="none"/>
              </w:rPr>
              <w:t>四周墙裙脚应</w:t>
            </w:r>
            <w:r>
              <w:rPr>
                <w:rFonts w:hint="default" w:ascii="Times New Roman" w:hAnsi="Times New Roman" w:eastAsia="宋体" w:cs="Times New Roman"/>
                <w:color w:val="auto"/>
                <w:sz w:val="24"/>
                <w:szCs w:val="24"/>
                <w:highlight w:val="none"/>
                <w:lang w:val="zh-CN"/>
              </w:rPr>
              <w:t>按照</w:t>
            </w:r>
            <w:r>
              <w:rPr>
                <w:rFonts w:hint="default" w:ascii="Times New Roman" w:hAnsi="Times New Roman" w:eastAsia="宋体" w:cs="Times New Roman"/>
                <w:color w:val="auto"/>
                <w:spacing w:val="-8"/>
                <w:sz w:val="24"/>
                <w:szCs w:val="24"/>
                <w:highlight w:val="none"/>
              </w:rPr>
              <w:t>《危险废物贮存污染控制标准》</w:t>
            </w:r>
            <w:r>
              <w:rPr>
                <w:rFonts w:hint="default" w:ascii="Times New Roman" w:hAnsi="Times New Roman" w:eastAsia="宋体" w:cs="Times New Roman"/>
                <w:color w:val="auto"/>
                <w:sz w:val="24"/>
                <w:szCs w:val="24"/>
                <w:highlight w:val="none"/>
              </w:rPr>
              <w:t xml:space="preserve">（GB </w:t>
            </w:r>
            <w:r>
              <w:rPr>
                <w:rFonts w:hint="default" w:ascii="Times New Roman" w:hAnsi="Times New Roman" w:eastAsia="宋体" w:cs="Times New Roman"/>
                <w:color w:val="auto"/>
                <w:spacing w:val="-3"/>
                <w:sz w:val="24"/>
                <w:szCs w:val="24"/>
                <w:highlight w:val="none"/>
              </w:rPr>
              <w:t>18597-20</w:t>
            </w:r>
            <w:r>
              <w:rPr>
                <w:rFonts w:hint="eastAsia" w:ascii="Times New Roman" w:hAnsi="Times New Roman" w:cs="Times New Roman"/>
                <w:color w:val="auto"/>
                <w:spacing w:val="-3"/>
                <w:sz w:val="24"/>
                <w:szCs w:val="24"/>
                <w:highlight w:val="none"/>
                <w:lang w:val="en-US" w:eastAsia="zh-CN"/>
              </w:rPr>
              <w:t>23）</w:t>
            </w:r>
            <w:r>
              <w:rPr>
                <w:rFonts w:hint="default" w:ascii="Times New Roman" w:hAnsi="Times New Roman" w:eastAsia="宋体" w:cs="Times New Roman"/>
                <w:color w:val="auto"/>
                <w:sz w:val="24"/>
                <w:szCs w:val="24"/>
                <w:highlight w:val="none"/>
                <w:lang w:val="zh-CN"/>
              </w:rPr>
              <w:t>中要求</w:t>
            </w:r>
            <w:r>
              <w:rPr>
                <w:rFonts w:hint="default" w:ascii="Times New Roman" w:hAnsi="Times New Roman" w:eastAsia="宋体" w:cs="Times New Roman"/>
                <w:color w:val="auto"/>
                <w:sz w:val="24"/>
                <w:szCs w:val="24"/>
                <w:highlight w:val="none"/>
              </w:rPr>
              <w:t>进行重点防渗</w:t>
            </w:r>
            <w:r>
              <w:rPr>
                <w:rFonts w:hint="default" w:ascii="Times New Roman" w:hAnsi="Times New Roman" w:eastAsia="宋体" w:cs="Times New Roman"/>
                <w:color w:val="auto"/>
                <w:sz w:val="24"/>
                <w:szCs w:val="24"/>
                <w:highlight w:val="none"/>
                <w:lang w:val="zh-CN"/>
              </w:rPr>
              <w:t>，采用“抗渗混凝土+2mm厚</w:t>
            </w:r>
          </w:p>
          <w:p w14:paraId="64C6FF56">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HDPE+环氧树脂”</w:t>
            </w:r>
            <w:r>
              <w:rPr>
                <w:rFonts w:hint="default" w:ascii="Times New Roman" w:hAnsi="Times New Roman" w:eastAsia="宋体" w:cs="Times New Roman"/>
                <w:color w:val="auto"/>
                <w:sz w:val="24"/>
                <w:szCs w:val="24"/>
                <w:highlight w:val="none"/>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eastAsia" w:cs="Times New Roman"/>
                <w:color w:val="auto"/>
                <w:sz w:val="24"/>
                <w:szCs w:val="24"/>
                <w:highlight w:val="none"/>
                <w:lang w:val="zh-CN"/>
              </w:rPr>
              <w:t>氨水储罐区域</w:t>
            </w:r>
            <w:r>
              <w:rPr>
                <w:rFonts w:hint="default" w:ascii="Times New Roman" w:hAnsi="Times New Roman" w:eastAsia="宋体" w:cs="Times New Roman"/>
                <w:color w:val="auto"/>
                <w:sz w:val="24"/>
                <w:szCs w:val="24"/>
                <w:highlight w:val="none"/>
              </w:rPr>
              <w:t>应</w:t>
            </w:r>
            <w:r>
              <w:rPr>
                <w:rFonts w:hint="default" w:ascii="Times New Roman" w:hAnsi="Times New Roman" w:eastAsia="宋体" w:cs="Times New Roman"/>
                <w:color w:val="auto"/>
                <w:sz w:val="24"/>
                <w:szCs w:val="24"/>
                <w:highlight w:val="none"/>
                <w:lang w:val="zh-CN"/>
              </w:rPr>
              <w:t>按照</w:t>
            </w:r>
            <w:r>
              <w:rPr>
                <w:rFonts w:hint="eastAsia" w:cs="Times New Roman"/>
                <w:color w:val="auto"/>
                <w:sz w:val="24"/>
                <w:szCs w:val="24"/>
                <w:highlight w:val="none"/>
                <w:lang w:val="zh-CN"/>
              </w:rPr>
              <w:t>等</w:t>
            </w:r>
            <w:r>
              <w:rPr>
                <w:rFonts w:hint="default" w:ascii="Times New Roman" w:hAnsi="Times New Roman" w:eastAsia="宋体" w:cs="Times New Roman"/>
                <w:color w:val="auto"/>
                <w:kern w:val="2"/>
                <w:sz w:val="24"/>
                <w:szCs w:val="24"/>
                <w:highlight w:val="none"/>
              </w:rPr>
              <w:t>效黏土防渗层厚度Mb≥6m，渗透系数K≤1.0×10</w:t>
            </w:r>
            <w:r>
              <w:rPr>
                <w:rFonts w:hint="default" w:ascii="Times New Roman" w:hAnsi="Times New Roman" w:eastAsia="宋体" w:cs="Times New Roman"/>
                <w:color w:val="auto"/>
                <w:kern w:val="2"/>
                <w:sz w:val="24"/>
                <w:szCs w:val="24"/>
                <w:highlight w:val="none"/>
                <w:vertAlign w:val="superscript"/>
              </w:rPr>
              <w:t>-</w:t>
            </w:r>
            <w:r>
              <w:rPr>
                <w:rFonts w:hint="eastAsia" w:ascii="Times New Roman" w:hAnsi="Times New Roman" w:eastAsia="宋体" w:cs="Times New Roman"/>
                <w:color w:val="auto"/>
                <w:kern w:val="2"/>
                <w:sz w:val="24"/>
                <w:szCs w:val="24"/>
                <w:highlight w:val="none"/>
                <w:vertAlign w:val="superscript"/>
                <w:lang w:val="en-US" w:eastAsia="zh-CN"/>
              </w:rPr>
              <w:t>7</w:t>
            </w:r>
            <w:r>
              <w:rPr>
                <w:rFonts w:hint="default" w:ascii="Times New Roman" w:hAnsi="Times New Roman" w:eastAsia="宋体" w:cs="Times New Roman"/>
                <w:color w:val="auto"/>
                <w:kern w:val="2"/>
                <w:sz w:val="24"/>
                <w:szCs w:val="24"/>
                <w:highlight w:val="none"/>
              </w:rPr>
              <w:t>cm/s</w:t>
            </w:r>
            <w:r>
              <w:rPr>
                <w:rFonts w:hint="default" w:ascii="Times New Roman" w:hAnsi="Times New Roman" w:eastAsia="宋体" w:cs="Times New Roman"/>
                <w:color w:val="auto"/>
                <w:sz w:val="24"/>
                <w:szCs w:val="24"/>
                <w:highlight w:val="none"/>
              </w:rPr>
              <w:t>进行重点防渗</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4"/>
                <w:szCs w:val="24"/>
                <w:highlight w:val="none"/>
                <w:lang w:eastAsia="zh-CN"/>
              </w:rPr>
              <w:t>危险废物暂存间</w:t>
            </w:r>
            <w:r>
              <w:rPr>
                <w:rFonts w:hint="default" w:ascii="Times New Roman" w:hAnsi="Times New Roman" w:eastAsia="宋体" w:cs="Times New Roman"/>
                <w:color w:val="auto"/>
                <w:sz w:val="24"/>
                <w:szCs w:val="24"/>
                <w:highlight w:val="none"/>
              </w:rPr>
              <w:t>设危险废物备用储存容器，避免废</w:t>
            </w:r>
            <w:r>
              <w:rPr>
                <w:rFonts w:hint="eastAsia" w:cs="Times New Roman"/>
                <w:color w:val="auto"/>
                <w:sz w:val="24"/>
                <w:szCs w:val="24"/>
                <w:highlight w:val="none"/>
                <w:lang w:eastAsia="zh-CN"/>
              </w:rPr>
              <w:t>机</w:t>
            </w:r>
            <w:r>
              <w:rPr>
                <w:rFonts w:hint="default" w:ascii="Times New Roman" w:hAnsi="Times New Roman" w:eastAsia="宋体" w:cs="Times New Roman"/>
                <w:color w:val="auto"/>
                <w:sz w:val="24"/>
                <w:szCs w:val="24"/>
                <w:highlight w:val="none"/>
              </w:rPr>
              <w:t>油</w:t>
            </w:r>
            <w:r>
              <w:rPr>
                <w:rFonts w:hint="eastAsia" w:cs="Times New Roman"/>
                <w:color w:val="auto"/>
                <w:sz w:val="24"/>
                <w:szCs w:val="24"/>
                <w:highlight w:val="none"/>
                <w:lang w:eastAsia="zh-CN"/>
              </w:rPr>
              <w:t>、废液压油、废液</w:t>
            </w:r>
            <w:r>
              <w:rPr>
                <w:rFonts w:hint="default" w:ascii="Times New Roman" w:hAnsi="Times New Roman" w:eastAsia="宋体" w:cs="Times New Roman"/>
                <w:color w:val="auto"/>
                <w:sz w:val="24"/>
                <w:szCs w:val="24"/>
                <w:highlight w:val="none"/>
              </w:rPr>
              <w:t>泄漏污染土壤、地下水</w:t>
            </w:r>
            <w:r>
              <w:rPr>
                <w:rFonts w:hint="eastAsia" w:cs="Times New Roman"/>
                <w:color w:val="auto"/>
                <w:sz w:val="24"/>
                <w:szCs w:val="24"/>
                <w:highlight w:val="none"/>
                <w:lang w:val="zh-CN"/>
              </w:rPr>
              <w:t>；氨水储罐区域还需按照其安全影响评价报告进行设置相关措施。</w:t>
            </w:r>
            <w:r>
              <w:rPr>
                <w:rFonts w:hint="default" w:ascii="Times New Roman" w:hAnsi="Times New Roman" w:eastAsia="宋体" w:cs="Times New Roman"/>
                <w:b w:val="0"/>
                <w:bCs w:val="0"/>
                <w:color w:val="auto"/>
                <w:sz w:val="24"/>
                <w:szCs w:val="24"/>
                <w:highlight w:val="none"/>
                <w:lang w:val="en-US" w:eastAsia="zh-CN"/>
              </w:rPr>
              <w:t>一般防渗区：循环冷却水池、化粪池、一体化污水处理站、蓄水池、事故应急池、一般固体废物暂存区防渗技术要求达到等效黏土防渗层Mb≥1.5m，渗透系数≤10</w:t>
            </w:r>
            <w:r>
              <w:rPr>
                <w:rFonts w:hint="default" w:ascii="Times New Roman" w:hAnsi="Times New Roman" w:eastAsia="宋体" w:cs="Times New Roman"/>
                <w:b w:val="0"/>
                <w:bCs w:val="0"/>
                <w:color w:val="auto"/>
                <w:sz w:val="24"/>
                <w:szCs w:val="24"/>
                <w:highlight w:val="none"/>
                <w:vertAlign w:val="superscript"/>
                <w:lang w:val="en-US" w:eastAsia="zh-CN"/>
              </w:rPr>
              <w:t>-7</w:t>
            </w:r>
            <w:r>
              <w:rPr>
                <w:rFonts w:hint="default" w:ascii="Times New Roman" w:hAnsi="Times New Roman" w:eastAsia="宋体" w:cs="Times New Roman"/>
                <w:b w:val="0"/>
                <w:bCs w:val="0"/>
                <w:color w:val="auto"/>
                <w:sz w:val="24"/>
                <w:szCs w:val="24"/>
                <w:highlight w:val="none"/>
                <w:lang w:val="en-US" w:eastAsia="zh-CN"/>
              </w:rPr>
              <w:t>cm/s。简单防渗区：其余生产区、道路及办公区域（除绿化外）进行一般硬化处理。</w:t>
            </w:r>
          </w:p>
          <w:p w14:paraId="3338CF0D">
            <w:pPr>
              <w:pStyle w:val="82"/>
              <w:keepNext w:val="0"/>
              <w:keepLines w:val="0"/>
              <w:pageBreakBefore w:val="0"/>
              <w:widowControl w:val="0"/>
              <w:numPr>
                <w:ilvl w:val="0"/>
                <w:numId w:val="0"/>
              </w:numPr>
              <w:tabs>
                <w:tab w:val="left" w:pos="953"/>
              </w:tabs>
              <w:kinsoku/>
              <w:wordWrap/>
              <w:overflowPunct/>
              <w:topLinePunct w:val="0"/>
              <w:autoSpaceDE/>
              <w:autoSpaceDN/>
              <w:bidi w:val="0"/>
              <w:adjustRightInd w:val="0"/>
              <w:snapToGrid w:val="0"/>
              <w:spacing w:beforeLines="0" w:afterLines="0" w:line="360" w:lineRule="auto"/>
              <w:ind w:leftChars="0" w:right="0" w:rightChars="0" w:firstLine="480" w:firstLineChars="200"/>
              <w:jc w:val="left"/>
              <w:textAlignment w:val="auto"/>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color w:val="auto"/>
                <w:sz w:val="24"/>
                <w:szCs w:val="24"/>
                <w:highlight w:val="none"/>
                <w:lang w:val="en-US" w:eastAsia="zh-CN"/>
              </w:rPr>
              <w:t>采取以上措施后可有效避免生产废水及危险废物对土壤及地下水的污染。</w:t>
            </w:r>
          </w:p>
          <w:p w14:paraId="6F2EA2D2">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六</w:t>
            </w:r>
            <w:r>
              <w:rPr>
                <w:rFonts w:hint="default" w:ascii="Times New Roman" w:hAnsi="Times New Roman" w:eastAsia="宋体" w:cs="Times New Roman"/>
                <w:b/>
                <w:bCs/>
                <w:color w:val="auto"/>
                <w:sz w:val="24"/>
                <w:szCs w:val="22"/>
                <w:highlight w:val="none"/>
                <w:lang w:val="en-US" w:eastAsia="zh-CN"/>
              </w:rPr>
              <w:t>、生态环境</w:t>
            </w:r>
          </w:p>
          <w:p w14:paraId="515F0A21">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b w:val="0"/>
                <w:bCs w:val="0"/>
                <w:color w:val="auto"/>
                <w:sz w:val="24"/>
                <w:szCs w:val="22"/>
                <w:highlight w:val="none"/>
                <w:lang w:val="en-US" w:eastAsia="zh-CN"/>
              </w:rPr>
              <w:t>本</w:t>
            </w:r>
            <w:r>
              <w:rPr>
                <w:rFonts w:hint="default" w:ascii="Times New Roman" w:hAnsi="Times New Roman" w:eastAsia="宋体" w:cs="Times New Roman"/>
                <w:b w:val="0"/>
                <w:bCs w:val="0"/>
                <w:color w:val="auto"/>
                <w:sz w:val="24"/>
                <w:highlight w:val="none"/>
                <w:lang w:val="en-US" w:eastAsia="zh-CN"/>
              </w:rPr>
              <w:t>项目位</w:t>
            </w:r>
            <w:r>
              <w:rPr>
                <w:rFonts w:hint="default" w:ascii="Times New Roman" w:hAnsi="Times New Roman" w:eastAsia="宋体" w:cs="Times New Roman"/>
                <w:color w:val="auto"/>
                <w:sz w:val="24"/>
                <w:highlight w:val="none"/>
                <w:lang w:val="en-US" w:eastAsia="zh-CN"/>
              </w:rPr>
              <w:t>于工业园区内，</w:t>
            </w:r>
            <w:r>
              <w:rPr>
                <w:rFonts w:hint="default" w:ascii="Times New Roman" w:hAnsi="Times New Roman" w:eastAsia="宋体" w:cs="Times New Roman"/>
                <w:color w:val="auto"/>
                <w:kern w:val="2"/>
                <w:sz w:val="24"/>
                <w:szCs w:val="24"/>
                <w:highlight w:val="none"/>
                <w:lang w:val="en-US" w:eastAsia="zh-CN" w:bidi="ar-SA"/>
              </w:rPr>
              <w:t>在</w:t>
            </w:r>
            <w:r>
              <w:rPr>
                <w:rFonts w:hint="eastAsia" w:cs="Times New Roman"/>
                <w:color w:val="auto"/>
                <w:kern w:val="2"/>
                <w:sz w:val="24"/>
                <w:szCs w:val="24"/>
                <w:highlight w:val="none"/>
                <w:lang w:val="en-US" w:eastAsia="zh-CN" w:bidi="ar-SA"/>
              </w:rPr>
              <w:t>空地进行建设</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已基本</w:t>
            </w:r>
            <w:r>
              <w:rPr>
                <w:rFonts w:hint="default" w:ascii="Times New Roman" w:hAnsi="Times New Roman" w:eastAsia="宋体" w:cs="Times New Roman"/>
                <w:color w:val="auto"/>
                <w:sz w:val="24"/>
                <w:highlight w:val="none"/>
                <w:lang w:val="en-US" w:eastAsia="zh-CN"/>
              </w:rPr>
              <w:t>无植被附着，项目建设期和运营期均不会对区域生态环境造成影响。</w:t>
            </w:r>
          </w:p>
          <w:p w14:paraId="3389C697">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七</w:t>
            </w:r>
            <w:r>
              <w:rPr>
                <w:rFonts w:hint="default" w:ascii="Times New Roman" w:hAnsi="Times New Roman" w:eastAsia="宋体" w:cs="Times New Roman"/>
                <w:b/>
                <w:bCs/>
                <w:color w:val="auto"/>
                <w:sz w:val="24"/>
                <w:szCs w:val="22"/>
                <w:highlight w:val="none"/>
                <w:lang w:val="en-US" w:eastAsia="zh-CN"/>
              </w:rPr>
              <w:t>、风险分析措施</w:t>
            </w:r>
          </w:p>
          <w:p w14:paraId="1BBDD640">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根据《建设项目环境风险评价技术导则》</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HJ169-2018</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附录B“重点关注的危险物质及临界量”中列出的危险物质确定本项目中危险物质数量、分布情况，具体见表。</w:t>
            </w:r>
          </w:p>
          <w:p w14:paraId="2F44179F">
            <w:pPr>
              <w:keepNext w:val="0"/>
              <w:keepLines w:val="0"/>
              <w:pageBreakBefore w:val="0"/>
              <w:widowControl w:val="0"/>
              <w:kinsoku/>
              <w:wordWrap/>
              <w:overflowPunct/>
              <w:topLinePunct w:val="0"/>
              <w:autoSpaceDE/>
              <w:autoSpaceDN/>
              <w:bidi w:val="0"/>
              <w:adjustRightInd w:val="0"/>
              <w:snapToGrid w:val="0"/>
              <w:spacing w:line="360" w:lineRule="auto"/>
              <w:ind w:firstLine="482"/>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40</w:t>
            </w:r>
            <w:r>
              <w:rPr>
                <w:rFonts w:hint="default" w:ascii="Times New Roman" w:hAnsi="Times New Roman" w:eastAsia="宋体" w:cs="Times New Roman"/>
                <w:b/>
                <w:bCs/>
                <w:color w:val="auto"/>
                <w:sz w:val="21"/>
                <w:szCs w:val="21"/>
                <w:highlight w:val="none"/>
                <w:lang w:val="en-US" w:eastAsia="zh-CN"/>
              </w:rPr>
              <w:t xml:space="preserve">  危险物质数量、分布情况和生产工艺特点一览表</w:t>
            </w:r>
          </w:p>
          <w:tbl>
            <w:tblPr>
              <w:tblStyle w:val="28"/>
              <w:tblW w:w="8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250"/>
              <w:gridCol w:w="2013"/>
              <w:gridCol w:w="809"/>
              <w:gridCol w:w="1201"/>
              <w:gridCol w:w="2227"/>
            </w:tblGrid>
            <w:tr w14:paraId="28A5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top"/>
                </w:tcPr>
                <w:p w14:paraId="31E69C1F">
                  <w:pPr>
                    <w:pStyle w:val="54"/>
                    <w:adjustRightInd w:val="0"/>
                    <w:snapToGrid w:val="0"/>
                    <w:jc w:val="center"/>
                    <w:rPr>
                      <w:rStyle w:val="51"/>
                      <w:rFonts w:hint="default" w:ascii="Times New Roman" w:hAnsi="Times New Roman" w:eastAsia="宋体" w:cs="Times New Roman"/>
                      <w:b/>
                      <w:bCs w:val="0"/>
                      <w:color w:val="auto"/>
                      <w:szCs w:val="21"/>
                      <w:highlight w:val="none"/>
                      <w:lang w:val="en-US" w:eastAsia="zh-CN"/>
                    </w:rPr>
                  </w:pPr>
                  <w:r>
                    <w:rPr>
                      <w:rStyle w:val="51"/>
                      <w:rFonts w:hint="default" w:ascii="Times New Roman" w:hAnsi="Times New Roman" w:eastAsia="宋体" w:cs="Times New Roman"/>
                      <w:b/>
                      <w:bCs w:val="0"/>
                      <w:color w:val="auto"/>
                      <w:szCs w:val="21"/>
                      <w:highlight w:val="none"/>
                    </w:rPr>
                    <w:t>序号</w:t>
                  </w:r>
                </w:p>
              </w:tc>
              <w:tc>
                <w:tcPr>
                  <w:tcW w:w="1250" w:type="dxa"/>
                  <w:vAlign w:val="top"/>
                </w:tcPr>
                <w:p w14:paraId="7E2FF3BD">
                  <w:pPr>
                    <w:pStyle w:val="54"/>
                    <w:adjustRightInd w:val="0"/>
                    <w:snapToGrid w:val="0"/>
                    <w:jc w:val="center"/>
                    <w:rPr>
                      <w:rStyle w:val="51"/>
                      <w:rFonts w:hint="default" w:ascii="Times New Roman" w:hAnsi="Times New Roman" w:eastAsia="宋体" w:cs="Times New Roman"/>
                      <w:b/>
                      <w:bCs w:val="0"/>
                      <w:color w:val="auto"/>
                      <w:szCs w:val="21"/>
                      <w:highlight w:val="none"/>
                      <w:lang w:val="en-US" w:eastAsia="zh-CN"/>
                    </w:rPr>
                  </w:pPr>
                  <w:r>
                    <w:rPr>
                      <w:rStyle w:val="51"/>
                      <w:rFonts w:hint="default" w:ascii="Times New Roman" w:hAnsi="Times New Roman" w:eastAsia="宋体" w:cs="Times New Roman"/>
                      <w:b/>
                      <w:bCs w:val="0"/>
                      <w:color w:val="auto"/>
                      <w:szCs w:val="21"/>
                      <w:highlight w:val="none"/>
                    </w:rPr>
                    <w:t>危险物质</w:t>
                  </w:r>
                </w:p>
              </w:tc>
              <w:tc>
                <w:tcPr>
                  <w:tcW w:w="2013" w:type="dxa"/>
                  <w:vAlign w:val="top"/>
                </w:tcPr>
                <w:p w14:paraId="0ADA32F9">
                  <w:pPr>
                    <w:pStyle w:val="54"/>
                    <w:adjustRightInd w:val="0"/>
                    <w:snapToGrid w:val="0"/>
                    <w:jc w:val="center"/>
                    <w:rPr>
                      <w:rStyle w:val="51"/>
                      <w:rFonts w:hint="eastAsia" w:ascii="Times New Roman" w:hAnsi="Times New Roman" w:eastAsia="宋体" w:cs="Times New Roman"/>
                      <w:b/>
                      <w:bCs w:val="0"/>
                      <w:color w:val="auto"/>
                      <w:szCs w:val="21"/>
                      <w:highlight w:val="none"/>
                      <w:lang w:val="en-US" w:eastAsia="zh-CN"/>
                    </w:rPr>
                  </w:pPr>
                  <w:r>
                    <w:rPr>
                      <w:rStyle w:val="51"/>
                      <w:rFonts w:hint="default" w:ascii="Times New Roman" w:hAnsi="Times New Roman" w:eastAsia="宋体" w:cs="Times New Roman"/>
                      <w:b/>
                      <w:bCs w:val="0"/>
                      <w:color w:val="auto"/>
                      <w:szCs w:val="21"/>
                      <w:highlight w:val="none"/>
                    </w:rPr>
                    <w:t>最大储存量</w:t>
                  </w:r>
                  <w:r>
                    <w:rPr>
                      <w:rStyle w:val="51"/>
                      <w:rFonts w:hint="eastAsia" w:ascii="Times New Roman" w:hAnsi="Times New Roman" w:eastAsia="宋体" w:cs="Times New Roman"/>
                      <w:b/>
                      <w:bCs w:val="0"/>
                      <w:color w:val="auto"/>
                      <w:szCs w:val="21"/>
                      <w:highlight w:val="none"/>
                      <w:lang w:eastAsia="zh-CN"/>
                    </w:rPr>
                    <w:t>（</w:t>
                  </w:r>
                  <w:r>
                    <w:rPr>
                      <w:rStyle w:val="51"/>
                      <w:rFonts w:hint="eastAsia" w:ascii="Times New Roman" w:hAnsi="Times New Roman" w:eastAsia="宋体" w:cs="Times New Roman"/>
                      <w:b/>
                      <w:bCs w:val="0"/>
                      <w:color w:val="auto"/>
                      <w:szCs w:val="21"/>
                      <w:highlight w:val="none"/>
                      <w:lang w:val="en-US" w:eastAsia="zh-CN"/>
                    </w:rPr>
                    <w:t>t</w:t>
                  </w:r>
                  <w:r>
                    <w:rPr>
                      <w:rStyle w:val="51"/>
                      <w:rFonts w:hint="eastAsia" w:ascii="Times New Roman" w:hAnsi="Times New Roman" w:eastAsia="宋体" w:cs="Times New Roman"/>
                      <w:b/>
                      <w:bCs w:val="0"/>
                      <w:color w:val="auto"/>
                      <w:szCs w:val="21"/>
                      <w:highlight w:val="none"/>
                      <w:lang w:eastAsia="zh-CN"/>
                    </w:rPr>
                    <w:t>）</w:t>
                  </w:r>
                </w:p>
              </w:tc>
              <w:tc>
                <w:tcPr>
                  <w:tcW w:w="809" w:type="dxa"/>
                  <w:vAlign w:val="top"/>
                </w:tcPr>
                <w:p w14:paraId="47E41922">
                  <w:pPr>
                    <w:pStyle w:val="54"/>
                    <w:adjustRightInd w:val="0"/>
                    <w:snapToGrid w:val="0"/>
                    <w:jc w:val="center"/>
                    <w:rPr>
                      <w:rStyle w:val="51"/>
                      <w:rFonts w:hint="default" w:ascii="Times New Roman" w:hAnsi="Times New Roman" w:eastAsia="宋体" w:cs="Times New Roman"/>
                      <w:b/>
                      <w:bCs w:val="0"/>
                      <w:color w:val="auto"/>
                      <w:szCs w:val="21"/>
                      <w:highlight w:val="none"/>
                      <w:lang w:val="en-US" w:eastAsia="zh-CN"/>
                    </w:rPr>
                  </w:pPr>
                  <w:r>
                    <w:rPr>
                      <w:rStyle w:val="51"/>
                      <w:rFonts w:hint="default" w:ascii="Times New Roman" w:hAnsi="Times New Roman" w:eastAsia="宋体" w:cs="Times New Roman"/>
                      <w:b/>
                      <w:bCs w:val="0"/>
                      <w:color w:val="auto"/>
                      <w:szCs w:val="21"/>
                      <w:highlight w:val="none"/>
                    </w:rPr>
                    <w:t>形态</w:t>
                  </w:r>
                </w:p>
              </w:tc>
              <w:tc>
                <w:tcPr>
                  <w:tcW w:w="1201" w:type="dxa"/>
                  <w:vAlign w:val="top"/>
                </w:tcPr>
                <w:p w14:paraId="7310B092">
                  <w:pPr>
                    <w:pStyle w:val="54"/>
                    <w:adjustRightInd w:val="0"/>
                    <w:snapToGrid w:val="0"/>
                    <w:jc w:val="center"/>
                    <w:rPr>
                      <w:rStyle w:val="51"/>
                      <w:rFonts w:hint="default" w:ascii="Times New Roman" w:hAnsi="Times New Roman" w:eastAsia="宋体" w:cs="Times New Roman"/>
                      <w:b/>
                      <w:bCs w:val="0"/>
                      <w:color w:val="auto"/>
                      <w:szCs w:val="21"/>
                      <w:highlight w:val="none"/>
                      <w:lang w:val="en-US" w:eastAsia="zh-CN"/>
                    </w:rPr>
                  </w:pPr>
                  <w:r>
                    <w:rPr>
                      <w:rStyle w:val="51"/>
                      <w:rFonts w:hint="default" w:ascii="Times New Roman" w:hAnsi="Times New Roman" w:eastAsia="宋体" w:cs="Times New Roman"/>
                      <w:b/>
                      <w:bCs w:val="0"/>
                      <w:color w:val="auto"/>
                      <w:szCs w:val="21"/>
                      <w:highlight w:val="none"/>
                    </w:rPr>
                    <w:t>储存场所</w:t>
                  </w:r>
                </w:p>
              </w:tc>
              <w:tc>
                <w:tcPr>
                  <w:tcW w:w="2227" w:type="dxa"/>
                  <w:vAlign w:val="top"/>
                </w:tcPr>
                <w:p w14:paraId="7AE1C192">
                  <w:pPr>
                    <w:pStyle w:val="54"/>
                    <w:adjustRightInd w:val="0"/>
                    <w:snapToGrid w:val="0"/>
                    <w:jc w:val="center"/>
                    <w:rPr>
                      <w:rStyle w:val="51"/>
                      <w:rFonts w:hint="default" w:ascii="Times New Roman" w:hAnsi="Times New Roman" w:eastAsia="宋体" w:cs="Times New Roman"/>
                      <w:b/>
                      <w:bCs w:val="0"/>
                      <w:color w:val="auto"/>
                      <w:szCs w:val="21"/>
                      <w:highlight w:val="none"/>
                      <w:lang w:val="en-US" w:eastAsia="zh-CN"/>
                    </w:rPr>
                  </w:pPr>
                  <w:r>
                    <w:rPr>
                      <w:rStyle w:val="51"/>
                      <w:rFonts w:hint="default" w:ascii="Times New Roman" w:hAnsi="Times New Roman" w:eastAsia="宋体" w:cs="Times New Roman"/>
                      <w:b/>
                      <w:bCs w:val="0"/>
                      <w:color w:val="auto"/>
                      <w:szCs w:val="21"/>
                      <w:highlight w:val="none"/>
                    </w:rPr>
                    <w:t>生产工艺特点</w:t>
                  </w:r>
                </w:p>
              </w:tc>
            </w:tr>
            <w:tr w14:paraId="399E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top"/>
                </w:tcPr>
                <w:p w14:paraId="5E4133F1">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default" w:ascii="Times New Roman" w:hAnsi="Times New Roman" w:eastAsia="宋体" w:cs="Times New Roman"/>
                      <w:bCs/>
                      <w:color w:val="auto"/>
                      <w:szCs w:val="21"/>
                      <w:highlight w:val="none"/>
                    </w:rPr>
                    <w:t>1</w:t>
                  </w:r>
                </w:p>
              </w:tc>
              <w:tc>
                <w:tcPr>
                  <w:tcW w:w="1250" w:type="dxa"/>
                  <w:vAlign w:val="top"/>
                </w:tcPr>
                <w:p w14:paraId="385F395F">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default" w:ascii="Times New Roman" w:hAnsi="Times New Roman" w:eastAsia="宋体" w:cs="Times New Roman"/>
                      <w:bCs/>
                      <w:color w:val="auto"/>
                      <w:szCs w:val="21"/>
                      <w:highlight w:val="none"/>
                    </w:rPr>
                    <w:t>氨水</w:t>
                  </w:r>
                </w:p>
              </w:tc>
              <w:tc>
                <w:tcPr>
                  <w:tcW w:w="2013" w:type="dxa"/>
                  <w:vAlign w:val="top"/>
                </w:tcPr>
                <w:p w14:paraId="58509B4F">
                  <w:pPr>
                    <w:pStyle w:val="54"/>
                    <w:adjustRightInd w:val="0"/>
                    <w:snapToGrid w:val="0"/>
                    <w:jc w:val="center"/>
                    <w:rPr>
                      <w:rStyle w:val="51"/>
                      <w:rFonts w:hint="eastAsia" w:ascii="Times New Roman" w:hAnsi="Times New Roman" w:eastAsia="宋体" w:cs="Times New Roman"/>
                      <w:bCs/>
                      <w:color w:val="auto"/>
                      <w:szCs w:val="21"/>
                      <w:highlight w:val="none"/>
                      <w:lang w:val="en-US" w:eastAsia="zh-CN"/>
                    </w:rPr>
                  </w:pPr>
                  <w:r>
                    <w:rPr>
                      <w:rStyle w:val="51"/>
                      <w:rFonts w:hint="eastAsia" w:eastAsia="宋体" w:cs="Times New Roman"/>
                      <w:bCs/>
                      <w:color w:val="auto"/>
                      <w:szCs w:val="21"/>
                      <w:highlight w:val="none"/>
                      <w:lang w:val="en-US" w:eastAsia="zh-CN"/>
                    </w:rPr>
                    <w:t>21.84</w:t>
                  </w:r>
                  <w:r>
                    <w:rPr>
                      <w:rStyle w:val="51"/>
                      <w:rFonts w:hint="eastAsia" w:ascii="Times New Roman" w:hAnsi="Times New Roman" w:eastAsia="宋体" w:cs="Times New Roman"/>
                      <w:bCs/>
                      <w:color w:val="auto"/>
                      <w:szCs w:val="21"/>
                      <w:highlight w:val="none"/>
                      <w:lang w:eastAsia="zh-CN"/>
                    </w:rPr>
                    <w:t>（</w:t>
                  </w:r>
                  <w:r>
                    <w:rPr>
                      <w:rStyle w:val="51"/>
                      <w:rFonts w:hint="eastAsia" w:ascii="Times New Roman" w:hAnsi="Times New Roman" w:eastAsia="宋体" w:cs="Times New Roman"/>
                      <w:bCs/>
                      <w:color w:val="auto"/>
                      <w:szCs w:val="21"/>
                      <w:highlight w:val="none"/>
                      <w:lang w:val="en-US" w:eastAsia="zh-CN"/>
                    </w:rPr>
                    <w:t>80%充满率</w:t>
                  </w:r>
                  <w:r>
                    <w:rPr>
                      <w:rStyle w:val="51"/>
                      <w:rFonts w:hint="eastAsia" w:ascii="Times New Roman" w:hAnsi="Times New Roman" w:eastAsia="宋体" w:cs="Times New Roman"/>
                      <w:bCs/>
                      <w:color w:val="auto"/>
                      <w:szCs w:val="21"/>
                      <w:highlight w:val="none"/>
                      <w:lang w:eastAsia="zh-CN"/>
                    </w:rPr>
                    <w:t>）</w:t>
                  </w:r>
                </w:p>
              </w:tc>
              <w:tc>
                <w:tcPr>
                  <w:tcW w:w="809" w:type="dxa"/>
                  <w:vMerge w:val="restart"/>
                  <w:vAlign w:val="top"/>
                </w:tcPr>
                <w:p w14:paraId="72AC808E">
                  <w:pPr>
                    <w:pStyle w:val="54"/>
                    <w:adjustRightInd w:val="0"/>
                    <w:snapToGrid w:val="0"/>
                    <w:jc w:val="center"/>
                    <w:rPr>
                      <w:rStyle w:val="51"/>
                      <w:rFonts w:hint="default" w:ascii="Times New Roman" w:hAnsi="Times New Roman" w:eastAsia="宋体" w:cs="Times New Roman"/>
                      <w:bCs/>
                      <w:color w:val="auto"/>
                      <w:szCs w:val="21"/>
                      <w:highlight w:val="none"/>
                    </w:rPr>
                  </w:pPr>
                </w:p>
                <w:p w14:paraId="6C56FB87">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default" w:ascii="Times New Roman" w:hAnsi="Times New Roman" w:eastAsia="宋体" w:cs="Times New Roman"/>
                      <w:bCs/>
                      <w:color w:val="auto"/>
                      <w:szCs w:val="21"/>
                      <w:highlight w:val="none"/>
                    </w:rPr>
                    <w:t>液态</w:t>
                  </w:r>
                </w:p>
              </w:tc>
              <w:tc>
                <w:tcPr>
                  <w:tcW w:w="1201" w:type="dxa"/>
                  <w:vAlign w:val="top"/>
                </w:tcPr>
                <w:p w14:paraId="4D55D8B3">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default" w:ascii="Times New Roman" w:hAnsi="Times New Roman" w:eastAsia="宋体" w:cs="Times New Roman"/>
                      <w:bCs/>
                      <w:color w:val="auto"/>
                      <w:szCs w:val="21"/>
                      <w:highlight w:val="none"/>
                    </w:rPr>
                    <w:t>氨水储罐</w:t>
                  </w:r>
                </w:p>
              </w:tc>
              <w:tc>
                <w:tcPr>
                  <w:tcW w:w="2227" w:type="dxa"/>
                  <w:vAlign w:val="top"/>
                </w:tcPr>
                <w:p w14:paraId="6517AB08">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default" w:ascii="Times New Roman" w:hAnsi="Times New Roman" w:eastAsia="宋体" w:cs="Times New Roman"/>
                      <w:bCs/>
                      <w:color w:val="auto"/>
                      <w:szCs w:val="21"/>
                      <w:highlight w:val="none"/>
                    </w:rPr>
                    <w:t>储存，氨水浓度</w:t>
                  </w:r>
                  <w:r>
                    <w:rPr>
                      <w:rStyle w:val="51"/>
                      <w:rFonts w:hint="eastAsia" w:ascii="Times New Roman" w:hAnsi="Times New Roman" w:eastAsia="宋体" w:cs="Times New Roman"/>
                      <w:bCs/>
                      <w:color w:val="auto"/>
                      <w:szCs w:val="21"/>
                      <w:highlight w:val="none"/>
                      <w:lang w:eastAsia="zh-CN"/>
                    </w:rPr>
                    <w:t>≥</w:t>
                  </w:r>
                  <w:r>
                    <w:rPr>
                      <w:rStyle w:val="51"/>
                      <w:rFonts w:hint="default" w:ascii="Times New Roman" w:hAnsi="Times New Roman" w:eastAsia="宋体" w:cs="Times New Roman"/>
                      <w:bCs/>
                      <w:color w:val="auto"/>
                      <w:szCs w:val="21"/>
                      <w:highlight w:val="none"/>
                    </w:rPr>
                    <w:t>2</w:t>
                  </w:r>
                  <w:r>
                    <w:rPr>
                      <w:rStyle w:val="51"/>
                      <w:rFonts w:hint="eastAsia" w:ascii="Times New Roman" w:hAnsi="Times New Roman" w:eastAsia="宋体" w:cs="Times New Roman"/>
                      <w:bCs/>
                      <w:color w:val="auto"/>
                      <w:szCs w:val="21"/>
                      <w:highlight w:val="none"/>
                      <w:lang w:val="en-US" w:eastAsia="zh-CN"/>
                    </w:rPr>
                    <w:t>0</w:t>
                  </w:r>
                  <w:r>
                    <w:rPr>
                      <w:rStyle w:val="51"/>
                      <w:rFonts w:hint="default" w:ascii="Times New Roman" w:hAnsi="Times New Roman" w:eastAsia="宋体" w:cs="Times New Roman"/>
                      <w:bCs/>
                      <w:color w:val="auto"/>
                      <w:szCs w:val="21"/>
                      <w:highlight w:val="none"/>
                    </w:rPr>
                    <w:t>%</w:t>
                  </w:r>
                </w:p>
              </w:tc>
            </w:tr>
            <w:tr w14:paraId="24D8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top"/>
                </w:tcPr>
                <w:p w14:paraId="4B501693">
                  <w:pPr>
                    <w:pStyle w:val="54"/>
                    <w:adjustRightInd w:val="0"/>
                    <w:snapToGrid w:val="0"/>
                    <w:jc w:val="center"/>
                    <w:rPr>
                      <w:rStyle w:val="51"/>
                      <w:rFonts w:hint="eastAsia" w:ascii="Times New Roman" w:hAnsi="Times New Roman" w:eastAsia="宋体" w:cs="Times New Roman"/>
                      <w:bCs/>
                      <w:color w:val="auto"/>
                      <w:szCs w:val="21"/>
                      <w:highlight w:val="none"/>
                      <w:lang w:val="en-US" w:eastAsia="zh-CN"/>
                    </w:rPr>
                  </w:pPr>
                  <w:r>
                    <w:rPr>
                      <w:rStyle w:val="51"/>
                      <w:rFonts w:hint="eastAsia" w:cs="Times New Roman"/>
                      <w:bCs/>
                      <w:color w:val="auto"/>
                      <w:szCs w:val="21"/>
                      <w:highlight w:val="none"/>
                      <w:lang w:val="en-US" w:eastAsia="zh-CN"/>
                    </w:rPr>
                    <w:t>2</w:t>
                  </w:r>
                </w:p>
              </w:tc>
              <w:tc>
                <w:tcPr>
                  <w:tcW w:w="1250" w:type="dxa"/>
                  <w:vAlign w:val="top"/>
                </w:tcPr>
                <w:p w14:paraId="1DCFF86B">
                  <w:pPr>
                    <w:pStyle w:val="54"/>
                    <w:adjustRightInd w:val="0"/>
                    <w:snapToGrid w:val="0"/>
                    <w:jc w:val="center"/>
                    <w:rPr>
                      <w:rStyle w:val="51"/>
                      <w:rFonts w:hint="eastAsia" w:ascii="Times New Roman" w:hAnsi="Times New Roman" w:eastAsia="宋体" w:cs="Times New Roman"/>
                      <w:bCs/>
                      <w:color w:val="auto"/>
                      <w:szCs w:val="21"/>
                      <w:highlight w:val="none"/>
                      <w:lang w:eastAsia="zh-CN"/>
                    </w:rPr>
                  </w:pPr>
                  <w:r>
                    <w:rPr>
                      <w:rStyle w:val="51"/>
                      <w:rFonts w:hint="eastAsia" w:cs="Times New Roman"/>
                      <w:bCs/>
                      <w:color w:val="auto"/>
                      <w:szCs w:val="21"/>
                      <w:highlight w:val="none"/>
                      <w:lang w:eastAsia="zh-CN"/>
                    </w:rPr>
                    <w:t>废机油</w:t>
                  </w:r>
                </w:p>
              </w:tc>
              <w:tc>
                <w:tcPr>
                  <w:tcW w:w="2013" w:type="dxa"/>
                  <w:vAlign w:val="top"/>
                </w:tcPr>
                <w:p w14:paraId="3E2492AA">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eastAsia" w:cs="Times New Roman"/>
                      <w:bCs/>
                      <w:color w:val="auto"/>
                      <w:szCs w:val="21"/>
                      <w:highlight w:val="none"/>
                      <w:lang w:val="en-US" w:eastAsia="zh-CN"/>
                    </w:rPr>
                    <w:t>0.5</w:t>
                  </w:r>
                </w:p>
              </w:tc>
              <w:tc>
                <w:tcPr>
                  <w:tcW w:w="809" w:type="dxa"/>
                  <w:vMerge w:val="continue"/>
                  <w:vAlign w:val="top"/>
                </w:tcPr>
                <w:p w14:paraId="4ABB8D44">
                  <w:pPr>
                    <w:pStyle w:val="54"/>
                    <w:adjustRightInd w:val="0"/>
                    <w:snapToGrid w:val="0"/>
                    <w:jc w:val="center"/>
                    <w:rPr>
                      <w:rStyle w:val="51"/>
                      <w:rFonts w:hint="default" w:ascii="Times New Roman" w:hAnsi="Times New Roman" w:eastAsia="宋体" w:cs="Times New Roman"/>
                      <w:bCs/>
                      <w:color w:val="auto"/>
                      <w:szCs w:val="21"/>
                      <w:highlight w:val="none"/>
                    </w:rPr>
                  </w:pPr>
                </w:p>
              </w:tc>
              <w:tc>
                <w:tcPr>
                  <w:tcW w:w="1201" w:type="dxa"/>
                  <w:vMerge w:val="restart"/>
                  <w:vAlign w:val="top"/>
                </w:tcPr>
                <w:p w14:paraId="13AA06BE">
                  <w:pPr>
                    <w:pStyle w:val="54"/>
                    <w:adjustRightInd w:val="0"/>
                    <w:snapToGrid w:val="0"/>
                    <w:jc w:val="center"/>
                    <w:rPr>
                      <w:rStyle w:val="51"/>
                      <w:rFonts w:hint="eastAsia" w:ascii="Times New Roman" w:hAnsi="Times New Roman" w:eastAsia="宋体" w:cs="Times New Roman"/>
                      <w:bCs/>
                      <w:color w:val="auto"/>
                      <w:szCs w:val="21"/>
                      <w:highlight w:val="none"/>
                      <w:lang w:eastAsia="zh-CN"/>
                    </w:rPr>
                  </w:pPr>
                  <w:r>
                    <w:rPr>
                      <w:rStyle w:val="51"/>
                      <w:rFonts w:hint="eastAsia" w:cs="Times New Roman"/>
                      <w:bCs/>
                      <w:color w:val="auto"/>
                      <w:szCs w:val="21"/>
                      <w:highlight w:val="none"/>
                      <w:lang w:eastAsia="zh-CN"/>
                    </w:rPr>
                    <w:t>危险暂存间</w:t>
                  </w:r>
                </w:p>
              </w:tc>
              <w:tc>
                <w:tcPr>
                  <w:tcW w:w="2227" w:type="dxa"/>
                  <w:vAlign w:val="top"/>
                </w:tcPr>
                <w:p w14:paraId="337E94FE">
                  <w:pPr>
                    <w:pStyle w:val="54"/>
                    <w:adjustRightInd w:val="0"/>
                    <w:snapToGrid w:val="0"/>
                    <w:jc w:val="center"/>
                    <w:rPr>
                      <w:rStyle w:val="51"/>
                      <w:rFonts w:hint="eastAsia" w:ascii="Times New Roman" w:hAnsi="Times New Roman" w:eastAsia="宋体" w:cs="Times New Roman"/>
                      <w:bCs/>
                      <w:color w:val="auto"/>
                      <w:szCs w:val="21"/>
                      <w:highlight w:val="none"/>
                      <w:lang w:val="en-US" w:eastAsia="zh-CN"/>
                    </w:rPr>
                  </w:pPr>
                  <w:r>
                    <w:rPr>
                      <w:rStyle w:val="51"/>
                      <w:rFonts w:hint="eastAsia" w:cs="Times New Roman"/>
                      <w:bCs/>
                      <w:color w:val="auto"/>
                      <w:szCs w:val="21"/>
                      <w:highlight w:val="none"/>
                      <w:lang w:val="en-US" w:eastAsia="zh-CN"/>
                    </w:rPr>
                    <w:t>/</w:t>
                  </w:r>
                </w:p>
              </w:tc>
            </w:tr>
            <w:tr w14:paraId="2EF2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top"/>
                </w:tcPr>
                <w:p w14:paraId="36FBD014">
                  <w:pPr>
                    <w:pStyle w:val="54"/>
                    <w:adjustRightInd w:val="0"/>
                    <w:snapToGrid w:val="0"/>
                    <w:jc w:val="center"/>
                    <w:rPr>
                      <w:rStyle w:val="51"/>
                      <w:rFonts w:hint="default" w:cs="Times New Roman"/>
                      <w:bCs/>
                      <w:color w:val="auto"/>
                      <w:szCs w:val="21"/>
                      <w:highlight w:val="none"/>
                      <w:lang w:val="en-US" w:eastAsia="zh-CN"/>
                    </w:rPr>
                  </w:pPr>
                  <w:r>
                    <w:rPr>
                      <w:rStyle w:val="51"/>
                      <w:rFonts w:hint="eastAsia" w:cs="Times New Roman"/>
                      <w:bCs/>
                      <w:color w:val="auto"/>
                      <w:szCs w:val="21"/>
                      <w:highlight w:val="none"/>
                      <w:lang w:val="en-US" w:eastAsia="zh-CN"/>
                    </w:rPr>
                    <w:t>3</w:t>
                  </w:r>
                </w:p>
              </w:tc>
              <w:tc>
                <w:tcPr>
                  <w:tcW w:w="1250" w:type="dxa"/>
                  <w:vAlign w:val="top"/>
                </w:tcPr>
                <w:p w14:paraId="27BF063A">
                  <w:pPr>
                    <w:pStyle w:val="54"/>
                    <w:adjustRightInd w:val="0"/>
                    <w:snapToGrid w:val="0"/>
                    <w:jc w:val="center"/>
                    <w:rPr>
                      <w:rStyle w:val="51"/>
                      <w:rFonts w:hint="eastAsia" w:ascii="Times New Roman" w:hAnsi="Times New Roman" w:eastAsia="宋体" w:cs="Times New Roman"/>
                      <w:bCs/>
                      <w:color w:val="auto"/>
                      <w:szCs w:val="21"/>
                      <w:highlight w:val="none"/>
                      <w:lang w:eastAsia="zh-CN"/>
                    </w:rPr>
                  </w:pPr>
                  <w:r>
                    <w:rPr>
                      <w:rStyle w:val="51"/>
                      <w:rFonts w:hint="eastAsia" w:cs="Times New Roman"/>
                      <w:bCs/>
                      <w:color w:val="auto"/>
                      <w:szCs w:val="21"/>
                      <w:highlight w:val="none"/>
                      <w:lang w:eastAsia="zh-CN"/>
                    </w:rPr>
                    <w:t>废液压油</w:t>
                  </w:r>
                </w:p>
              </w:tc>
              <w:tc>
                <w:tcPr>
                  <w:tcW w:w="2013" w:type="dxa"/>
                  <w:vAlign w:val="top"/>
                </w:tcPr>
                <w:p w14:paraId="13520CB3">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eastAsia" w:cs="Times New Roman"/>
                      <w:bCs/>
                      <w:color w:val="auto"/>
                      <w:szCs w:val="21"/>
                      <w:highlight w:val="none"/>
                      <w:lang w:val="en-US" w:eastAsia="zh-CN"/>
                    </w:rPr>
                    <w:t>1.0</w:t>
                  </w:r>
                </w:p>
              </w:tc>
              <w:tc>
                <w:tcPr>
                  <w:tcW w:w="809" w:type="dxa"/>
                  <w:vMerge w:val="continue"/>
                  <w:vAlign w:val="top"/>
                </w:tcPr>
                <w:p w14:paraId="38D22562">
                  <w:pPr>
                    <w:pStyle w:val="54"/>
                    <w:adjustRightInd w:val="0"/>
                    <w:snapToGrid w:val="0"/>
                    <w:jc w:val="center"/>
                    <w:rPr>
                      <w:rStyle w:val="51"/>
                      <w:rFonts w:hint="default" w:ascii="Times New Roman" w:hAnsi="Times New Roman" w:eastAsia="宋体" w:cs="Times New Roman"/>
                      <w:bCs/>
                      <w:color w:val="auto"/>
                      <w:szCs w:val="21"/>
                      <w:highlight w:val="none"/>
                    </w:rPr>
                  </w:pPr>
                </w:p>
              </w:tc>
              <w:tc>
                <w:tcPr>
                  <w:tcW w:w="1201" w:type="dxa"/>
                  <w:vMerge w:val="continue"/>
                  <w:vAlign w:val="top"/>
                </w:tcPr>
                <w:p w14:paraId="46C8A662">
                  <w:pPr>
                    <w:pStyle w:val="54"/>
                    <w:adjustRightInd w:val="0"/>
                    <w:snapToGrid w:val="0"/>
                    <w:jc w:val="center"/>
                    <w:rPr>
                      <w:rStyle w:val="51"/>
                      <w:rFonts w:hint="default" w:ascii="Times New Roman" w:hAnsi="Times New Roman" w:eastAsia="宋体" w:cs="Times New Roman"/>
                      <w:bCs/>
                      <w:color w:val="auto"/>
                      <w:szCs w:val="21"/>
                      <w:highlight w:val="none"/>
                    </w:rPr>
                  </w:pPr>
                </w:p>
              </w:tc>
              <w:tc>
                <w:tcPr>
                  <w:tcW w:w="2227" w:type="dxa"/>
                  <w:vAlign w:val="top"/>
                </w:tcPr>
                <w:p w14:paraId="09560E22">
                  <w:pPr>
                    <w:pStyle w:val="54"/>
                    <w:adjustRightInd w:val="0"/>
                    <w:snapToGrid w:val="0"/>
                    <w:jc w:val="center"/>
                    <w:rPr>
                      <w:rStyle w:val="51"/>
                      <w:rFonts w:hint="eastAsia" w:ascii="Times New Roman" w:hAnsi="Times New Roman" w:eastAsia="宋体" w:cs="Times New Roman"/>
                      <w:bCs/>
                      <w:color w:val="auto"/>
                      <w:szCs w:val="21"/>
                      <w:highlight w:val="none"/>
                      <w:lang w:val="en-US" w:eastAsia="zh-CN"/>
                    </w:rPr>
                  </w:pPr>
                  <w:r>
                    <w:rPr>
                      <w:rStyle w:val="51"/>
                      <w:rFonts w:hint="eastAsia" w:cs="Times New Roman"/>
                      <w:bCs/>
                      <w:color w:val="auto"/>
                      <w:szCs w:val="21"/>
                      <w:highlight w:val="none"/>
                      <w:lang w:val="en-US" w:eastAsia="zh-CN"/>
                    </w:rPr>
                    <w:t>/</w:t>
                  </w:r>
                </w:p>
              </w:tc>
            </w:tr>
            <w:tr w14:paraId="5EDF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2" w:type="dxa"/>
                  <w:gridSpan w:val="6"/>
                  <w:vAlign w:val="top"/>
                </w:tcPr>
                <w:p w14:paraId="38417FB0">
                  <w:pPr>
                    <w:pStyle w:val="54"/>
                    <w:adjustRightInd w:val="0"/>
                    <w:snapToGrid w:val="0"/>
                    <w:jc w:val="both"/>
                    <w:rPr>
                      <w:rStyle w:val="51"/>
                      <w:rFonts w:hint="default" w:ascii="Times New Roman" w:hAnsi="Times New Roman" w:eastAsia="宋体" w:cs="Times New Roman"/>
                      <w:bCs/>
                      <w:color w:val="auto"/>
                      <w:szCs w:val="21"/>
                      <w:highlight w:val="none"/>
                      <w:vertAlign w:val="baseline"/>
                      <w:lang w:val="en-US" w:eastAsia="zh-CN"/>
                    </w:rPr>
                  </w:pPr>
                  <w:r>
                    <w:rPr>
                      <w:rStyle w:val="51"/>
                      <w:rFonts w:hint="eastAsia" w:ascii="Times New Roman" w:hAnsi="Times New Roman" w:eastAsia="宋体" w:cs="Times New Roman"/>
                      <w:bCs/>
                      <w:color w:val="auto"/>
                      <w:szCs w:val="21"/>
                      <w:highlight w:val="none"/>
                      <w:lang w:eastAsia="zh-CN"/>
                    </w:rPr>
                    <w:t>氨水密度约为</w:t>
                  </w:r>
                  <w:r>
                    <w:rPr>
                      <w:rStyle w:val="51"/>
                      <w:rFonts w:hint="eastAsia" w:ascii="Times New Roman" w:hAnsi="Times New Roman" w:eastAsia="宋体" w:cs="Times New Roman"/>
                      <w:bCs/>
                      <w:color w:val="auto"/>
                      <w:szCs w:val="21"/>
                      <w:highlight w:val="none"/>
                      <w:lang w:val="en-US" w:eastAsia="zh-CN"/>
                    </w:rPr>
                    <w:t>0.91mg/cm</w:t>
                  </w:r>
                  <w:r>
                    <w:rPr>
                      <w:rStyle w:val="51"/>
                      <w:rFonts w:hint="eastAsia" w:ascii="Times New Roman" w:hAnsi="Times New Roman" w:eastAsia="宋体" w:cs="Times New Roman"/>
                      <w:bCs/>
                      <w:color w:val="auto"/>
                      <w:szCs w:val="21"/>
                      <w:highlight w:val="none"/>
                      <w:vertAlign w:val="superscript"/>
                      <w:lang w:val="en-US" w:eastAsia="zh-CN"/>
                    </w:rPr>
                    <w:t>3</w:t>
                  </w:r>
                  <w:r>
                    <w:rPr>
                      <w:rStyle w:val="51"/>
                      <w:rFonts w:hint="eastAsia" w:ascii="Times New Roman" w:hAnsi="Times New Roman" w:eastAsia="宋体" w:cs="Times New Roman"/>
                      <w:bCs/>
                      <w:color w:val="auto"/>
                      <w:szCs w:val="21"/>
                      <w:highlight w:val="none"/>
                      <w:vertAlign w:val="baseline"/>
                      <w:lang w:val="en-US" w:eastAsia="zh-CN"/>
                    </w:rPr>
                    <w:t>，项目设置1个容积为30</w:t>
                  </w:r>
                  <w:r>
                    <w:rPr>
                      <w:rStyle w:val="51"/>
                      <w:rFonts w:hint="eastAsia" w:ascii="Times New Roman" w:hAnsi="Times New Roman" w:eastAsia="宋体" w:cs="Times New Roman"/>
                      <w:bCs/>
                      <w:color w:val="auto"/>
                      <w:szCs w:val="21"/>
                      <w:highlight w:val="none"/>
                      <w:lang w:val="en-US" w:eastAsia="zh-CN"/>
                    </w:rPr>
                    <w:t>m</w:t>
                  </w:r>
                  <w:r>
                    <w:rPr>
                      <w:rStyle w:val="51"/>
                      <w:rFonts w:hint="eastAsia" w:ascii="Times New Roman" w:hAnsi="Times New Roman" w:eastAsia="宋体" w:cs="Times New Roman"/>
                      <w:bCs/>
                      <w:color w:val="auto"/>
                      <w:szCs w:val="21"/>
                      <w:highlight w:val="none"/>
                      <w:vertAlign w:val="superscript"/>
                      <w:lang w:val="en-US" w:eastAsia="zh-CN"/>
                    </w:rPr>
                    <w:t>3</w:t>
                  </w:r>
                  <w:r>
                    <w:rPr>
                      <w:rStyle w:val="51"/>
                      <w:rFonts w:hint="eastAsia" w:ascii="Times New Roman" w:hAnsi="Times New Roman" w:eastAsia="宋体" w:cs="Times New Roman"/>
                      <w:bCs/>
                      <w:color w:val="auto"/>
                      <w:szCs w:val="21"/>
                      <w:highlight w:val="none"/>
                      <w:vertAlign w:val="baseline"/>
                      <w:lang w:val="en-US" w:eastAsia="zh-CN"/>
                    </w:rPr>
                    <w:t>的氨水储罐</w:t>
                  </w:r>
                  <w:r>
                    <w:rPr>
                      <w:rStyle w:val="51"/>
                      <w:rFonts w:hint="eastAsia" w:eastAsia="宋体" w:cs="Times New Roman"/>
                      <w:bCs/>
                      <w:color w:val="auto"/>
                      <w:szCs w:val="21"/>
                      <w:highlight w:val="none"/>
                      <w:vertAlign w:val="baseline"/>
                      <w:lang w:val="en-US" w:eastAsia="zh-CN"/>
                    </w:rPr>
                    <w:t>。</w:t>
                  </w:r>
                </w:p>
              </w:tc>
            </w:tr>
          </w:tbl>
          <w:p w14:paraId="6D940B54">
            <w:pPr>
              <w:keepNext w:val="0"/>
              <w:keepLines w:val="0"/>
              <w:pageBreakBefore w:val="0"/>
              <w:kinsoku/>
              <w:wordWrap/>
              <w:overflowPunct/>
              <w:topLinePunct w:val="0"/>
              <w:autoSpaceDE/>
              <w:autoSpaceDN/>
              <w:bidi w:val="0"/>
              <w:spacing w:line="408" w:lineRule="auto"/>
              <w:ind w:firstLine="482"/>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41</w:t>
            </w:r>
            <w:r>
              <w:rPr>
                <w:rFonts w:hint="default" w:ascii="Times New Roman" w:hAnsi="Times New Roman" w:eastAsia="宋体" w:cs="Times New Roman"/>
                <w:b/>
                <w:bCs/>
                <w:color w:val="auto"/>
                <w:sz w:val="21"/>
                <w:szCs w:val="21"/>
                <w:highlight w:val="none"/>
                <w:lang w:val="en-US" w:eastAsia="zh-CN"/>
              </w:rPr>
              <w:t xml:space="preserve">  建设项目Q值确定表</w:t>
            </w:r>
          </w:p>
          <w:tbl>
            <w:tblPr>
              <w:tblStyle w:val="28"/>
              <w:tblW w:w="8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907"/>
              <w:gridCol w:w="1401"/>
              <w:gridCol w:w="1401"/>
              <w:gridCol w:w="1401"/>
              <w:gridCol w:w="1402"/>
            </w:tblGrid>
            <w:tr w14:paraId="0ED4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top"/>
                </w:tcPr>
                <w:p w14:paraId="41B43787">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default" w:ascii="Times New Roman" w:hAnsi="Times New Roman" w:eastAsia="宋体" w:cs="Times New Roman"/>
                      <w:bCs/>
                      <w:color w:val="auto"/>
                      <w:szCs w:val="21"/>
                      <w:highlight w:val="none"/>
                    </w:rPr>
                    <w:t>序号</w:t>
                  </w:r>
                </w:p>
              </w:tc>
              <w:tc>
                <w:tcPr>
                  <w:tcW w:w="1907" w:type="dxa"/>
                  <w:vAlign w:val="top"/>
                </w:tcPr>
                <w:p w14:paraId="4FFC5C45">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default" w:ascii="Times New Roman" w:hAnsi="Times New Roman" w:eastAsia="宋体" w:cs="Times New Roman"/>
                      <w:bCs/>
                      <w:color w:val="auto"/>
                      <w:szCs w:val="21"/>
                      <w:highlight w:val="none"/>
                    </w:rPr>
                    <w:t>危险物质名称</w:t>
                  </w:r>
                </w:p>
              </w:tc>
              <w:tc>
                <w:tcPr>
                  <w:tcW w:w="1401" w:type="dxa"/>
                  <w:vAlign w:val="top"/>
                </w:tcPr>
                <w:p w14:paraId="4C078781">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default" w:ascii="Times New Roman" w:hAnsi="Times New Roman" w:eastAsia="宋体" w:cs="Times New Roman"/>
                      <w:bCs/>
                      <w:color w:val="auto"/>
                      <w:szCs w:val="21"/>
                      <w:highlight w:val="none"/>
                    </w:rPr>
                    <w:t>CAS号</w:t>
                  </w:r>
                </w:p>
              </w:tc>
              <w:tc>
                <w:tcPr>
                  <w:tcW w:w="1401" w:type="dxa"/>
                  <w:vAlign w:val="top"/>
                </w:tcPr>
                <w:p w14:paraId="04E1B98C">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default" w:ascii="Times New Roman" w:hAnsi="Times New Roman" w:eastAsia="宋体" w:cs="Times New Roman"/>
                      <w:bCs/>
                      <w:color w:val="auto"/>
                      <w:szCs w:val="21"/>
                      <w:highlight w:val="none"/>
                    </w:rPr>
                    <w:t>最大存在总量qn/t</w:t>
                  </w:r>
                </w:p>
              </w:tc>
              <w:tc>
                <w:tcPr>
                  <w:tcW w:w="1401" w:type="dxa"/>
                  <w:vAlign w:val="top"/>
                </w:tcPr>
                <w:p w14:paraId="65C8C98F">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default" w:ascii="Times New Roman" w:hAnsi="Times New Roman" w:eastAsia="宋体" w:cs="Times New Roman"/>
                      <w:bCs/>
                      <w:color w:val="auto"/>
                      <w:szCs w:val="21"/>
                      <w:highlight w:val="none"/>
                    </w:rPr>
                    <w:t>临界量Qn/t</w:t>
                  </w:r>
                </w:p>
              </w:tc>
              <w:tc>
                <w:tcPr>
                  <w:tcW w:w="1402" w:type="dxa"/>
                  <w:vAlign w:val="top"/>
                </w:tcPr>
                <w:p w14:paraId="3FE02311">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default" w:ascii="Times New Roman" w:hAnsi="Times New Roman" w:eastAsia="宋体" w:cs="Times New Roman"/>
                      <w:bCs/>
                      <w:color w:val="auto"/>
                      <w:szCs w:val="21"/>
                      <w:highlight w:val="none"/>
                    </w:rPr>
                    <w:t>该种危险物质Q值</w:t>
                  </w:r>
                </w:p>
              </w:tc>
            </w:tr>
            <w:tr w14:paraId="46CB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top"/>
                </w:tcPr>
                <w:p w14:paraId="32B08D34">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default" w:ascii="Times New Roman" w:hAnsi="Times New Roman" w:eastAsia="宋体" w:cs="Times New Roman"/>
                      <w:bCs/>
                      <w:color w:val="auto"/>
                      <w:szCs w:val="21"/>
                      <w:highlight w:val="none"/>
                    </w:rPr>
                    <w:t>1</w:t>
                  </w:r>
                </w:p>
              </w:tc>
              <w:tc>
                <w:tcPr>
                  <w:tcW w:w="1907" w:type="dxa"/>
                  <w:vAlign w:val="top"/>
                </w:tcPr>
                <w:p w14:paraId="0A4E6496">
                  <w:pPr>
                    <w:pStyle w:val="54"/>
                    <w:adjustRightInd w:val="0"/>
                    <w:snapToGrid w:val="0"/>
                    <w:jc w:val="both"/>
                    <w:rPr>
                      <w:rStyle w:val="51"/>
                      <w:rFonts w:hint="eastAsia" w:ascii="Times New Roman" w:hAnsi="Times New Roman" w:eastAsia="宋体" w:cs="Times New Roman"/>
                      <w:bCs/>
                      <w:color w:val="auto"/>
                      <w:szCs w:val="21"/>
                      <w:highlight w:val="none"/>
                      <w:lang w:val="en-US" w:eastAsia="zh-CN"/>
                    </w:rPr>
                  </w:pPr>
                  <w:r>
                    <w:rPr>
                      <w:rStyle w:val="51"/>
                      <w:rFonts w:hint="default" w:ascii="Times New Roman" w:hAnsi="Times New Roman" w:eastAsia="宋体" w:cs="Times New Roman"/>
                      <w:bCs/>
                      <w:color w:val="auto"/>
                      <w:szCs w:val="21"/>
                      <w:highlight w:val="none"/>
                    </w:rPr>
                    <w:t>氨水</w:t>
                  </w:r>
                  <w:r>
                    <w:rPr>
                      <w:rStyle w:val="51"/>
                      <w:rFonts w:hint="eastAsia" w:ascii="Times New Roman" w:hAnsi="Times New Roman" w:eastAsia="宋体" w:cs="Times New Roman"/>
                      <w:bCs/>
                      <w:color w:val="auto"/>
                      <w:szCs w:val="21"/>
                      <w:highlight w:val="none"/>
                      <w:lang w:eastAsia="zh-CN"/>
                    </w:rPr>
                    <w:t>（≥</w:t>
                  </w:r>
                  <w:r>
                    <w:rPr>
                      <w:rStyle w:val="51"/>
                      <w:rFonts w:hint="default" w:ascii="Times New Roman" w:hAnsi="Times New Roman" w:eastAsia="宋体" w:cs="Times New Roman"/>
                      <w:bCs/>
                      <w:color w:val="auto"/>
                      <w:szCs w:val="21"/>
                      <w:highlight w:val="none"/>
                    </w:rPr>
                    <w:t>2</w:t>
                  </w:r>
                  <w:r>
                    <w:rPr>
                      <w:rStyle w:val="51"/>
                      <w:rFonts w:hint="eastAsia" w:ascii="Times New Roman" w:hAnsi="Times New Roman" w:eastAsia="宋体" w:cs="Times New Roman"/>
                      <w:bCs/>
                      <w:color w:val="auto"/>
                      <w:szCs w:val="21"/>
                      <w:highlight w:val="none"/>
                      <w:lang w:val="en-US" w:eastAsia="zh-CN"/>
                    </w:rPr>
                    <w:t>0</w:t>
                  </w:r>
                  <w:r>
                    <w:rPr>
                      <w:rStyle w:val="51"/>
                      <w:rFonts w:hint="default" w:ascii="Times New Roman" w:hAnsi="Times New Roman" w:eastAsia="宋体" w:cs="Times New Roman"/>
                      <w:bCs/>
                      <w:color w:val="auto"/>
                      <w:szCs w:val="21"/>
                      <w:highlight w:val="none"/>
                    </w:rPr>
                    <w:t>%</w:t>
                  </w:r>
                  <w:r>
                    <w:rPr>
                      <w:rStyle w:val="51"/>
                      <w:rFonts w:hint="eastAsia" w:ascii="Times New Roman" w:hAnsi="Times New Roman" w:eastAsia="宋体" w:cs="Times New Roman"/>
                      <w:bCs/>
                      <w:color w:val="auto"/>
                      <w:szCs w:val="21"/>
                      <w:highlight w:val="none"/>
                      <w:lang w:eastAsia="zh-CN"/>
                    </w:rPr>
                    <w:t>）</w:t>
                  </w:r>
                </w:p>
              </w:tc>
              <w:tc>
                <w:tcPr>
                  <w:tcW w:w="1401" w:type="dxa"/>
                  <w:vAlign w:val="top"/>
                </w:tcPr>
                <w:p w14:paraId="5C5B686D">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default" w:ascii="Times New Roman" w:hAnsi="Times New Roman" w:eastAsia="宋体" w:cs="Times New Roman"/>
                      <w:bCs/>
                      <w:color w:val="auto"/>
                      <w:szCs w:val="21"/>
                      <w:highlight w:val="none"/>
                    </w:rPr>
                    <w:t>1336-21-6</w:t>
                  </w:r>
                </w:p>
              </w:tc>
              <w:tc>
                <w:tcPr>
                  <w:tcW w:w="1401" w:type="dxa"/>
                  <w:vAlign w:val="top"/>
                </w:tcPr>
                <w:p w14:paraId="6744B6B4">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eastAsia" w:eastAsia="宋体" w:cs="Times New Roman"/>
                      <w:bCs/>
                      <w:color w:val="auto"/>
                      <w:szCs w:val="21"/>
                      <w:highlight w:val="none"/>
                      <w:lang w:val="en-US" w:eastAsia="zh-CN"/>
                    </w:rPr>
                    <w:t>21.84</w:t>
                  </w:r>
                </w:p>
              </w:tc>
              <w:tc>
                <w:tcPr>
                  <w:tcW w:w="1401" w:type="dxa"/>
                  <w:vAlign w:val="top"/>
                </w:tcPr>
                <w:p w14:paraId="564F64B6">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default" w:ascii="Times New Roman" w:hAnsi="Times New Roman" w:eastAsia="宋体" w:cs="Times New Roman"/>
                      <w:bCs/>
                      <w:color w:val="auto"/>
                      <w:szCs w:val="21"/>
                      <w:highlight w:val="none"/>
                    </w:rPr>
                    <w:t>10</w:t>
                  </w:r>
                </w:p>
              </w:tc>
              <w:tc>
                <w:tcPr>
                  <w:tcW w:w="1402" w:type="dxa"/>
                  <w:vAlign w:val="top"/>
                </w:tcPr>
                <w:p w14:paraId="571365C5">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eastAsia" w:cs="Times New Roman"/>
                      <w:bCs/>
                      <w:color w:val="auto"/>
                      <w:szCs w:val="21"/>
                      <w:highlight w:val="none"/>
                      <w:lang w:val="en-US" w:eastAsia="zh-CN"/>
                    </w:rPr>
                    <w:t>2.184</w:t>
                  </w:r>
                </w:p>
              </w:tc>
            </w:tr>
            <w:tr w14:paraId="0243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95" w:type="dxa"/>
                  <w:vAlign w:val="top"/>
                </w:tcPr>
                <w:p w14:paraId="08512FDC">
                  <w:pPr>
                    <w:pStyle w:val="54"/>
                    <w:adjustRightInd w:val="0"/>
                    <w:snapToGrid w:val="0"/>
                    <w:jc w:val="center"/>
                    <w:rPr>
                      <w:rStyle w:val="51"/>
                      <w:rFonts w:hint="default" w:ascii="Times New Roman" w:hAnsi="Times New Roman" w:eastAsia="宋体" w:cs="Times New Roman"/>
                      <w:bCs/>
                      <w:color w:val="auto"/>
                      <w:szCs w:val="21"/>
                      <w:highlight w:val="none"/>
                    </w:rPr>
                  </w:pPr>
                  <w:r>
                    <w:rPr>
                      <w:rStyle w:val="51"/>
                      <w:rFonts w:hint="eastAsia" w:cs="Times New Roman"/>
                      <w:bCs/>
                      <w:color w:val="auto"/>
                      <w:szCs w:val="21"/>
                      <w:highlight w:val="none"/>
                      <w:lang w:val="en-US" w:eastAsia="zh-CN"/>
                    </w:rPr>
                    <w:t>2</w:t>
                  </w:r>
                </w:p>
              </w:tc>
              <w:tc>
                <w:tcPr>
                  <w:tcW w:w="1907" w:type="dxa"/>
                  <w:vAlign w:val="top"/>
                </w:tcPr>
                <w:p w14:paraId="7DD67770">
                  <w:pPr>
                    <w:pStyle w:val="54"/>
                    <w:adjustRightInd w:val="0"/>
                    <w:snapToGrid w:val="0"/>
                    <w:jc w:val="center"/>
                    <w:rPr>
                      <w:rStyle w:val="51"/>
                      <w:rFonts w:hint="default" w:ascii="Times New Roman" w:hAnsi="Times New Roman" w:eastAsia="宋体" w:cs="Times New Roman"/>
                      <w:bCs/>
                      <w:color w:val="auto"/>
                      <w:szCs w:val="21"/>
                      <w:highlight w:val="none"/>
                    </w:rPr>
                  </w:pPr>
                  <w:r>
                    <w:rPr>
                      <w:rStyle w:val="51"/>
                      <w:rFonts w:hint="eastAsia" w:cs="Times New Roman"/>
                      <w:bCs/>
                      <w:color w:val="auto"/>
                      <w:szCs w:val="21"/>
                      <w:highlight w:val="none"/>
                      <w:lang w:eastAsia="zh-CN"/>
                    </w:rPr>
                    <w:t>废机油</w:t>
                  </w:r>
                </w:p>
              </w:tc>
              <w:tc>
                <w:tcPr>
                  <w:tcW w:w="1401" w:type="dxa"/>
                  <w:vMerge w:val="restart"/>
                  <w:vAlign w:val="top"/>
                </w:tcPr>
                <w:p w14:paraId="529ABF8C">
                  <w:pPr>
                    <w:pStyle w:val="54"/>
                    <w:adjustRightInd w:val="0"/>
                    <w:snapToGrid w:val="0"/>
                    <w:jc w:val="center"/>
                    <w:rPr>
                      <w:rStyle w:val="51"/>
                      <w:rFonts w:hint="default" w:ascii="Times New Roman" w:hAnsi="Times New Roman" w:eastAsia="宋体" w:cs="Times New Roman"/>
                      <w:bCs/>
                      <w:color w:val="auto"/>
                      <w:szCs w:val="21"/>
                      <w:highlight w:val="none"/>
                    </w:rPr>
                  </w:pPr>
                  <w:r>
                    <w:rPr>
                      <w:rStyle w:val="51"/>
                      <w:rFonts w:hint="default" w:ascii="Times New Roman" w:hAnsi="Times New Roman" w:eastAsia="宋体" w:cs="Times New Roman"/>
                      <w:bCs/>
                      <w:color w:val="auto"/>
                      <w:szCs w:val="21"/>
                      <w:highlight w:val="none"/>
                      <w:lang w:val="en-US" w:eastAsia="zh-CN"/>
                    </w:rPr>
                    <w:fldChar w:fldCharType="begin"/>
                  </w:r>
                  <w:r>
                    <w:rPr>
                      <w:rStyle w:val="51"/>
                      <w:rFonts w:hint="default" w:ascii="Times New Roman" w:hAnsi="Times New Roman" w:eastAsia="宋体" w:cs="Times New Roman"/>
                      <w:bCs/>
                      <w:color w:val="auto"/>
                      <w:szCs w:val="21"/>
                      <w:highlight w:val="none"/>
                      <w:lang w:val="en-US" w:eastAsia="zh-CN"/>
                    </w:rPr>
                    <w:instrText xml:space="preserve"> HYPERLINK "https://china.guidechem.com/cas/15849.html" </w:instrText>
                  </w:r>
                  <w:r>
                    <w:rPr>
                      <w:rStyle w:val="51"/>
                      <w:rFonts w:hint="default" w:ascii="Times New Roman" w:hAnsi="Times New Roman" w:eastAsia="宋体" w:cs="Times New Roman"/>
                      <w:bCs/>
                      <w:color w:val="auto"/>
                      <w:szCs w:val="21"/>
                      <w:highlight w:val="none"/>
                      <w:lang w:val="en-US" w:eastAsia="zh-CN"/>
                    </w:rPr>
                    <w:fldChar w:fldCharType="separate"/>
                  </w:r>
                  <w:r>
                    <w:rPr>
                      <w:rStyle w:val="51"/>
                      <w:rFonts w:hint="default" w:ascii="Times New Roman" w:hAnsi="Times New Roman" w:eastAsia="宋体" w:cs="Times New Roman"/>
                      <w:bCs/>
                      <w:color w:val="auto"/>
                      <w:szCs w:val="21"/>
                      <w:highlight w:val="none"/>
                      <w:lang w:val="en-US" w:eastAsia="zh-CN"/>
                    </w:rPr>
                    <w:t>8020-83-5</w:t>
                  </w:r>
                  <w:r>
                    <w:rPr>
                      <w:rStyle w:val="51"/>
                      <w:rFonts w:hint="default" w:ascii="Times New Roman" w:hAnsi="Times New Roman" w:eastAsia="宋体" w:cs="Times New Roman"/>
                      <w:bCs/>
                      <w:color w:val="auto"/>
                      <w:szCs w:val="21"/>
                      <w:highlight w:val="none"/>
                      <w:lang w:val="en-US" w:eastAsia="zh-CN"/>
                    </w:rPr>
                    <w:fldChar w:fldCharType="end"/>
                  </w:r>
                </w:p>
              </w:tc>
              <w:tc>
                <w:tcPr>
                  <w:tcW w:w="1401" w:type="dxa"/>
                  <w:vAlign w:val="top"/>
                </w:tcPr>
                <w:p w14:paraId="7BC44C3B">
                  <w:pPr>
                    <w:pStyle w:val="54"/>
                    <w:adjustRightInd w:val="0"/>
                    <w:snapToGrid w:val="0"/>
                    <w:jc w:val="center"/>
                    <w:rPr>
                      <w:rStyle w:val="51"/>
                      <w:rFonts w:hint="eastAsia" w:ascii="Times New Roman" w:hAnsi="Times New Roman" w:eastAsia="宋体" w:cs="Times New Roman"/>
                      <w:bCs/>
                      <w:color w:val="auto"/>
                      <w:szCs w:val="21"/>
                      <w:highlight w:val="none"/>
                      <w:lang w:val="en-US" w:eastAsia="zh-CN"/>
                    </w:rPr>
                  </w:pPr>
                  <w:r>
                    <w:rPr>
                      <w:rStyle w:val="51"/>
                      <w:rFonts w:hint="eastAsia" w:cs="Times New Roman"/>
                      <w:bCs/>
                      <w:color w:val="auto"/>
                      <w:szCs w:val="21"/>
                      <w:highlight w:val="none"/>
                      <w:lang w:val="en-US" w:eastAsia="zh-CN"/>
                    </w:rPr>
                    <w:t>0.5</w:t>
                  </w:r>
                </w:p>
              </w:tc>
              <w:tc>
                <w:tcPr>
                  <w:tcW w:w="1401" w:type="dxa"/>
                  <w:vMerge w:val="restart"/>
                  <w:vAlign w:val="top"/>
                </w:tcPr>
                <w:p w14:paraId="355FF547">
                  <w:pPr>
                    <w:pStyle w:val="54"/>
                    <w:adjustRightInd w:val="0"/>
                    <w:snapToGrid w:val="0"/>
                    <w:jc w:val="center"/>
                    <w:rPr>
                      <w:rStyle w:val="51"/>
                      <w:rFonts w:hint="eastAsia" w:cs="Times New Roman"/>
                      <w:bCs/>
                      <w:color w:val="auto"/>
                      <w:szCs w:val="21"/>
                      <w:highlight w:val="none"/>
                      <w:lang w:val="en-US" w:eastAsia="zh-CN"/>
                    </w:rPr>
                  </w:pPr>
                </w:p>
                <w:p w14:paraId="736251F7">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eastAsia" w:cs="Times New Roman"/>
                      <w:bCs/>
                      <w:color w:val="auto"/>
                      <w:szCs w:val="21"/>
                      <w:highlight w:val="none"/>
                      <w:lang w:val="en-US" w:eastAsia="zh-CN"/>
                    </w:rPr>
                    <w:t>2500</w:t>
                  </w:r>
                </w:p>
              </w:tc>
              <w:tc>
                <w:tcPr>
                  <w:tcW w:w="1402" w:type="dxa"/>
                  <w:vMerge w:val="restart"/>
                  <w:vAlign w:val="top"/>
                </w:tcPr>
                <w:p w14:paraId="0600967E">
                  <w:pPr>
                    <w:pStyle w:val="54"/>
                    <w:adjustRightInd w:val="0"/>
                    <w:snapToGrid w:val="0"/>
                    <w:jc w:val="center"/>
                    <w:rPr>
                      <w:rStyle w:val="51"/>
                      <w:rFonts w:hint="eastAsia" w:cs="Times New Roman"/>
                      <w:bCs/>
                      <w:color w:val="auto"/>
                      <w:szCs w:val="21"/>
                      <w:highlight w:val="none"/>
                      <w:lang w:val="en-US" w:eastAsia="zh-CN"/>
                    </w:rPr>
                  </w:pPr>
                </w:p>
                <w:p w14:paraId="018FFA4B">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eastAsia" w:cs="Times New Roman"/>
                      <w:bCs/>
                      <w:color w:val="auto"/>
                      <w:szCs w:val="21"/>
                      <w:highlight w:val="none"/>
                      <w:lang w:val="en-US" w:eastAsia="zh-CN"/>
                    </w:rPr>
                    <w:t>0.0006</w:t>
                  </w:r>
                </w:p>
              </w:tc>
            </w:tr>
            <w:tr w14:paraId="77A7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top"/>
                </w:tcPr>
                <w:p w14:paraId="00E9D441">
                  <w:pPr>
                    <w:pStyle w:val="54"/>
                    <w:adjustRightInd w:val="0"/>
                    <w:snapToGrid w:val="0"/>
                    <w:jc w:val="center"/>
                    <w:rPr>
                      <w:rStyle w:val="51"/>
                      <w:rFonts w:hint="default" w:ascii="Times New Roman" w:hAnsi="Times New Roman" w:eastAsia="宋体" w:cs="Times New Roman"/>
                      <w:bCs/>
                      <w:color w:val="auto"/>
                      <w:szCs w:val="21"/>
                      <w:highlight w:val="none"/>
                    </w:rPr>
                  </w:pPr>
                  <w:r>
                    <w:rPr>
                      <w:rStyle w:val="51"/>
                      <w:rFonts w:hint="eastAsia" w:cs="Times New Roman"/>
                      <w:bCs/>
                      <w:color w:val="auto"/>
                      <w:szCs w:val="21"/>
                      <w:highlight w:val="none"/>
                      <w:lang w:val="en-US" w:eastAsia="zh-CN"/>
                    </w:rPr>
                    <w:t>3</w:t>
                  </w:r>
                </w:p>
              </w:tc>
              <w:tc>
                <w:tcPr>
                  <w:tcW w:w="1907" w:type="dxa"/>
                  <w:vAlign w:val="top"/>
                </w:tcPr>
                <w:p w14:paraId="6D50A697">
                  <w:pPr>
                    <w:pStyle w:val="54"/>
                    <w:adjustRightInd w:val="0"/>
                    <w:snapToGrid w:val="0"/>
                    <w:jc w:val="center"/>
                    <w:rPr>
                      <w:rStyle w:val="51"/>
                      <w:rFonts w:hint="default" w:ascii="Times New Roman" w:hAnsi="Times New Roman" w:eastAsia="宋体" w:cs="Times New Roman"/>
                      <w:bCs/>
                      <w:color w:val="auto"/>
                      <w:szCs w:val="21"/>
                      <w:highlight w:val="none"/>
                    </w:rPr>
                  </w:pPr>
                  <w:r>
                    <w:rPr>
                      <w:rStyle w:val="51"/>
                      <w:rFonts w:hint="eastAsia" w:cs="Times New Roman"/>
                      <w:bCs/>
                      <w:color w:val="auto"/>
                      <w:szCs w:val="21"/>
                      <w:highlight w:val="none"/>
                      <w:lang w:eastAsia="zh-CN"/>
                    </w:rPr>
                    <w:t>废液压油</w:t>
                  </w:r>
                </w:p>
              </w:tc>
              <w:tc>
                <w:tcPr>
                  <w:tcW w:w="1401" w:type="dxa"/>
                  <w:vMerge w:val="continue"/>
                  <w:vAlign w:val="top"/>
                </w:tcPr>
                <w:p w14:paraId="63EA79C7">
                  <w:pPr>
                    <w:pStyle w:val="54"/>
                    <w:adjustRightInd w:val="0"/>
                    <w:snapToGrid w:val="0"/>
                    <w:jc w:val="center"/>
                    <w:rPr>
                      <w:rStyle w:val="51"/>
                      <w:rFonts w:hint="default" w:ascii="Times New Roman" w:hAnsi="Times New Roman" w:eastAsia="宋体" w:cs="Times New Roman"/>
                      <w:bCs/>
                      <w:color w:val="auto"/>
                      <w:szCs w:val="21"/>
                      <w:highlight w:val="none"/>
                    </w:rPr>
                  </w:pPr>
                </w:p>
              </w:tc>
              <w:tc>
                <w:tcPr>
                  <w:tcW w:w="1401" w:type="dxa"/>
                  <w:vAlign w:val="top"/>
                </w:tcPr>
                <w:p w14:paraId="68964BC2">
                  <w:pPr>
                    <w:pStyle w:val="54"/>
                    <w:adjustRightInd w:val="0"/>
                    <w:snapToGrid w:val="0"/>
                    <w:jc w:val="center"/>
                    <w:rPr>
                      <w:rStyle w:val="51"/>
                      <w:rFonts w:hint="default" w:ascii="Times New Roman" w:hAnsi="Times New Roman" w:eastAsia="宋体" w:cs="Times New Roman"/>
                      <w:bCs/>
                      <w:color w:val="auto"/>
                      <w:szCs w:val="21"/>
                      <w:highlight w:val="none"/>
                      <w:lang w:val="en-US" w:eastAsia="zh-CN"/>
                    </w:rPr>
                  </w:pPr>
                  <w:r>
                    <w:rPr>
                      <w:rStyle w:val="51"/>
                      <w:rFonts w:hint="eastAsia" w:cs="Times New Roman"/>
                      <w:bCs/>
                      <w:color w:val="auto"/>
                      <w:szCs w:val="21"/>
                      <w:highlight w:val="none"/>
                      <w:lang w:val="en-US" w:eastAsia="zh-CN"/>
                    </w:rPr>
                    <w:t>1.0</w:t>
                  </w:r>
                </w:p>
              </w:tc>
              <w:tc>
                <w:tcPr>
                  <w:tcW w:w="1401" w:type="dxa"/>
                  <w:vMerge w:val="continue"/>
                  <w:vAlign w:val="top"/>
                </w:tcPr>
                <w:p w14:paraId="60D3ACB1">
                  <w:pPr>
                    <w:pStyle w:val="54"/>
                    <w:adjustRightInd w:val="0"/>
                    <w:snapToGrid w:val="0"/>
                    <w:jc w:val="center"/>
                    <w:rPr>
                      <w:rStyle w:val="51"/>
                      <w:rFonts w:hint="default" w:ascii="Times New Roman" w:hAnsi="Times New Roman" w:eastAsia="宋体" w:cs="Times New Roman"/>
                      <w:bCs/>
                      <w:color w:val="auto"/>
                      <w:szCs w:val="21"/>
                      <w:highlight w:val="none"/>
                    </w:rPr>
                  </w:pPr>
                </w:p>
              </w:tc>
              <w:tc>
                <w:tcPr>
                  <w:tcW w:w="1402" w:type="dxa"/>
                  <w:vMerge w:val="continue"/>
                  <w:vAlign w:val="top"/>
                </w:tcPr>
                <w:p w14:paraId="55732486">
                  <w:pPr>
                    <w:pStyle w:val="54"/>
                    <w:adjustRightInd w:val="0"/>
                    <w:snapToGrid w:val="0"/>
                    <w:jc w:val="center"/>
                    <w:rPr>
                      <w:rStyle w:val="51"/>
                      <w:rFonts w:hint="eastAsia" w:ascii="Times New Roman" w:hAnsi="Times New Roman" w:eastAsia="宋体" w:cs="Times New Roman"/>
                      <w:bCs/>
                      <w:color w:val="auto"/>
                      <w:szCs w:val="21"/>
                      <w:highlight w:val="none"/>
                      <w:lang w:val="en-US" w:eastAsia="zh-CN"/>
                    </w:rPr>
                  </w:pPr>
                </w:p>
              </w:tc>
            </w:tr>
          </w:tbl>
          <w:p w14:paraId="4C8CA674">
            <w:pPr>
              <w:keepNext w:val="0"/>
              <w:keepLines w:val="0"/>
              <w:pageBreakBefore w:val="0"/>
              <w:widowControl w:val="0"/>
              <w:kinsoku/>
              <w:wordWrap/>
              <w:overflowPunct/>
              <w:topLinePunct w:val="0"/>
              <w:autoSpaceDE/>
              <w:autoSpaceDN/>
              <w:bidi w:val="0"/>
              <w:adjustRightInd w:val="0"/>
              <w:snapToGrid w:val="0"/>
              <w:spacing w:line="360" w:lineRule="auto"/>
              <w:ind w:left="0" w:right="0" w:firstLine="481"/>
              <w:textAlignment w:val="auto"/>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综上，项目危险物质</w:t>
            </w:r>
            <w:r>
              <w:rPr>
                <w:rFonts w:ascii="Times New Roman" w:hAnsi="Times New Roman" w:eastAsia="Times New Roman" w:cs="Times New Roman"/>
                <w:color w:val="auto"/>
                <w:sz w:val="24"/>
                <w:szCs w:val="24"/>
                <w:highlight w:val="none"/>
              </w:rPr>
              <w:t>Q</w:t>
            </w:r>
            <w:r>
              <w:rPr>
                <w:rFonts w:ascii="宋体" w:hAnsi="宋体" w:eastAsia="宋体" w:cs="宋体"/>
                <w:color w:val="auto"/>
                <w:spacing w:val="1"/>
                <w:sz w:val="24"/>
                <w:szCs w:val="24"/>
                <w:highlight w:val="none"/>
              </w:rPr>
              <w:t>值为</w:t>
            </w:r>
            <w:r>
              <w:rPr>
                <w:rFonts w:hint="eastAsia" w:cs="Times New Roman"/>
                <w:color w:val="auto"/>
                <w:spacing w:val="1"/>
                <w:sz w:val="24"/>
                <w:szCs w:val="24"/>
                <w:highlight w:val="none"/>
                <w:lang w:val="en-US" w:eastAsia="zh-CN"/>
              </w:rPr>
              <w:t>2.1846</w:t>
            </w:r>
            <w:r>
              <w:rPr>
                <w:rFonts w:ascii="宋体" w:hAnsi="宋体" w:eastAsia="宋体" w:cs="宋体"/>
                <w:color w:val="auto"/>
                <w:spacing w:val="1"/>
                <w:sz w:val="24"/>
                <w:szCs w:val="24"/>
                <w:highlight w:val="none"/>
              </w:rPr>
              <w:t>，范围为</w:t>
            </w:r>
            <w:r>
              <w:rPr>
                <w:rFonts w:ascii="Times New Roman" w:hAnsi="Times New Roman" w:eastAsia="Times New Roman" w:cs="Times New Roman"/>
                <w:color w:val="auto"/>
                <w:spacing w:val="1"/>
                <w:sz w:val="24"/>
                <w:szCs w:val="24"/>
                <w:highlight w:val="none"/>
              </w:rPr>
              <w:t>1≤</w:t>
            </w:r>
            <w:r>
              <w:rPr>
                <w:rFonts w:ascii="Times New Roman" w:hAnsi="Times New Roman" w:eastAsia="Times New Roman" w:cs="Times New Roman"/>
                <w:i/>
                <w:iCs/>
                <w:color w:val="auto"/>
                <w:sz w:val="24"/>
                <w:szCs w:val="24"/>
                <w:highlight w:val="none"/>
              </w:rPr>
              <w:t>Q</w:t>
            </w:r>
            <w:r>
              <w:rPr>
                <w:rFonts w:ascii="宋体" w:hAnsi="宋体" w:eastAsia="宋体" w:cs="宋体"/>
                <w:color w:val="auto"/>
                <w:spacing w:val="1"/>
                <w:sz w:val="24"/>
                <w:szCs w:val="24"/>
                <w:highlight w:val="none"/>
              </w:rPr>
              <w:t>＜</w:t>
            </w:r>
            <w:r>
              <w:rPr>
                <w:rFonts w:hint="eastAsia" w:ascii="Times New Roman" w:hAnsi="Times New Roman" w:eastAsia="宋体" w:cs="Times New Roman"/>
                <w:color w:val="auto"/>
                <w:spacing w:val="1"/>
                <w:sz w:val="24"/>
                <w:szCs w:val="24"/>
                <w:highlight w:val="none"/>
                <w:lang w:val="en-US" w:eastAsia="zh-CN"/>
              </w:rPr>
              <w:t>10</w:t>
            </w:r>
            <w:r>
              <w:rPr>
                <w:rFonts w:ascii="宋体" w:hAnsi="宋体" w:eastAsia="宋体" w:cs="宋体"/>
                <w:color w:val="auto"/>
                <w:sz w:val="24"/>
                <w:szCs w:val="24"/>
                <w:highlight w:val="none"/>
              </w:rPr>
              <w:t>，因此本项目需进行环</w:t>
            </w:r>
            <w:r>
              <w:rPr>
                <w:rFonts w:ascii="宋体" w:hAnsi="宋体" w:eastAsia="宋体" w:cs="宋体"/>
                <w:color w:val="auto"/>
                <w:spacing w:val="9"/>
                <w:sz w:val="24"/>
                <w:szCs w:val="24"/>
                <w:highlight w:val="none"/>
              </w:rPr>
              <w:t>境风险专项评价，具体风险分析详见风险专题。</w:t>
            </w:r>
          </w:p>
          <w:p w14:paraId="4804A84E">
            <w:pPr>
              <w:keepNext w:val="0"/>
              <w:keepLines w:val="0"/>
              <w:pageBreakBefore w:val="0"/>
              <w:kinsoku/>
              <w:wordWrap/>
              <w:overflowPunct/>
              <w:topLinePunct w:val="0"/>
              <w:autoSpaceDE/>
              <w:autoSpaceDN/>
              <w:bidi w:val="0"/>
              <w:spacing w:line="408" w:lineRule="auto"/>
              <w:ind w:firstLine="482"/>
              <w:jc w:val="center"/>
              <w:textAlignment w:val="auto"/>
              <w:rPr>
                <w:rFonts w:hint="eastAsia" w:cs="Times New Roman"/>
                <w:bCs/>
                <w:color w:val="auto"/>
                <w:spacing w:val="-10"/>
                <w:sz w:val="24"/>
                <w:szCs w:val="24"/>
                <w:highlight w:val="none"/>
                <w:lang w:val="en-US" w:eastAsia="zh-CN"/>
              </w:rPr>
            </w:pPr>
          </w:p>
          <w:p w14:paraId="5AAD2EE7">
            <w:pPr>
              <w:keepNext w:val="0"/>
              <w:keepLines w:val="0"/>
              <w:pageBreakBefore w:val="0"/>
              <w:kinsoku/>
              <w:wordWrap/>
              <w:overflowPunct/>
              <w:topLinePunct w:val="0"/>
              <w:autoSpaceDE/>
              <w:autoSpaceDN/>
              <w:bidi w:val="0"/>
              <w:spacing w:line="408" w:lineRule="auto"/>
              <w:ind w:firstLine="482"/>
              <w:jc w:val="center"/>
              <w:textAlignment w:val="auto"/>
              <w:rPr>
                <w:rFonts w:hint="eastAsia" w:cs="Times New Roman"/>
                <w:bCs/>
                <w:color w:val="auto"/>
                <w:spacing w:val="-10"/>
                <w:sz w:val="24"/>
                <w:szCs w:val="24"/>
                <w:highlight w:val="none"/>
                <w:lang w:val="en-US" w:eastAsia="zh-CN"/>
              </w:rPr>
            </w:pPr>
          </w:p>
          <w:p w14:paraId="5EF87FC9">
            <w:pPr>
              <w:keepNext w:val="0"/>
              <w:keepLines w:val="0"/>
              <w:pageBreakBefore w:val="0"/>
              <w:kinsoku/>
              <w:wordWrap/>
              <w:overflowPunct/>
              <w:topLinePunct w:val="0"/>
              <w:autoSpaceDE/>
              <w:autoSpaceDN/>
              <w:bidi w:val="0"/>
              <w:spacing w:line="408" w:lineRule="auto"/>
              <w:ind w:firstLine="482"/>
              <w:jc w:val="center"/>
              <w:textAlignment w:val="auto"/>
              <w:rPr>
                <w:rFonts w:hint="eastAsia" w:cs="Times New Roman"/>
                <w:bCs/>
                <w:color w:val="auto"/>
                <w:spacing w:val="-10"/>
                <w:sz w:val="24"/>
                <w:szCs w:val="24"/>
                <w:highlight w:val="none"/>
                <w:lang w:val="en-US" w:eastAsia="zh-CN"/>
              </w:rPr>
            </w:pPr>
          </w:p>
          <w:p w14:paraId="2757DD2E">
            <w:pPr>
              <w:keepNext w:val="0"/>
              <w:keepLines w:val="0"/>
              <w:pageBreakBefore w:val="0"/>
              <w:kinsoku/>
              <w:wordWrap/>
              <w:overflowPunct/>
              <w:topLinePunct w:val="0"/>
              <w:autoSpaceDE/>
              <w:autoSpaceDN/>
              <w:bidi w:val="0"/>
              <w:spacing w:line="408" w:lineRule="auto"/>
              <w:ind w:firstLine="482"/>
              <w:jc w:val="center"/>
              <w:textAlignment w:val="auto"/>
              <w:rPr>
                <w:rFonts w:hint="eastAsia" w:cs="Times New Roman"/>
                <w:bCs/>
                <w:color w:val="auto"/>
                <w:spacing w:val="-10"/>
                <w:sz w:val="24"/>
                <w:szCs w:val="24"/>
                <w:highlight w:val="none"/>
                <w:lang w:val="en-US" w:eastAsia="zh-CN"/>
              </w:rPr>
            </w:pPr>
          </w:p>
          <w:p w14:paraId="1DEBC459">
            <w:pPr>
              <w:keepNext w:val="0"/>
              <w:keepLines w:val="0"/>
              <w:pageBreakBefore w:val="0"/>
              <w:kinsoku/>
              <w:wordWrap/>
              <w:overflowPunct/>
              <w:topLinePunct w:val="0"/>
              <w:autoSpaceDE/>
              <w:autoSpaceDN/>
              <w:bidi w:val="0"/>
              <w:spacing w:line="408" w:lineRule="auto"/>
              <w:jc w:val="both"/>
              <w:textAlignment w:val="auto"/>
              <w:rPr>
                <w:rFonts w:hint="eastAsia" w:cs="Times New Roman"/>
                <w:bCs/>
                <w:color w:val="auto"/>
                <w:spacing w:val="-10"/>
                <w:sz w:val="24"/>
                <w:szCs w:val="24"/>
                <w:highlight w:val="none"/>
                <w:lang w:val="en-US" w:eastAsia="zh-CN"/>
              </w:rPr>
            </w:pPr>
          </w:p>
          <w:p w14:paraId="74BC59BB">
            <w:pPr>
              <w:keepNext w:val="0"/>
              <w:keepLines w:val="0"/>
              <w:pageBreakBefore w:val="0"/>
              <w:kinsoku/>
              <w:wordWrap/>
              <w:overflowPunct/>
              <w:topLinePunct w:val="0"/>
              <w:autoSpaceDE/>
              <w:autoSpaceDN/>
              <w:bidi w:val="0"/>
              <w:spacing w:line="408" w:lineRule="auto"/>
              <w:jc w:val="both"/>
              <w:textAlignment w:val="auto"/>
              <w:rPr>
                <w:rFonts w:hint="default" w:ascii="Times New Roman" w:hAnsi="Times New Roman" w:eastAsia="宋体" w:cs="Times New Roman"/>
                <w:bCs/>
                <w:color w:val="auto"/>
                <w:spacing w:val="-10"/>
                <w:sz w:val="24"/>
                <w:szCs w:val="24"/>
                <w:highlight w:val="none"/>
                <w:lang w:val="en-US" w:eastAsia="zh-CN"/>
              </w:rPr>
            </w:pPr>
          </w:p>
        </w:tc>
      </w:tr>
    </w:tbl>
    <w:p w14:paraId="0DF791AD">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9"/>
        <w:rPr>
          <w:rFonts w:hint="default" w:ascii="Times New Roman" w:hAnsi="Times New Roman" w:eastAsia="宋体" w:cs="Times New Roman"/>
          <w:b/>
          <w:bCs/>
          <w:snapToGrid w:val="0"/>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27CDF83">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五、</w:t>
      </w:r>
      <w:bookmarkStart w:id="24" w:name="_Hlk54167917"/>
      <w:r>
        <w:rPr>
          <w:rFonts w:hint="default" w:ascii="Times New Roman" w:hAnsi="Times New Roman" w:eastAsia="宋体" w:cs="Times New Roman"/>
          <w:b/>
          <w:bCs/>
          <w:snapToGrid w:val="0"/>
          <w:color w:val="auto"/>
          <w:sz w:val="30"/>
          <w:szCs w:val="30"/>
          <w:highlight w:val="none"/>
        </w:rPr>
        <w:t>环境保护措施监督检查清单</w:t>
      </w:r>
      <w:bookmarkEnd w:id="17"/>
      <w:bookmarkEnd w:id="18"/>
      <w:bookmarkEnd w:id="24"/>
    </w:p>
    <w:tbl>
      <w:tblPr>
        <w:tblStyle w:val="2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590"/>
        <w:gridCol w:w="1377"/>
        <w:gridCol w:w="2894"/>
        <w:gridCol w:w="2130"/>
      </w:tblGrid>
      <w:tr w14:paraId="564C2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dxa"/>
            <w:tcBorders>
              <w:tl2br w:val="single" w:color="auto" w:sz="4" w:space="0"/>
            </w:tcBorders>
            <w:vAlign w:val="top"/>
          </w:tcPr>
          <w:p w14:paraId="5CBB2B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14:paraId="789E07F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590" w:type="dxa"/>
            <w:vAlign w:val="center"/>
          </w:tcPr>
          <w:p w14:paraId="3627DA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编号、名称</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/污染源</w:t>
            </w:r>
          </w:p>
        </w:tc>
        <w:tc>
          <w:tcPr>
            <w:tcW w:w="1377" w:type="dxa"/>
            <w:vAlign w:val="center"/>
          </w:tcPr>
          <w:p w14:paraId="5517CE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2894" w:type="dxa"/>
            <w:vAlign w:val="center"/>
          </w:tcPr>
          <w:p w14:paraId="15361E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2130" w:type="dxa"/>
            <w:vAlign w:val="center"/>
          </w:tcPr>
          <w:p w14:paraId="5C3BD3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14:paraId="51FB8D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09" w:type="dxa"/>
            <w:vMerge w:val="restart"/>
            <w:vAlign w:val="center"/>
          </w:tcPr>
          <w:p w14:paraId="24AA6A8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590" w:type="dxa"/>
            <w:vAlign w:val="center"/>
          </w:tcPr>
          <w:p w14:paraId="00D91CB3">
            <w:pPr>
              <w:jc w:val="center"/>
              <w:rPr>
                <w:rFonts w:hint="eastAsia" w:cs="Times New Roman"/>
                <w:color w:val="auto"/>
                <w:szCs w:val="21"/>
                <w:highlight w:val="none"/>
                <w:lang w:eastAsia="zh-CN"/>
              </w:rPr>
            </w:pPr>
            <w:r>
              <w:rPr>
                <w:rFonts w:hint="eastAsia" w:cs="Times New Roman"/>
                <w:color w:val="auto"/>
                <w:szCs w:val="21"/>
                <w:highlight w:val="none"/>
                <w:lang w:eastAsia="zh-CN"/>
              </w:rPr>
              <w:t>卸料扬</w:t>
            </w:r>
            <w:r>
              <w:rPr>
                <w:rFonts w:hint="default" w:ascii="Times New Roman" w:hAnsi="Times New Roman" w:eastAsia="宋体" w:cs="Times New Roman"/>
                <w:color w:val="auto"/>
                <w:szCs w:val="21"/>
                <w:highlight w:val="none"/>
              </w:rPr>
              <w:t>尘</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DA001</w:t>
            </w:r>
            <w:r>
              <w:rPr>
                <w:rFonts w:hint="eastAsia" w:cs="Times New Roman"/>
                <w:color w:val="auto"/>
                <w:sz w:val="21"/>
                <w:szCs w:val="21"/>
                <w:highlight w:val="none"/>
                <w:lang w:eastAsia="zh-CN"/>
              </w:rPr>
              <w:t>）</w:t>
            </w:r>
          </w:p>
        </w:tc>
        <w:tc>
          <w:tcPr>
            <w:tcW w:w="1377" w:type="dxa"/>
            <w:vAlign w:val="center"/>
          </w:tcPr>
          <w:p w14:paraId="04C3D7D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颗粒物</w:t>
            </w:r>
          </w:p>
        </w:tc>
        <w:tc>
          <w:tcPr>
            <w:tcW w:w="2894" w:type="dxa"/>
            <w:vAlign w:val="center"/>
          </w:tcPr>
          <w:p w14:paraId="04739A8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1套集气罩+收尘风管+布袋除尘器+15.5m高排气筒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卸料</w:t>
            </w:r>
            <w:r>
              <w:rPr>
                <w:rFonts w:hint="default" w:ascii="Times New Roman" w:hAnsi="Times New Roman" w:eastAsia="宋体" w:cs="Times New Roman"/>
                <w:color w:val="auto"/>
                <w:sz w:val="21"/>
                <w:szCs w:val="21"/>
                <w:highlight w:val="none"/>
              </w:rPr>
              <w:t>过程产生的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Align w:val="center"/>
          </w:tcPr>
          <w:p w14:paraId="071C7A38">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有组织颗粒物</w:t>
            </w:r>
            <w:r>
              <w:rPr>
                <w:rFonts w:hint="eastAsia" w:cs="Times New Roman"/>
                <w:color w:val="auto"/>
                <w:sz w:val="21"/>
                <w:szCs w:val="21"/>
                <w:highlight w:val="none"/>
                <w:lang w:val="en-US" w:eastAsia="zh-CN"/>
              </w:rPr>
              <w:t>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rFonts w:hint="default" w:ascii="Times New Roman" w:hAnsi="Times New Roman" w:eastAsia="宋体" w:cs="Times New Roman"/>
                <w:b w:val="0"/>
                <w:bCs w:val="0"/>
                <w:color w:val="auto"/>
                <w:sz w:val="21"/>
                <w:szCs w:val="21"/>
                <w:highlight w:val="none"/>
                <w:lang w:val="zh-CN" w:eastAsia="zh-CN"/>
              </w:rPr>
              <w:t>，</w:t>
            </w:r>
            <w:r>
              <w:rPr>
                <w:rFonts w:hint="eastAsia" w:cs="Times New Roman"/>
                <w:b w:val="0"/>
                <w:bCs w:val="0"/>
                <w:color w:val="auto"/>
                <w:sz w:val="21"/>
                <w:szCs w:val="21"/>
                <w:highlight w:val="none"/>
                <w:lang w:val="zh-CN" w:eastAsia="zh-CN"/>
              </w:rPr>
              <w:t>细颗粒物</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mg/m³</w:t>
            </w:r>
            <w:r>
              <w:rPr>
                <w:rFonts w:hint="default" w:ascii="Times New Roman" w:hAnsi="Times New Roman" w:eastAsia="宋体" w:cs="Times New Roman"/>
                <w:color w:val="auto"/>
                <w:sz w:val="21"/>
                <w:szCs w:val="21"/>
                <w:highlight w:val="none"/>
                <w:lang w:val="en-US" w:eastAsia="zh-CN"/>
              </w:rPr>
              <w:t>；无组织颗粒物执行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颗粒物≤1.0</w:t>
            </w:r>
            <w:r>
              <w:rPr>
                <w:rFonts w:hint="default" w:ascii="Times New Roman" w:hAnsi="Times New Roman" w:eastAsia="宋体" w:cs="Times New Roman"/>
                <w:color w:val="auto"/>
                <w:sz w:val="21"/>
                <w:szCs w:val="21"/>
                <w:highlight w:val="none"/>
              </w:rPr>
              <w:t>mg/m³。</w:t>
            </w:r>
          </w:p>
        </w:tc>
      </w:tr>
      <w:tr w14:paraId="4B1A38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09" w:type="dxa"/>
            <w:vMerge w:val="continue"/>
            <w:vAlign w:val="center"/>
          </w:tcPr>
          <w:p w14:paraId="2C29D374">
            <w:pPr>
              <w:adjustRightInd w:val="0"/>
              <w:snapToGrid w:val="0"/>
              <w:jc w:val="center"/>
              <w:rPr>
                <w:color w:val="auto"/>
                <w:highlight w:val="none"/>
              </w:rPr>
            </w:pPr>
          </w:p>
        </w:tc>
        <w:tc>
          <w:tcPr>
            <w:tcW w:w="1590" w:type="dxa"/>
            <w:vAlign w:val="center"/>
          </w:tcPr>
          <w:p w14:paraId="47673536">
            <w:pPr>
              <w:jc w:val="center"/>
              <w:rPr>
                <w:rFonts w:hint="eastAsia" w:cs="Times New Roman"/>
                <w:color w:val="auto"/>
                <w:szCs w:val="21"/>
                <w:highlight w:val="none"/>
                <w:lang w:eastAsia="zh-CN"/>
              </w:rPr>
            </w:pPr>
            <w:r>
              <w:rPr>
                <w:rFonts w:hint="eastAsia" w:cs="Times New Roman"/>
                <w:color w:val="auto"/>
                <w:szCs w:val="21"/>
                <w:highlight w:val="none"/>
                <w:lang w:eastAsia="zh-CN"/>
              </w:rPr>
              <w:t>原料堆场扬尘</w:t>
            </w:r>
          </w:p>
        </w:tc>
        <w:tc>
          <w:tcPr>
            <w:tcW w:w="1377" w:type="dxa"/>
            <w:vAlign w:val="center"/>
          </w:tcPr>
          <w:p w14:paraId="4A47E91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2894" w:type="dxa"/>
            <w:vAlign w:val="center"/>
          </w:tcPr>
          <w:p w14:paraId="3C987CA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8"/>
                <w:sz w:val="21"/>
                <w:szCs w:val="21"/>
                <w:highlight w:val="none"/>
                <w:lang w:eastAsia="zh-CN"/>
              </w:rPr>
              <w:t>原料</w:t>
            </w:r>
            <w:r>
              <w:rPr>
                <w:rFonts w:hint="eastAsia" w:cs="Times New Roman"/>
                <w:color w:val="auto"/>
                <w:spacing w:val="-8"/>
                <w:sz w:val="21"/>
                <w:szCs w:val="21"/>
                <w:highlight w:val="none"/>
                <w:lang w:eastAsia="zh-CN"/>
              </w:rPr>
              <w:t>煤</w:t>
            </w:r>
            <w:r>
              <w:rPr>
                <w:rFonts w:hint="eastAsia" w:ascii="Times New Roman" w:hAnsi="Times New Roman" w:eastAsia="宋体" w:cs="Times New Roman"/>
                <w:color w:val="auto"/>
                <w:spacing w:val="-8"/>
                <w:sz w:val="21"/>
                <w:szCs w:val="21"/>
                <w:highlight w:val="none"/>
                <w:lang w:eastAsia="zh-CN"/>
              </w:rPr>
              <w:t>储存区为全封闭厂房，</w:t>
            </w:r>
            <w:r>
              <w:rPr>
                <w:rFonts w:hint="default" w:ascii="Times New Roman" w:hAnsi="Times New Roman" w:eastAsia="宋体" w:cs="Times New Roman"/>
                <w:color w:val="auto"/>
                <w:spacing w:val="-3"/>
                <w:sz w:val="21"/>
                <w:szCs w:val="21"/>
                <w:highlight w:val="none"/>
              </w:rPr>
              <w:t>其产生</w:t>
            </w:r>
            <w:r>
              <w:rPr>
                <w:rFonts w:hint="default" w:ascii="Times New Roman" w:hAnsi="Times New Roman" w:eastAsia="宋体" w:cs="Times New Roman"/>
                <w:color w:val="auto"/>
                <w:spacing w:val="-5"/>
                <w:sz w:val="21"/>
                <w:szCs w:val="21"/>
                <w:highlight w:val="none"/>
              </w:rPr>
              <w:t>的无组织扬尘</w:t>
            </w:r>
            <w:r>
              <w:rPr>
                <w:rFonts w:hint="eastAsia" w:cs="Times New Roman"/>
                <w:color w:val="auto"/>
                <w:spacing w:val="-5"/>
                <w:sz w:val="21"/>
                <w:szCs w:val="21"/>
                <w:highlight w:val="none"/>
                <w:lang w:eastAsia="zh-CN"/>
              </w:rPr>
              <w:t>均在堆棚内</w:t>
            </w:r>
            <w:r>
              <w:rPr>
                <w:rFonts w:hint="default" w:ascii="Times New Roman" w:hAnsi="Times New Roman" w:eastAsia="宋体" w:cs="Times New Roman"/>
                <w:color w:val="auto"/>
                <w:spacing w:val="-11"/>
                <w:sz w:val="21"/>
                <w:szCs w:val="21"/>
                <w:highlight w:val="none"/>
              </w:rPr>
              <w:t>，</w:t>
            </w:r>
            <w:r>
              <w:rPr>
                <w:rFonts w:hint="eastAsia" w:cs="Times New Roman"/>
                <w:color w:val="auto"/>
                <w:spacing w:val="-11"/>
                <w:sz w:val="21"/>
                <w:szCs w:val="21"/>
                <w:highlight w:val="none"/>
                <w:lang w:eastAsia="zh-CN"/>
              </w:rPr>
              <w:t>仅有少量扬尘在开门时溢出。</w:t>
            </w:r>
          </w:p>
        </w:tc>
        <w:tc>
          <w:tcPr>
            <w:tcW w:w="2130" w:type="dxa"/>
            <w:vAlign w:val="center"/>
          </w:tcPr>
          <w:p w14:paraId="62AFB68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颗粒物≤1.0</w:t>
            </w:r>
            <w:r>
              <w:rPr>
                <w:rFonts w:hint="default" w:ascii="Times New Roman" w:hAnsi="Times New Roman" w:eastAsia="宋体" w:cs="Times New Roman"/>
                <w:color w:val="auto"/>
                <w:sz w:val="21"/>
                <w:szCs w:val="21"/>
                <w:highlight w:val="none"/>
              </w:rPr>
              <w:t>mg/m³。</w:t>
            </w:r>
          </w:p>
        </w:tc>
      </w:tr>
      <w:tr w14:paraId="0FAB1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09" w:type="dxa"/>
            <w:vMerge w:val="continue"/>
            <w:vAlign w:val="center"/>
          </w:tcPr>
          <w:p w14:paraId="7EE44387">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590" w:type="dxa"/>
            <w:vAlign w:val="center"/>
          </w:tcPr>
          <w:p w14:paraId="5E7D10A1">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破碎粉尘（</w:t>
            </w:r>
            <w:r>
              <w:rPr>
                <w:rFonts w:hint="eastAsia" w:cs="Times New Roman"/>
                <w:color w:val="auto"/>
                <w:sz w:val="21"/>
                <w:szCs w:val="21"/>
                <w:highlight w:val="none"/>
                <w:lang w:val="en-US" w:eastAsia="zh-CN"/>
              </w:rPr>
              <w:t>DA002</w:t>
            </w:r>
            <w:r>
              <w:rPr>
                <w:rFonts w:hint="eastAsia" w:cs="Times New Roman"/>
                <w:color w:val="auto"/>
                <w:sz w:val="21"/>
                <w:szCs w:val="21"/>
                <w:highlight w:val="none"/>
                <w:lang w:eastAsia="zh-CN"/>
              </w:rPr>
              <w:t>）</w:t>
            </w:r>
          </w:p>
        </w:tc>
        <w:tc>
          <w:tcPr>
            <w:tcW w:w="1377" w:type="dxa"/>
            <w:vAlign w:val="center"/>
          </w:tcPr>
          <w:p w14:paraId="2784A866">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颗粒物</w:t>
            </w:r>
          </w:p>
        </w:tc>
        <w:tc>
          <w:tcPr>
            <w:tcW w:w="2894" w:type="dxa"/>
            <w:vAlign w:val="center"/>
          </w:tcPr>
          <w:p w14:paraId="35E0F2B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1套集气罩+收尘风管+布袋除尘器+15.5m高排气筒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破碎</w:t>
            </w:r>
            <w:r>
              <w:rPr>
                <w:rFonts w:hint="default" w:ascii="Times New Roman" w:hAnsi="Times New Roman" w:eastAsia="宋体" w:cs="Times New Roman"/>
                <w:color w:val="auto"/>
                <w:sz w:val="21"/>
                <w:szCs w:val="21"/>
                <w:highlight w:val="none"/>
              </w:rPr>
              <w:t>过程产生的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Align w:val="center"/>
          </w:tcPr>
          <w:p w14:paraId="71921352">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有组织颗粒物</w:t>
            </w:r>
            <w:r>
              <w:rPr>
                <w:rFonts w:hint="eastAsia" w:cs="Times New Roman"/>
                <w:color w:val="auto"/>
                <w:sz w:val="21"/>
                <w:szCs w:val="21"/>
                <w:highlight w:val="none"/>
                <w:lang w:val="en-US" w:eastAsia="zh-CN"/>
              </w:rPr>
              <w:t>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rFonts w:hint="default" w:ascii="Times New Roman" w:hAnsi="Times New Roman" w:eastAsia="宋体" w:cs="Times New Roman"/>
                <w:b w:val="0"/>
                <w:bCs w:val="0"/>
                <w:color w:val="auto"/>
                <w:sz w:val="21"/>
                <w:szCs w:val="21"/>
                <w:highlight w:val="none"/>
                <w:lang w:val="zh-CN"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mg/m³</w:t>
            </w:r>
            <w:r>
              <w:rPr>
                <w:rFonts w:hint="default" w:ascii="Times New Roman" w:hAnsi="Times New Roman" w:eastAsia="宋体" w:cs="Times New Roman"/>
                <w:color w:val="auto"/>
                <w:sz w:val="21"/>
                <w:szCs w:val="21"/>
                <w:highlight w:val="none"/>
                <w:lang w:val="en-US" w:eastAsia="zh-CN"/>
              </w:rPr>
              <w:t>；无组织颗粒物执行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颗粒物≤1.0</w:t>
            </w:r>
            <w:r>
              <w:rPr>
                <w:rFonts w:hint="default" w:ascii="Times New Roman" w:hAnsi="Times New Roman" w:eastAsia="宋体" w:cs="Times New Roman"/>
                <w:color w:val="auto"/>
                <w:sz w:val="21"/>
                <w:szCs w:val="21"/>
                <w:highlight w:val="none"/>
              </w:rPr>
              <w:t>mg/m³。</w:t>
            </w:r>
          </w:p>
        </w:tc>
      </w:tr>
      <w:tr w14:paraId="1E865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09" w:type="dxa"/>
            <w:vMerge w:val="continue"/>
            <w:vAlign w:val="center"/>
          </w:tcPr>
          <w:p w14:paraId="5D8E5F45">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590" w:type="dxa"/>
            <w:vAlign w:val="center"/>
          </w:tcPr>
          <w:p w14:paraId="3BA771B4">
            <w:pPr>
              <w:pStyle w:val="25"/>
              <w:spacing w:after="0"/>
              <w:ind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原料</w:t>
            </w:r>
            <w:r>
              <w:rPr>
                <w:rFonts w:hint="eastAsia" w:ascii="Times New Roman" w:hAnsi="Times New Roman" w:eastAsia="宋体" w:cs="Times New Roman"/>
                <w:color w:val="auto"/>
                <w:kern w:val="2"/>
                <w:sz w:val="21"/>
                <w:szCs w:val="21"/>
                <w:highlight w:val="none"/>
                <w:lang w:val="en-US" w:eastAsia="zh-CN" w:bidi="ar-SA"/>
              </w:rPr>
              <w:t>转载</w:t>
            </w:r>
            <w:r>
              <w:rPr>
                <w:rFonts w:hint="eastAsia" w:cs="Times New Roman"/>
                <w:color w:val="auto"/>
                <w:kern w:val="2"/>
                <w:sz w:val="21"/>
                <w:szCs w:val="21"/>
                <w:highlight w:val="none"/>
                <w:lang w:val="en-US" w:eastAsia="zh-CN" w:bidi="ar-SA"/>
              </w:rPr>
              <w:t>点</w:t>
            </w:r>
            <w:r>
              <w:rPr>
                <w:rFonts w:hint="eastAsia" w:ascii="Times New Roman" w:hAnsi="Times New Roman" w:eastAsia="宋体" w:cs="Times New Roman"/>
                <w:color w:val="auto"/>
                <w:kern w:val="2"/>
                <w:sz w:val="21"/>
                <w:szCs w:val="21"/>
                <w:highlight w:val="none"/>
                <w:lang w:val="en-US" w:eastAsia="zh-CN" w:bidi="ar-SA"/>
              </w:rPr>
              <w:t>落料粉尘</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DA003</w:t>
            </w:r>
            <w:r>
              <w:rPr>
                <w:rFonts w:hint="eastAsia" w:ascii="Times New Roman" w:hAnsi="Times New Roman" w:eastAsia="宋体" w:cs="Times New Roman"/>
                <w:color w:val="auto"/>
                <w:kern w:val="2"/>
                <w:sz w:val="21"/>
                <w:szCs w:val="21"/>
                <w:highlight w:val="none"/>
                <w:lang w:val="en-US" w:eastAsia="zh-CN" w:bidi="ar-SA"/>
              </w:rPr>
              <w:t>）</w:t>
            </w:r>
          </w:p>
        </w:tc>
        <w:tc>
          <w:tcPr>
            <w:tcW w:w="1377" w:type="dxa"/>
            <w:vAlign w:val="center"/>
          </w:tcPr>
          <w:p w14:paraId="1F910813">
            <w:pPr>
              <w:pStyle w:val="25"/>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2894" w:type="dxa"/>
            <w:vAlign w:val="center"/>
          </w:tcPr>
          <w:p w14:paraId="1A7EFFC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1套集气罩+收尘风管+布袋除尘器+15.5m高排气筒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原料转载</w:t>
            </w:r>
            <w:r>
              <w:rPr>
                <w:rFonts w:hint="default" w:ascii="Times New Roman" w:hAnsi="Times New Roman" w:eastAsia="宋体" w:cs="Times New Roman"/>
                <w:color w:val="auto"/>
                <w:sz w:val="21"/>
                <w:szCs w:val="21"/>
                <w:highlight w:val="none"/>
              </w:rPr>
              <w:t>过程产生的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Align w:val="center"/>
          </w:tcPr>
          <w:p w14:paraId="7B25805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有组织颗粒物</w:t>
            </w:r>
            <w:r>
              <w:rPr>
                <w:rFonts w:hint="eastAsia" w:cs="Times New Roman"/>
                <w:color w:val="auto"/>
                <w:sz w:val="21"/>
                <w:szCs w:val="21"/>
                <w:highlight w:val="none"/>
                <w:lang w:val="en-US" w:eastAsia="zh-CN"/>
              </w:rPr>
              <w:t>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rFonts w:hint="default" w:ascii="Times New Roman" w:hAnsi="Times New Roman" w:eastAsia="宋体" w:cs="Times New Roman"/>
                <w:b w:val="0"/>
                <w:bCs w:val="0"/>
                <w:color w:val="auto"/>
                <w:sz w:val="21"/>
                <w:szCs w:val="21"/>
                <w:highlight w:val="none"/>
                <w:lang w:val="zh-CN"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mg/m³</w:t>
            </w:r>
            <w:r>
              <w:rPr>
                <w:rFonts w:hint="default" w:ascii="Times New Roman" w:hAnsi="Times New Roman" w:eastAsia="宋体" w:cs="Times New Roman"/>
                <w:color w:val="auto"/>
                <w:sz w:val="21"/>
                <w:szCs w:val="21"/>
                <w:highlight w:val="none"/>
                <w:lang w:val="en-US" w:eastAsia="zh-CN"/>
              </w:rPr>
              <w:t>；无组织颗粒物执行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颗粒物≤1.0</w:t>
            </w:r>
            <w:r>
              <w:rPr>
                <w:rFonts w:hint="default" w:ascii="Times New Roman" w:hAnsi="Times New Roman" w:eastAsia="宋体" w:cs="Times New Roman"/>
                <w:color w:val="auto"/>
                <w:sz w:val="21"/>
                <w:szCs w:val="21"/>
                <w:highlight w:val="none"/>
              </w:rPr>
              <w:t>mg/m³。</w:t>
            </w:r>
          </w:p>
        </w:tc>
      </w:tr>
      <w:tr w14:paraId="56731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09" w:type="dxa"/>
            <w:vMerge w:val="continue"/>
            <w:vAlign w:val="center"/>
          </w:tcPr>
          <w:p w14:paraId="220E80FC">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590" w:type="dxa"/>
            <w:vAlign w:val="center"/>
          </w:tcPr>
          <w:p w14:paraId="7BA1E9BE">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kern w:val="2"/>
                <w:sz w:val="21"/>
                <w:szCs w:val="21"/>
                <w:highlight w:val="none"/>
                <w:lang w:val="en-US" w:eastAsia="zh-CN" w:bidi="ar-SA"/>
              </w:rPr>
              <w:t>喂煤仓</w:t>
            </w:r>
            <w:r>
              <w:rPr>
                <w:rFonts w:hint="eastAsia" w:ascii="Times New Roman" w:hAnsi="Times New Roman" w:eastAsia="宋体" w:cs="Times New Roman"/>
                <w:color w:val="auto"/>
                <w:kern w:val="2"/>
                <w:sz w:val="21"/>
                <w:szCs w:val="21"/>
                <w:highlight w:val="none"/>
                <w:lang w:val="en-US" w:eastAsia="zh-CN" w:bidi="ar-SA"/>
              </w:rPr>
              <w:t>粉尘（</w:t>
            </w:r>
            <w:r>
              <w:rPr>
                <w:rFonts w:hint="eastAsia" w:cs="Times New Roman"/>
                <w:color w:val="auto"/>
                <w:sz w:val="21"/>
                <w:szCs w:val="21"/>
                <w:highlight w:val="none"/>
                <w:lang w:val="en-US" w:eastAsia="zh-CN"/>
              </w:rPr>
              <w:t>DA004）</w:t>
            </w:r>
          </w:p>
        </w:tc>
        <w:tc>
          <w:tcPr>
            <w:tcW w:w="1377" w:type="dxa"/>
            <w:vAlign w:val="center"/>
          </w:tcPr>
          <w:p w14:paraId="131468D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2894" w:type="dxa"/>
            <w:vAlign w:val="center"/>
          </w:tcPr>
          <w:p w14:paraId="7DE5E51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1套集气罩+收尘风管+布袋除尘器+36m高排气筒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喂煤仓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9639</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Align w:val="center"/>
          </w:tcPr>
          <w:p w14:paraId="3A2CE01A">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有组织颗粒物</w:t>
            </w:r>
            <w:r>
              <w:rPr>
                <w:rFonts w:hint="eastAsia" w:cs="Times New Roman"/>
                <w:color w:val="auto"/>
                <w:sz w:val="21"/>
                <w:szCs w:val="21"/>
                <w:highlight w:val="none"/>
                <w:lang w:val="en-US" w:eastAsia="zh-CN"/>
              </w:rPr>
              <w:t>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rFonts w:hint="default" w:ascii="Times New Roman" w:hAnsi="Times New Roman" w:eastAsia="宋体" w:cs="Times New Roman"/>
                <w:b w:val="0"/>
                <w:bCs w:val="0"/>
                <w:color w:val="auto"/>
                <w:sz w:val="21"/>
                <w:szCs w:val="21"/>
                <w:highlight w:val="none"/>
                <w:lang w:val="zh-CN"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mg/m³</w:t>
            </w:r>
            <w:r>
              <w:rPr>
                <w:rFonts w:hint="default" w:ascii="Times New Roman" w:hAnsi="Times New Roman" w:eastAsia="宋体" w:cs="Times New Roman"/>
                <w:color w:val="auto"/>
                <w:sz w:val="21"/>
                <w:szCs w:val="21"/>
                <w:highlight w:val="none"/>
                <w:lang w:val="en-US" w:eastAsia="zh-CN"/>
              </w:rPr>
              <w:t>；无组织颗粒物执行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颗粒物≤1.0</w:t>
            </w:r>
            <w:r>
              <w:rPr>
                <w:rFonts w:hint="default" w:ascii="Times New Roman" w:hAnsi="Times New Roman" w:eastAsia="宋体" w:cs="Times New Roman"/>
                <w:color w:val="auto"/>
                <w:sz w:val="21"/>
                <w:szCs w:val="21"/>
                <w:highlight w:val="none"/>
              </w:rPr>
              <w:t>mg/m³。</w:t>
            </w:r>
          </w:p>
        </w:tc>
      </w:tr>
      <w:tr w14:paraId="12122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09" w:type="dxa"/>
            <w:vMerge w:val="continue"/>
            <w:vAlign w:val="center"/>
          </w:tcPr>
          <w:p w14:paraId="2415B5D6">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590" w:type="dxa"/>
            <w:vAlign w:val="center"/>
          </w:tcPr>
          <w:p w14:paraId="31EEA059">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烘干废气（</w:t>
            </w:r>
            <w:r>
              <w:rPr>
                <w:rFonts w:hint="eastAsia" w:cs="Times New Roman"/>
                <w:color w:val="auto"/>
                <w:sz w:val="21"/>
                <w:szCs w:val="21"/>
                <w:highlight w:val="none"/>
                <w:lang w:val="en-US" w:eastAsia="zh-CN"/>
              </w:rPr>
              <w:t>DA005</w:t>
            </w:r>
            <w:r>
              <w:rPr>
                <w:rFonts w:hint="eastAsia" w:cs="Times New Roman"/>
                <w:color w:val="auto"/>
                <w:sz w:val="21"/>
                <w:szCs w:val="21"/>
                <w:highlight w:val="none"/>
                <w:lang w:eastAsia="zh-CN"/>
              </w:rPr>
              <w:t>）</w:t>
            </w:r>
          </w:p>
        </w:tc>
        <w:tc>
          <w:tcPr>
            <w:tcW w:w="1377" w:type="dxa"/>
            <w:vAlign w:val="center"/>
          </w:tcPr>
          <w:p w14:paraId="7BE596B6">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颗粒物、二氧化硫、氮氧化物、</w:t>
            </w:r>
            <w:r>
              <w:rPr>
                <w:rFonts w:hint="eastAsia"/>
                <w:color w:val="auto"/>
                <w:szCs w:val="21"/>
                <w:highlight w:val="none"/>
              </w:rPr>
              <w:t>N</w:t>
            </w:r>
            <w:r>
              <w:rPr>
                <w:color w:val="auto"/>
                <w:szCs w:val="21"/>
                <w:highlight w:val="none"/>
              </w:rPr>
              <w:t>H</w:t>
            </w:r>
            <w:r>
              <w:rPr>
                <w:color w:val="auto"/>
                <w:szCs w:val="21"/>
                <w:highlight w:val="none"/>
                <w:vertAlign w:val="subscript"/>
              </w:rPr>
              <w:t>3</w:t>
            </w:r>
          </w:p>
        </w:tc>
        <w:tc>
          <w:tcPr>
            <w:tcW w:w="2894" w:type="dxa"/>
            <w:vAlign w:val="center"/>
          </w:tcPr>
          <w:p w14:paraId="5548EAE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olor w:val="auto"/>
                <w:sz w:val="21"/>
                <w:szCs w:val="21"/>
                <w:highlight w:val="none"/>
              </w:rPr>
              <w:t>炉内喷钙脱硫</w:t>
            </w:r>
            <w:r>
              <w:rPr>
                <w:rFonts w:hint="eastAsia"/>
                <w:color w:val="auto"/>
                <w:sz w:val="21"/>
                <w:szCs w:val="21"/>
                <w:highlight w:val="none"/>
                <w:lang w:eastAsia="zh-CN"/>
              </w:rPr>
              <w:t>（</w:t>
            </w:r>
            <w:r>
              <w:rPr>
                <w:rFonts w:hint="eastAsia"/>
                <w:color w:val="auto"/>
                <w:sz w:val="21"/>
                <w:szCs w:val="21"/>
                <w:highlight w:val="none"/>
              </w:rPr>
              <w:t>结合尾部烟气的增湿活化脱硫效应</w:t>
            </w:r>
            <w:r>
              <w:rPr>
                <w:rFonts w:hint="eastAsia"/>
                <w:color w:val="auto"/>
                <w:sz w:val="21"/>
                <w:szCs w:val="21"/>
                <w:highlight w:val="none"/>
                <w:lang w:eastAsia="zh-CN"/>
              </w:rPr>
              <w:t>）</w:t>
            </w:r>
            <w:r>
              <w:rPr>
                <w:rFonts w:hint="eastAsia"/>
                <w:color w:val="auto"/>
                <w:sz w:val="21"/>
                <w:szCs w:val="21"/>
                <w:highlight w:val="none"/>
                <w:lang w:val="en-US" w:eastAsia="zh-CN"/>
              </w:rPr>
              <w:t>+分级燃烧+</w:t>
            </w:r>
            <w:r>
              <w:rPr>
                <w:rFonts w:hint="eastAsia"/>
                <w:color w:val="auto"/>
                <w:sz w:val="21"/>
                <w:szCs w:val="21"/>
                <w:highlight w:val="none"/>
              </w:rPr>
              <w:t>SNCR</w:t>
            </w:r>
            <w:r>
              <w:rPr>
                <w:rFonts w:hint="eastAsia"/>
                <w:color w:val="auto"/>
                <w:sz w:val="21"/>
                <w:szCs w:val="21"/>
                <w:highlight w:val="none"/>
                <w:lang w:val="en-US" w:eastAsia="zh-CN"/>
              </w:rPr>
              <w:t>喷氨</w:t>
            </w:r>
            <w:r>
              <w:rPr>
                <w:rFonts w:hint="eastAsia"/>
                <w:color w:val="auto"/>
                <w:sz w:val="21"/>
                <w:szCs w:val="21"/>
                <w:highlight w:val="none"/>
              </w:rPr>
              <w:t>脱硝</w:t>
            </w:r>
            <w:r>
              <w:rPr>
                <w:rFonts w:hint="eastAsia" w:cs="Times New Roman"/>
                <w:color w:val="auto"/>
                <w:sz w:val="21"/>
                <w:szCs w:val="21"/>
                <w:highlight w:val="none"/>
                <w:lang w:val="en-US" w:eastAsia="zh-CN"/>
              </w:rPr>
              <w:t>+1套</w:t>
            </w:r>
            <w:r>
              <w:rPr>
                <w:rFonts w:hint="eastAsia"/>
                <w:color w:val="auto"/>
                <w:sz w:val="21"/>
                <w:szCs w:val="21"/>
                <w:highlight w:val="none"/>
              </w:rPr>
              <w:t>脉冲袋式除尘器</w:t>
            </w:r>
            <w:r>
              <w:rPr>
                <w:rFonts w:hint="eastAsia" w:cs="Times New Roman"/>
                <w:color w:val="auto"/>
                <w:sz w:val="21"/>
                <w:szCs w:val="21"/>
                <w:highlight w:val="none"/>
                <w:lang w:val="en-US" w:eastAsia="zh-CN"/>
              </w:rPr>
              <w:t>+25m高排气筒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烘干</w:t>
            </w:r>
            <w:r>
              <w:rPr>
                <w:rFonts w:hint="default" w:ascii="Times New Roman" w:hAnsi="Times New Roman" w:eastAsia="宋体" w:cs="Times New Roman"/>
                <w:color w:val="auto"/>
                <w:sz w:val="21"/>
                <w:szCs w:val="21"/>
                <w:highlight w:val="none"/>
              </w:rPr>
              <w:t>过程产生的</w:t>
            </w:r>
            <w:r>
              <w:rPr>
                <w:rFonts w:hint="eastAsia" w:cs="Times New Roman"/>
                <w:color w:val="auto"/>
                <w:sz w:val="21"/>
                <w:szCs w:val="21"/>
                <w:highlight w:val="none"/>
                <w:lang w:val="en-US" w:eastAsia="zh-CN"/>
              </w:rPr>
              <w:t>污染物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 w:val="0"/>
                <w:bCs w:val="0"/>
                <w:color w:val="auto"/>
                <w:sz w:val="21"/>
                <w:szCs w:val="21"/>
                <w:highlight w:val="none"/>
                <w:vertAlign w:val="baseline"/>
                <w:lang w:val="en-US" w:eastAsia="zh-CN"/>
              </w:rPr>
              <w:t>35467.44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脱硫效率85%，脱硝效率75%，</w:t>
            </w:r>
            <w:r>
              <w:rPr>
                <w:rFonts w:hint="default" w:ascii="Times New Roman" w:hAnsi="Times New Roman" w:eastAsia="宋体" w:cs="Times New Roman"/>
                <w:bCs/>
                <w:color w:val="auto"/>
                <w:sz w:val="21"/>
                <w:szCs w:val="21"/>
                <w:highlight w:val="none"/>
                <w:lang w:val="en-US" w:eastAsia="zh-CN"/>
              </w:rPr>
              <w:t>排气筒内径</w:t>
            </w:r>
            <w:r>
              <w:rPr>
                <w:rFonts w:hint="eastAsia" w:cs="Times New Roman"/>
                <w:bCs/>
                <w:color w:val="auto"/>
                <w:sz w:val="21"/>
                <w:szCs w:val="21"/>
                <w:highlight w:val="none"/>
                <w:lang w:val="en-US" w:eastAsia="zh-CN"/>
              </w:rPr>
              <w:t>1.0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Align w:val="center"/>
          </w:tcPr>
          <w:p w14:paraId="4F88EC3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颗粒物、</w:t>
            </w:r>
            <w:r>
              <w:rPr>
                <w:rFonts w:hint="eastAsia" w:ascii="Times New Roman" w:hAnsi="Times New Roman" w:eastAsia="宋体" w:cs="Times New Roman"/>
                <w:color w:val="auto"/>
                <w:sz w:val="21"/>
                <w:szCs w:val="21"/>
                <w:highlight w:val="none"/>
                <w:lang w:val="en-US" w:eastAsia="zh-CN"/>
              </w:rPr>
              <w:t>SO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eastAsia="zh-CN"/>
              </w:rPr>
              <w:t>执行</w:t>
            </w:r>
            <w:r>
              <w:rPr>
                <w:rFonts w:hint="default" w:ascii="Times New Roman" w:hAnsi="Times New Roman" w:eastAsia="宋体" w:cs="Times New Roman"/>
                <w:color w:val="auto"/>
                <w:sz w:val="21"/>
                <w:szCs w:val="21"/>
                <w:highlight w:val="none"/>
              </w:rPr>
              <w:t>《工业炉窑大气污染物排放标准》（GB9078-1996）中标准限值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w:t>
            </w:r>
            <w:r>
              <w:rPr>
                <w:rFonts w:hint="eastAsia" w:ascii="Times New Roman" w:hAnsi="Times New Roman" w:eastAsia="宋体"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mg/m³</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SO</w:t>
            </w:r>
            <w:r>
              <w:rPr>
                <w:rFonts w:hint="eastAsia"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850</w:t>
            </w:r>
            <w:r>
              <w:rPr>
                <w:rFonts w:hint="default" w:ascii="Times New Roman" w:hAnsi="Times New Roman" w:eastAsia="宋体" w:cs="Times New Roman"/>
                <w:color w:val="auto"/>
                <w:sz w:val="21"/>
                <w:szCs w:val="21"/>
                <w:highlight w:val="none"/>
              </w:rPr>
              <w:t>mg/m³</w:t>
            </w:r>
            <w:r>
              <w:rPr>
                <w:rFonts w:hint="eastAsia" w:ascii="Times New Roman" w:hAnsi="Times New Roman" w:eastAsia="宋体" w:cs="Times New Roman"/>
                <w:color w:val="auto"/>
                <w:sz w:val="21"/>
                <w:szCs w:val="21"/>
                <w:highlight w:val="none"/>
                <w:lang w:eastAsia="zh-CN"/>
              </w:rPr>
              <w:t>；</w:t>
            </w:r>
            <w:r>
              <w:rPr>
                <w:rFonts w:hint="eastAsia"/>
                <w:color w:val="auto"/>
                <w:sz w:val="21"/>
                <w:szCs w:val="21"/>
                <w:highlight w:val="none"/>
              </w:rPr>
              <w:t>氮氧化物执行《大气污染物综合排放标准》（GB16297-1996）中表2标准</w:t>
            </w:r>
            <w:r>
              <w:rPr>
                <w:rFonts w:hint="eastAsia"/>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eastAsia" w:ascii="Times New Roman" w:hAnsi="Times New Roman" w:eastAsia="宋体" w:cs="Times New Roman"/>
                <w:color w:val="auto"/>
                <w:sz w:val="21"/>
                <w:szCs w:val="21"/>
                <w:highlight w:val="none"/>
                <w:lang w:val="en-US" w:eastAsia="zh-CN"/>
              </w:rPr>
              <w:t>NOx</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240</w:t>
            </w:r>
            <w:r>
              <w:rPr>
                <w:rFonts w:hint="default" w:ascii="Times New Roman" w:hAnsi="Times New Roman" w:eastAsia="宋体" w:cs="Times New Roman"/>
                <w:color w:val="auto"/>
                <w:sz w:val="21"/>
                <w:szCs w:val="21"/>
                <w:highlight w:val="none"/>
              </w:rPr>
              <w:t>mg/m³</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执行《恶臭污染物排放标准》（GB14554-93）表2标准限值及《火电厂烟气脱硝工程技术规范选择性非催化还原法》（HJ563-2010）氨逃逸浓度控制要求，</w:t>
            </w:r>
            <w:r>
              <w:rPr>
                <w:rFonts w:hint="default" w:ascii="Times New Roman" w:hAnsi="Times New Roman" w:eastAsia="宋体" w:cs="Times New Roman"/>
                <w:b w:val="0"/>
                <w:bCs w:val="0"/>
                <w:color w:val="auto"/>
                <w:sz w:val="21"/>
                <w:szCs w:val="21"/>
                <w:highlight w:val="none"/>
                <w:lang w:val="en-US" w:eastAsia="zh-CN"/>
              </w:rPr>
              <w:t>即</w:t>
            </w:r>
            <w:r>
              <w:rPr>
                <w:rFonts w:hint="eastAsia" w:ascii="Times New Roman" w:hAnsi="Times New Roman" w:eastAsia="宋体" w:cs="Times New Roman"/>
                <w:color w:val="auto"/>
                <w:sz w:val="21"/>
                <w:szCs w:val="21"/>
                <w:highlight w:val="none"/>
                <w:lang w:val="en-US" w:eastAsia="zh-CN"/>
              </w:rPr>
              <w:t>氨</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rPr>
              <w:t>mg/m³</w:t>
            </w:r>
            <w:r>
              <w:rPr>
                <w:rFonts w:hint="default" w:ascii="Times New Roman" w:hAnsi="Times New Roman" w:eastAsia="宋体" w:cs="Times New Roman"/>
                <w:color w:val="auto"/>
                <w:sz w:val="21"/>
                <w:szCs w:val="21"/>
                <w:highlight w:val="none"/>
                <w:lang w:val="en-US" w:eastAsia="zh-CN"/>
              </w:rPr>
              <w:t>。</w:t>
            </w:r>
          </w:p>
        </w:tc>
      </w:tr>
      <w:tr w14:paraId="6E818B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809" w:type="dxa"/>
            <w:vMerge w:val="continue"/>
            <w:vAlign w:val="center"/>
          </w:tcPr>
          <w:p w14:paraId="695A6F06">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590" w:type="dxa"/>
            <w:vAlign w:val="center"/>
          </w:tcPr>
          <w:p w14:paraId="7792D732">
            <w:pPr>
              <w:keepNext w:val="0"/>
              <w:keepLines w:val="0"/>
              <w:widowControl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1#燃料仓粉尘</w:t>
            </w:r>
          </w:p>
          <w:p w14:paraId="4E3BA8B3">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（DA006）</w:t>
            </w:r>
          </w:p>
        </w:tc>
        <w:tc>
          <w:tcPr>
            <w:tcW w:w="1377" w:type="dxa"/>
            <w:vAlign w:val="center"/>
          </w:tcPr>
          <w:p w14:paraId="6C972617">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颗粒物</w:t>
            </w:r>
          </w:p>
        </w:tc>
        <w:tc>
          <w:tcPr>
            <w:tcW w:w="2894" w:type="dxa"/>
            <w:vAlign w:val="center"/>
          </w:tcPr>
          <w:p w14:paraId="6749F873">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8"/>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1套布袋除尘器+20.5m高排气筒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喂煤仓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Merge w:val="restart"/>
            <w:vAlign w:val="center"/>
          </w:tcPr>
          <w:p w14:paraId="4CE7ECCE">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有组织颗粒物</w:t>
            </w:r>
            <w:r>
              <w:rPr>
                <w:rFonts w:hint="eastAsia" w:cs="Times New Roman"/>
                <w:color w:val="auto"/>
                <w:sz w:val="21"/>
                <w:szCs w:val="21"/>
                <w:highlight w:val="none"/>
                <w:lang w:val="en-US" w:eastAsia="zh-CN"/>
              </w:rPr>
              <w:t>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rFonts w:hint="default" w:ascii="Times New Roman" w:hAnsi="Times New Roman" w:eastAsia="宋体" w:cs="Times New Roman"/>
                <w:b w:val="0"/>
                <w:bCs w:val="0"/>
                <w:color w:val="auto"/>
                <w:sz w:val="21"/>
                <w:szCs w:val="21"/>
                <w:highlight w:val="none"/>
                <w:lang w:val="zh-CN"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mg/m³。</w:t>
            </w:r>
          </w:p>
        </w:tc>
      </w:tr>
      <w:tr w14:paraId="47E0B9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809" w:type="dxa"/>
            <w:vMerge w:val="continue"/>
            <w:vAlign w:val="center"/>
          </w:tcPr>
          <w:p w14:paraId="714E4899">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590" w:type="dxa"/>
            <w:vAlign w:val="center"/>
          </w:tcPr>
          <w:p w14:paraId="79480753">
            <w:pPr>
              <w:keepNext w:val="0"/>
              <w:keepLines w:val="0"/>
              <w:widowControl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2#燃料仓粉尘</w:t>
            </w:r>
          </w:p>
          <w:p w14:paraId="46E1E65C">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（DA007）</w:t>
            </w:r>
          </w:p>
        </w:tc>
        <w:tc>
          <w:tcPr>
            <w:tcW w:w="1377" w:type="dxa"/>
            <w:vAlign w:val="center"/>
          </w:tcPr>
          <w:p w14:paraId="2C185053">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2894" w:type="dxa"/>
            <w:vAlign w:val="center"/>
          </w:tcPr>
          <w:p w14:paraId="0A4E25F7">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1套布袋除尘器+20.5m高排气筒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喂煤仓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Merge w:val="continue"/>
            <w:vAlign w:val="center"/>
          </w:tcPr>
          <w:p w14:paraId="5545A1DE">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r>
      <w:tr w14:paraId="599EC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09" w:type="dxa"/>
            <w:vMerge w:val="continue"/>
            <w:vAlign w:val="center"/>
          </w:tcPr>
          <w:p w14:paraId="5DB086A9">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590" w:type="dxa"/>
            <w:vAlign w:val="center"/>
          </w:tcPr>
          <w:p w14:paraId="0B65F07C">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kern w:val="2"/>
                <w:sz w:val="21"/>
                <w:szCs w:val="21"/>
                <w:highlight w:val="none"/>
                <w:lang w:val="en-US" w:eastAsia="zh-CN" w:bidi="ar-SA"/>
              </w:rPr>
              <w:t>1#煤粉仓粉尘</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DA008</w:t>
            </w:r>
            <w:r>
              <w:rPr>
                <w:rFonts w:hint="eastAsia" w:cs="Times New Roman"/>
                <w:color w:val="auto"/>
                <w:sz w:val="21"/>
                <w:szCs w:val="21"/>
                <w:highlight w:val="none"/>
                <w:lang w:eastAsia="zh-CN"/>
              </w:rPr>
              <w:t>）</w:t>
            </w:r>
          </w:p>
        </w:tc>
        <w:tc>
          <w:tcPr>
            <w:tcW w:w="1377" w:type="dxa"/>
            <w:vAlign w:val="center"/>
          </w:tcPr>
          <w:p w14:paraId="79E3F45F">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颗粒物</w:t>
            </w:r>
          </w:p>
        </w:tc>
        <w:tc>
          <w:tcPr>
            <w:tcW w:w="2894" w:type="dxa"/>
            <w:vAlign w:val="center"/>
          </w:tcPr>
          <w:p w14:paraId="6D2DC6E2">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8"/>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1套布袋除尘器+15.5m高排气筒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粉煤仓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Merge w:val="restart"/>
            <w:vAlign w:val="center"/>
          </w:tcPr>
          <w:p w14:paraId="11727BC1">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rFonts w:hint="default" w:ascii="Times New Roman" w:hAnsi="Times New Roman" w:eastAsia="宋体" w:cs="Times New Roman"/>
                <w:b w:val="0"/>
                <w:bCs w:val="0"/>
                <w:color w:val="auto"/>
                <w:sz w:val="21"/>
                <w:szCs w:val="21"/>
                <w:highlight w:val="none"/>
                <w:lang w:val="zh-CN"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mg/m³。</w:t>
            </w:r>
          </w:p>
        </w:tc>
      </w:tr>
      <w:tr w14:paraId="4EECCA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09" w:type="dxa"/>
            <w:vMerge w:val="continue"/>
            <w:vAlign w:val="center"/>
          </w:tcPr>
          <w:p w14:paraId="73C7E12A">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590" w:type="dxa"/>
            <w:vAlign w:val="center"/>
          </w:tcPr>
          <w:p w14:paraId="1C22017D">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2#煤粉仓粉尘</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DA009</w:t>
            </w:r>
            <w:r>
              <w:rPr>
                <w:rFonts w:hint="eastAsia" w:cs="Times New Roman"/>
                <w:color w:val="auto"/>
                <w:sz w:val="21"/>
                <w:szCs w:val="21"/>
                <w:highlight w:val="none"/>
                <w:lang w:eastAsia="zh-CN"/>
              </w:rPr>
              <w:t>）</w:t>
            </w:r>
          </w:p>
        </w:tc>
        <w:tc>
          <w:tcPr>
            <w:tcW w:w="1377" w:type="dxa"/>
            <w:vAlign w:val="center"/>
          </w:tcPr>
          <w:p w14:paraId="451729E4">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eastAsia="zh-CN"/>
              </w:rPr>
              <w:t>颗粒物</w:t>
            </w:r>
          </w:p>
        </w:tc>
        <w:tc>
          <w:tcPr>
            <w:tcW w:w="2894" w:type="dxa"/>
            <w:vAlign w:val="center"/>
          </w:tcPr>
          <w:p w14:paraId="61CB022B">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1套布袋除尘器+26.5m高排气筒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粉煤仓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4012</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35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Merge w:val="continue"/>
            <w:vAlign w:val="center"/>
          </w:tcPr>
          <w:p w14:paraId="735E060A">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p>
        </w:tc>
      </w:tr>
      <w:tr w14:paraId="740FCF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09" w:type="dxa"/>
            <w:vMerge w:val="continue"/>
            <w:vAlign w:val="center"/>
          </w:tcPr>
          <w:p w14:paraId="08E16385">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p>
        </w:tc>
        <w:tc>
          <w:tcPr>
            <w:tcW w:w="1590" w:type="dxa"/>
            <w:vAlign w:val="center"/>
          </w:tcPr>
          <w:p w14:paraId="11661D28">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3#煤粉仓粉尘</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DA010</w:t>
            </w:r>
            <w:r>
              <w:rPr>
                <w:rFonts w:hint="eastAsia" w:cs="Times New Roman"/>
                <w:color w:val="auto"/>
                <w:sz w:val="21"/>
                <w:szCs w:val="21"/>
                <w:highlight w:val="none"/>
                <w:lang w:eastAsia="zh-CN"/>
              </w:rPr>
              <w:t>）</w:t>
            </w:r>
          </w:p>
        </w:tc>
        <w:tc>
          <w:tcPr>
            <w:tcW w:w="1377" w:type="dxa"/>
            <w:vAlign w:val="center"/>
          </w:tcPr>
          <w:p w14:paraId="1E0E49B1">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eastAsia="zh-CN"/>
              </w:rPr>
              <w:t>颗粒物</w:t>
            </w:r>
          </w:p>
        </w:tc>
        <w:tc>
          <w:tcPr>
            <w:tcW w:w="2894" w:type="dxa"/>
            <w:vAlign w:val="center"/>
          </w:tcPr>
          <w:p w14:paraId="2D54C530">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1套布袋除尘器+26.5m高排气筒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val="en-US" w:eastAsia="zh-CN"/>
              </w:rPr>
              <w:t>粉煤仓</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4012</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35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Merge w:val="continue"/>
            <w:vAlign w:val="center"/>
          </w:tcPr>
          <w:p w14:paraId="2A1593FA">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p>
        </w:tc>
      </w:tr>
      <w:tr w14:paraId="54726A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2" w:hRule="atLeast"/>
          <w:jc w:val="center"/>
        </w:trPr>
        <w:tc>
          <w:tcPr>
            <w:tcW w:w="809" w:type="dxa"/>
            <w:vMerge w:val="continue"/>
            <w:vAlign w:val="center"/>
          </w:tcPr>
          <w:p w14:paraId="0582072E">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590" w:type="dxa"/>
            <w:vMerge w:val="restart"/>
            <w:vAlign w:val="center"/>
          </w:tcPr>
          <w:p w14:paraId="35F2319A">
            <w:pPr>
              <w:keepNext w:val="0"/>
              <w:keepLines w:val="0"/>
              <w:widowControl w:val="0"/>
              <w:suppressLineNumbers w:val="0"/>
              <w:spacing w:before="0" w:beforeAutospacing="0" w:after="0" w:afterAutospacing="0"/>
              <w:ind w:left="0" w:leftChars="0" w:right="0" w:rightChars="0"/>
              <w:jc w:val="both"/>
              <w:rPr>
                <w:rFonts w:hint="eastAsia" w:cs="Times New Roman"/>
                <w:color w:val="auto"/>
                <w:sz w:val="21"/>
                <w:szCs w:val="21"/>
                <w:highlight w:val="none"/>
                <w:lang w:eastAsia="zh-CN"/>
              </w:rPr>
            </w:pPr>
            <w:r>
              <w:rPr>
                <w:rFonts w:hint="eastAsia" w:cs="Times New Roman"/>
                <w:color w:val="auto"/>
                <w:kern w:val="2"/>
                <w:sz w:val="21"/>
                <w:szCs w:val="21"/>
                <w:highlight w:val="none"/>
                <w:lang w:val="en-US" w:eastAsia="zh-CN" w:bidi="ar-SA"/>
              </w:rPr>
              <w:t>成品</w:t>
            </w:r>
            <w:r>
              <w:rPr>
                <w:rFonts w:hint="eastAsia" w:ascii="Times New Roman" w:hAnsi="Times New Roman" w:eastAsia="宋体" w:cs="Times New Roman"/>
                <w:color w:val="auto"/>
                <w:kern w:val="2"/>
                <w:sz w:val="21"/>
                <w:szCs w:val="21"/>
                <w:highlight w:val="none"/>
                <w:lang w:val="en-US" w:eastAsia="zh-CN" w:bidi="ar-SA"/>
              </w:rPr>
              <w:t>转载</w:t>
            </w:r>
            <w:r>
              <w:rPr>
                <w:rFonts w:hint="eastAsia" w:cs="Times New Roman"/>
                <w:color w:val="auto"/>
                <w:kern w:val="2"/>
                <w:sz w:val="21"/>
                <w:szCs w:val="21"/>
                <w:highlight w:val="none"/>
                <w:lang w:val="en-US" w:eastAsia="zh-CN" w:bidi="ar-SA"/>
              </w:rPr>
              <w:t>点</w:t>
            </w:r>
            <w:r>
              <w:rPr>
                <w:rFonts w:hint="eastAsia" w:ascii="Times New Roman" w:hAnsi="Times New Roman" w:eastAsia="宋体" w:cs="Times New Roman"/>
                <w:color w:val="auto"/>
                <w:kern w:val="2"/>
                <w:sz w:val="21"/>
                <w:szCs w:val="21"/>
                <w:highlight w:val="none"/>
                <w:lang w:val="en-US" w:eastAsia="zh-CN" w:bidi="ar-SA"/>
              </w:rPr>
              <w:t>落料粉尘</w:t>
            </w:r>
          </w:p>
        </w:tc>
        <w:tc>
          <w:tcPr>
            <w:tcW w:w="1377" w:type="dxa"/>
            <w:vAlign w:val="center"/>
          </w:tcPr>
          <w:p w14:paraId="6D6278F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r>
              <w:rPr>
                <w:rFonts w:hint="eastAsia"/>
                <w:color w:val="auto"/>
                <w:sz w:val="21"/>
                <w:szCs w:val="21"/>
                <w:highlight w:val="none"/>
              </w:rPr>
              <w:t>出烘干机皮带转运</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DA011</w:t>
            </w:r>
            <w:r>
              <w:rPr>
                <w:rFonts w:hint="eastAsia" w:cs="Times New Roman"/>
                <w:color w:val="auto"/>
                <w:sz w:val="21"/>
                <w:szCs w:val="21"/>
                <w:highlight w:val="none"/>
                <w:lang w:eastAsia="zh-CN"/>
              </w:rPr>
              <w:t>）</w:t>
            </w:r>
          </w:p>
        </w:tc>
        <w:tc>
          <w:tcPr>
            <w:tcW w:w="2894" w:type="dxa"/>
            <w:vAlign w:val="center"/>
          </w:tcPr>
          <w:p w14:paraId="70DE5A4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1套集气罩+收尘风管+20m高排气筒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），用于</w:t>
            </w:r>
            <w:r>
              <w:rPr>
                <w:rFonts w:hint="eastAsia" w:cs="Times New Roman"/>
                <w:color w:val="auto"/>
                <w:sz w:val="21"/>
                <w:szCs w:val="21"/>
                <w:highlight w:val="none"/>
                <w:lang w:eastAsia="zh-CN"/>
              </w:rPr>
              <w:t>处理</w:t>
            </w:r>
            <w:r>
              <w:rPr>
                <w:rFonts w:hint="eastAsia"/>
                <w:color w:val="auto"/>
                <w:sz w:val="21"/>
                <w:szCs w:val="21"/>
                <w:highlight w:val="none"/>
              </w:rPr>
              <w:t>烘干机皮带转运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Merge w:val="restart"/>
            <w:vAlign w:val="center"/>
          </w:tcPr>
          <w:p w14:paraId="4113A4CE">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有组织颗粒物</w:t>
            </w:r>
            <w:r>
              <w:rPr>
                <w:rFonts w:hint="eastAsia" w:cs="Times New Roman"/>
                <w:color w:val="auto"/>
                <w:sz w:val="21"/>
                <w:szCs w:val="21"/>
                <w:highlight w:val="none"/>
                <w:lang w:val="en-US" w:eastAsia="zh-CN"/>
              </w:rPr>
              <w:t>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rFonts w:hint="default" w:ascii="Times New Roman" w:hAnsi="Times New Roman" w:eastAsia="宋体" w:cs="Times New Roman"/>
                <w:b w:val="0"/>
                <w:bCs w:val="0"/>
                <w:color w:val="auto"/>
                <w:sz w:val="21"/>
                <w:szCs w:val="21"/>
                <w:highlight w:val="none"/>
                <w:lang w:val="zh-CN"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mg/m³</w:t>
            </w:r>
            <w:r>
              <w:rPr>
                <w:rFonts w:hint="default" w:ascii="Times New Roman" w:hAnsi="Times New Roman" w:eastAsia="宋体" w:cs="Times New Roman"/>
                <w:color w:val="auto"/>
                <w:sz w:val="21"/>
                <w:szCs w:val="21"/>
                <w:highlight w:val="none"/>
                <w:lang w:val="en-US" w:eastAsia="zh-CN"/>
              </w:rPr>
              <w:t>；无组织颗粒物执行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颗粒物≤1.0</w:t>
            </w:r>
            <w:r>
              <w:rPr>
                <w:rFonts w:hint="default" w:ascii="Times New Roman" w:hAnsi="Times New Roman" w:eastAsia="宋体" w:cs="Times New Roman"/>
                <w:color w:val="auto"/>
                <w:sz w:val="21"/>
                <w:szCs w:val="21"/>
                <w:highlight w:val="none"/>
              </w:rPr>
              <w:t>mg/m³。</w:t>
            </w:r>
          </w:p>
        </w:tc>
      </w:tr>
      <w:tr w14:paraId="639410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09" w:type="dxa"/>
            <w:vMerge w:val="continue"/>
            <w:vAlign w:val="center"/>
          </w:tcPr>
          <w:p w14:paraId="65C72720">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590" w:type="dxa"/>
            <w:vMerge w:val="continue"/>
            <w:vAlign w:val="center"/>
          </w:tcPr>
          <w:p w14:paraId="6FC3FE2E">
            <w:pPr>
              <w:keepNext w:val="0"/>
              <w:keepLines w:val="0"/>
              <w:widowControl w:val="0"/>
              <w:suppressLineNumbers w:val="0"/>
              <w:spacing w:before="0" w:beforeAutospacing="0" w:after="0" w:afterAutospacing="0"/>
              <w:ind w:left="0" w:leftChars="0" w:right="0" w:rightChars="0"/>
              <w:jc w:val="both"/>
              <w:rPr>
                <w:rFonts w:hint="eastAsia" w:cs="Times New Roman"/>
                <w:color w:val="auto"/>
                <w:kern w:val="2"/>
                <w:sz w:val="21"/>
                <w:szCs w:val="21"/>
                <w:highlight w:val="none"/>
                <w:lang w:val="en-US" w:eastAsia="zh-CN" w:bidi="ar-SA"/>
              </w:rPr>
            </w:pPr>
          </w:p>
        </w:tc>
        <w:tc>
          <w:tcPr>
            <w:tcW w:w="1377" w:type="dxa"/>
            <w:vAlign w:val="center"/>
          </w:tcPr>
          <w:p w14:paraId="31BF55F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颗粒物（进成品堆棚转运）（</w:t>
            </w:r>
            <w:r>
              <w:rPr>
                <w:rFonts w:hint="eastAsia" w:cs="Times New Roman"/>
                <w:color w:val="auto"/>
                <w:sz w:val="21"/>
                <w:szCs w:val="21"/>
                <w:highlight w:val="none"/>
                <w:lang w:val="en-US" w:eastAsia="zh-CN"/>
              </w:rPr>
              <w:t>DA012</w:t>
            </w:r>
            <w:r>
              <w:rPr>
                <w:rFonts w:hint="eastAsia" w:cs="Times New Roman"/>
                <w:color w:val="auto"/>
                <w:sz w:val="21"/>
                <w:szCs w:val="21"/>
                <w:highlight w:val="none"/>
                <w:lang w:eastAsia="zh-CN"/>
              </w:rPr>
              <w:t>）</w:t>
            </w:r>
          </w:p>
        </w:tc>
        <w:tc>
          <w:tcPr>
            <w:tcW w:w="2894" w:type="dxa"/>
            <w:vAlign w:val="center"/>
          </w:tcPr>
          <w:p w14:paraId="5D1BDA3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1套集气罩+收尘风管+26.5m高排气筒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Merge w:val="continue"/>
            <w:vAlign w:val="center"/>
          </w:tcPr>
          <w:p w14:paraId="0CBB72C3">
            <w:pPr>
              <w:adjustRightInd w:val="0"/>
              <w:snapToGrid w:val="0"/>
              <w:jc w:val="center"/>
              <w:rPr>
                <w:rFonts w:hint="default" w:ascii="Times New Roman" w:hAnsi="Times New Roman" w:eastAsia="宋体" w:cs="Times New Roman"/>
                <w:color w:val="auto"/>
                <w:sz w:val="21"/>
                <w:szCs w:val="21"/>
                <w:highlight w:val="none"/>
                <w:lang w:val="en-US" w:eastAsia="zh-CN"/>
              </w:rPr>
            </w:pPr>
          </w:p>
        </w:tc>
      </w:tr>
      <w:tr w14:paraId="786DB7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09" w:type="dxa"/>
            <w:vMerge w:val="continue"/>
            <w:vAlign w:val="center"/>
          </w:tcPr>
          <w:p w14:paraId="2E93214D">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590" w:type="dxa"/>
            <w:vMerge w:val="continue"/>
            <w:vAlign w:val="center"/>
          </w:tcPr>
          <w:p w14:paraId="5665454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1377" w:type="dxa"/>
            <w:vAlign w:val="center"/>
          </w:tcPr>
          <w:p w14:paraId="732E1E8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r>
              <w:rPr>
                <w:rFonts w:hint="eastAsia" w:ascii="Times New Roman" w:hAnsi="Times New Roman" w:eastAsia="宋体" w:cs="Times New Roman"/>
                <w:bCs/>
                <w:color w:val="auto"/>
                <w:sz w:val="21"/>
                <w:szCs w:val="21"/>
                <w:highlight w:val="none"/>
                <w:lang w:eastAsia="zh-CN"/>
              </w:rPr>
              <w:t>出成品堆棚皮带转运</w:t>
            </w:r>
            <w:r>
              <w:rPr>
                <w:rFonts w:hint="eastAsia" w:cs="Times New Roman"/>
                <w:color w:val="auto"/>
                <w:sz w:val="21"/>
                <w:szCs w:val="21"/>
                <w:highlight w:val="none"/>
                <w:lang w:val="en-US" w:eastAsia="zh-CN"/>
              </w:rPr>
              <w:t>）</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DA013</w:t>
            </w:r>
            <w:r>
              <w:rPr>
                <w:rFonts w:hint="eastAsia" w:cs="Times New Roman"/>
                <w:color w:val="auto"/>
                <w:sz w:val="21"/>
                <w:szCs w:val="21"/>
                <w:highlight w:val="none"/>
                <w:lang w:eastAsia="zh-CN"/>
              </w:rPr>
              <w:t>）</w:t>
            </w:r>
          </w:p>
        </w:tc>
        <w:tc>
          <w:tcPr>
            <w:tcW w:w="2894" w:type="dxa"/>
            <w:vAlign w:val="center"/>
          </w:tcPr>
          <w:p w14:paraId="1BBA803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共设置“</w:t>
            </w:r>
            <w:r>
              <w:rPr>
                <w:rFonts w:hint="eastAsia" w:cs="Times New Roman"/>
                <w:color w:val="auto"/>
                <w:sz w:val="21"/>
                <w:szCs w:val="21"/>
                <w:highlight w:val="none"/>
                <w:lang w:val="en-US" w:eastAsia="zh-CN"/>
              </w:rPr>
              <w:t>1套集气罩+收尘风管+布袋除尘器+32.5m高排气筒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，用于处理</w:t>
            </w:r>
            <w:r>
              <w:rPr>
                <w:rFonts w:hint="eastAsia" w:ascii="Times New Roman" w:hAnsi="Times New Roman" w:eastAsia="宋体" w:cs="Times New Roman"/>
                <w:bCs/>
                <w:color w:val="auto"/>
                <w:sz w:val="21"/>
                <w:szCs w:val="21"/>
                <w:highlight w:val="none"/>
                <w:lang w:eastAsia="zh-CN"/>
              </w:rPr>
              <w:t>出成品堆棚皮带转运</w:t>
            </w:r>
            <w:r>
              <w:rPr>
                <w:rFonts w:hint="default" w:ascii="Times New Roman" w:hAnsi="Times New Roman" w:eastAsia="宋体" w:cs="Times New Roman"/>
                <w:bCs/>
                <w:color w:val="auto"/>
                <w:sz w:val="21"/>
                <w:szCs w:val="21"/>
                <w:highlight w:val="none"/>
              </w:rPr>
              <w:t>过程产生的</w:t>
            </w:r>
            <w:r>
              <w:rPr>
                <w:rFonts w:hint="default" w:ascii="Times New Roman" w:hAnsi="Times New Roman" w:eastAsia="宋体" w:cs="Times New Roman"/>
                <w:bCs/>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Merge w:val="continue"/>
            <w:vAlign w:val="center"/>
          </w:tcPr>
          <w:p w14:paraId="2A860884">
            <w:pPr>
              <w:adjustRightInd w:val="0"/>
              <w:snapToGrid w:val="0"/>
              <w:jc w:val="center"/>
              <w:rPr>
                <w:rFonts w:hint="default" w:ascii="Times New Roman" w:hAnsi="Times New Roman" w:eastAsia="宋体" w:cs="Times New Roman"/>
                <w:color w:val="auto"/>
                <w:sz w:val="21"/>
                <w:szCs w:val="21"/>
                <w:highlight w:val="none"/>
                <w:lang w:val="en-US" w:eastAsia="zh-CN"/>
              </w:rPr>
            </w:pPr>
          </w:p>
        </w:tc>
      </w:tr>
      <w:tr w14:paraId="07557E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09" w:type="dxa"/>
            <w:vMerge w:val="continue"/>
            <w:vAlign w:val="center"/>
          </w:tcPr>
          <w:p w14:paraId="321362D5">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590" w:type="dxa"/>
            <w:vMerge w:val="continue"/>
            <w:vAlign w:val="center"/>
          </w:tcPr>
          <w:p w14:paraId="3181F99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1377" w:type="dxa"/>
            <w:vAlign w:val="center"/>
          </w:tcPr>
          <w:p w14:paraId="6B287B6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r>
              <w:rPr>
                <w:rFonts w:hint="eastAsia" w:ascii="Times New Roman" w:hAnsi="Times New Roman" w:eastAsia="宋体" w:cs="Times New Roman"/>
                <w:color w:val="auto"/>
                <w:sz w:val="21"/>
                <w:szCs w:val="21"/>
                <w:highlight w:val="none"/>
                <w:lang w:val="en-US" w:eastAsia="zh-CN"/>
              </w:rPr>
              <w:t>出成品装车车间皮带转运</w:t>
            </w:r>
            <w:r>
              <w:rPr>
                <w:rFonts w:hint="eastAsia" w:cs="Times New Roman"/>
                <w:color w:val="auto"/>
                <w:sz w:val="21"/>
                <w:szCs w:val="21"/>
                <w:highlight w:val="none"/>
                <w:lang w:val="en-US" w:eastAsia="zh-CN"/>
              </w:rPr>
              <w:t>）</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DA014</w:t>
            </w:r>
            <w:r>
              <w:rPr>
                <w:rFonts w:hint="eastAsia" w:cs="Times New Roman"/>
                <w:color w:val="auto"/>
                <w:sz w:val="21"/>
                <w:szCs w:val="21"/>
                <w:highlight w:val="none"/>
                <w:lang w:eastAsia="zh-CN"/>
              </w:rPr>
              <w:t>）</w:t>
            </w:r>
          </w:p>
        </w:tc>
        <w:tc>
          <w:tcPr>
            <w:tcW w:w="2894" w:type="dxa"/>
            <w:vAlign w:val="center"/>
          </w:tcPr>
          <w:p w14:paraId="413AB83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共设置“</w:t>
            </w:r>
            <w:r>
              <w:rPr>
                <w:rFonts w:hint="eastAsia" w:cs="Times New Roman"/>
                <w:color w:val="auto"/>
                <w:sz w:val="21"/>
                <w:szCs w:val="21"/>
                <w:highlight w:val="none"/>
                <w:lang w:val="en-US" w:eastAsia="zh-CN"/>
              </w:rPr>
              <w:t>2套集气罩+收尘风管+布袋除尘器（设两个转运点）+35m高排气筒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，用于处理</w:t>
            </w:r>
            <w:r>
              <w:rPr>
                <w:rFonts w:hint="eastAsia" w:ascii="Times New Roman" w:hAnsi="Times New Roman" w:eastAsia="宋体" w:cs="Times New Roman"/>
                <w:color w:val="auto"/>
                <w:sz w:val="21"/>
                <w:szCs w:val="21"/>
                <w:highlight w:val="none"/>
                <w:lang w:val="en-US" w:eastAsia="zh-CN"/>
              </w:rPr>
              <w:t>出成品装车车间皮带转运</w:t>
            </w:r>
            <w:r>
              <w:rPr>
                <w:rFonts w:hint="default" w:ascii="Times New Roman" w:hAnsi="Times New Roman" w:eastAsia="宋体" w:cs="Times New Roman"/>
                <w:color w:val="auto"/>
                <w:sz w:val="21"/>
                <w:szCs w:val="21"/>
                <w:highlight w:val="none"/>
              </w:rPr>
              <w:t>过程产生的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单个</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7388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Merge w:val="continue"/>
            <w:vAlign w:val="center"/>
          </w:tcPr>
          <w:p w14:paraId="65A82C33">
            <w:pPr>
              <w:adjustRightInd w:val="0"/>
              <w:snapToGrid w:val="0"/>
              <w:jc w:val="center"/>
              <w:rPr>
                <w:rFonts w:hint="default" w:ascii="Times New Roman" w:hAnsi="Times New Roman" w:eastAsia="宋体" w:cs="Times New Roman"/>
                <w:color w:val="auto"/>
                <w:sz w:val="21"/>
                <w:szCs w:val="21"/>
                <w:highlight w:val="none"/>
                <w:lang w:val="en-US" w:eastAsia="zh-CN"/>
              </w:rPr>
            </w:pPr>
          </w:p>
        </w:tc>
      </w:tr>
      <w:tr w14:paraId="065EA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809" w:type="dxa"/>
            <w:vMerge w:val="continue"/>
            <w:vAlign w:val="center"/>
          </w:tcPr>
          <w:p w14:paraId="2BCC8C93">
            <w:pPr>
              <w:adjustRightInd w:val="0"/>
              <w:snapToGrid w:val="0"/>
              <w:jc w:val="center"/>
              <w:rPr>
                <w:rFonts w:hint="default" w:ascii="Times New Roman" w:hAnsi="Times New Roman" w:eastAsia="宋体" w:cs="Times New Roman"/>
                <w:color w:val="auto"/>
                <w:sz w:val="21"/>
                <w:szCs w:val="21"/>
                <w:highlight w:val="none"/>
              </w:rPr>
            </w:pPr>
          </w:p>
        </w:tc>
        <w:tc>
          <w:tcPr>
            <w:tcW w:w="1590" w:type="dxa"/>
            <w:vMerge w:val="restart"/>
            <w:vAlign w:val="center"/>
          </w:tcPr>
          <w:p w14:paraId="32913F99">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ascii="Times New Roman" w:hAnsi="Times New Roman" w:eastAsia="宋体" w:cs="Times New Roman"/>
                <w:color w:val="auto"/>
                <w:kern w:val="2"/>
                <w:sz w:val="21"/>
                <w:szCs w:val="21"/>
                <w:highlight w:val="none"/>
                <w:lang w:val="en-US" w:eastAsia="zh-CN" w:bidi="ar-SA"/>
              </w:rPr>
              <w:t>成品散装粉尘</w:t>
            </w:r>
          </w:p>
        </w:tc>
        <w:tc>
          <w:tcPr>
            <w:tcW w:w="1377" w:type="dxa"/>
            <w:vAlign w:val="center"/>
          </w:tcPr>
          <w:p w14:paraId="69C77C43">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颗粒物（</w:t>
            </w:r>
            <w:r>
              <w:rPr>
                <w:rFonts w:hint="eastAsia" w:cs="Times New Roman"/>
                <w:color w:val="auto"/>
                <w:sz w:val="21"/>
                <w:szCs w:val="21"/>
                <w:highlight w:val="none"/>
                <w:lang w:val="en-US" w:eastAsia="zh-CN"/>
              </w:rPr>
              <w:t>1#块煤散装</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DA015</w:t>
            </w:r>
            <w:r>
              <w:rPr>
                <w:rFonts w:hint="eastAsia" w:cs="Times New Roman"/>
                <w:color w:val="auto"/>
                <w:sz w:val="21"/>
                <w:szCs w:val="21"/>
                <w:highlight w:val="none"/>
                <w:lang w:eastAsia="zh-CN"/>
              </w:rPr>
              <w:t>）</w:t>
            </w:r>
          </w:p>
        </w:tc>
        <w:tc>
          <w:tcPr>
            <w:tcW w:w="2894" w:type="dxa"/>
            <w:vAlign w:val="center"/>
          </w:tcPr>
          <w:p w14:paraId="2C8CE7E0">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8"/>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6171</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Merge w:val="restart"/>
            <w:vAlign w:val="center"/>
          </w:tcPr>
          <w:p w14:paraId="29A6F87B">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有组织颗粒物</w:t>
            </w:r>
            <w:r>
              <w:rPr>
                <w:rFonts w:hint="eastAsia" w:cs="Times New Roman"/>
                <w:color w:val="auto"/>
                <w:sz w:val="21"/>
                <w:szCs w:val="21"/>
                <w:highlight w:val="none"/>
                <w:lang w:val="en-US" w:eastAsia="zh-CN"/>
              </w:rPr>
              <w:t>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rFonts w:hint="default" w:ascii="Times New Roman" w:hAnsi="Times New Roman" w:eastAsia="宋体" w:cs="Times New Roman"/>
                <w:b w:val="0"/>
                <w:bCs w:val="0"/>
                <w:color w:val="auto"/>
                <w:sz w:val="21"/>
                <w:szCs w:val="21"/>
                <w:highlight w:val="none"/>
                <w:lang w:val="zh-CN"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mg/m³</w:t>
            </w:r>
            <w:r>
              <w:rPr>
                <w:rFonts w:hint="default" w:ascii="Times New Roman" w:hAnsi="Times New Roman" w:eastAsia="宋体" w:cs="Times New Roman"/>
                <w:color w:val="auto"/>
                <w:sz w:val="21"/>
                <w:szCs w:val="21"/>
                <w:highlight w:val="none"/>
                <w:lang w:val="en-US" w:eastAsia="zh-CN"/>
              </w:rPr>
              <w:t>；无组织颗粒物执行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颗粒物≤1.0</w:t>
            </w:r>
            <w:r>
              <w:rPr>
                <w:rFonts w:hint="default" w:ascii="Times New Roman" w:hAnsi="Times New Roman" w:eastAsia="宋体" w:cs="Times New Roman"/>
                <w:color w:val="auto"/>
                <w:sz w:val="21"/>
                <w:szCs w:val="21"/>
                <w:highlight w:val="none"/>
              </w:rPr>
              <w:t>mg/m³。</w:t>
            </w:r>
          </w:p>
        </w:tc>
      </w:tr>
      <w:tr w14:paraId="7F128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809" w:type="dxa"/>
            <w:vMerge w:val="continue"/>
            <w:vAlign w:val="center"/>
          </w:tcPr>
          <w:p w14:paraId="4567C67B">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590" w:type="dxa"/>
            <w:vMerge w:val="continue"/>
            <w:vAlign w:val="center"/>
          </w:tcPr>
          <w:p w14:paraId="13AA9F37">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377" w:type="dxa"/>
            <w:vAlign w:val="center"/>
          </w:tcPr>
          <w:p w14:paraId="66583FB0">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颗粒物（</w:t>
            </w:r>
            <w:r>
              <w:rPr>
                <w:rFonts w:hint="eastAsia" w:cs="Times New Roman"/>
                <w:color w:val="auto"/>
                <w:sz w:val="21"/>
                <w:szCs w:val="21"/>
                <w:highlight w:val="none"/>
                <w:lang w:val="en-US" w:eastAsia="zh-CN"/>
              </w:rPr>
              <w:t>2#块煤散装</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DA016</w:t>
            </w:r>
            <w:r>
              <w:rPr>
                <w:rFonts w:hint="eastAsia" w:cs="Times New Roman"/>
                <w:color w:val="auto"/>
                <w:sz w:val="21"/>
                <w:szCs w:val="21"/>
                <w:highlight w:val="none"/>
                <w:lang w:eastAsia="zh-CN"/>
              </w:rPr>
              <w:t>）</w:t>
            </w:r>
          </w:p>
        </w:tc>
        <w:tc>
          <w:tcPr>
            <w:tcW w:w="2894" w:type="dxa"/>
            <w:vAlign w:val="center"/>
          </w:tcPr>
          <w:p w14:paraId="7524C3A9">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16</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6171</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40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Merge w:val="continue"/>
            <w:vAlign w:val="center"/>
          </w:tcPr>
          <w:p w14:paraId="55DFC04E">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p>
        </w:tc>
      </w:tr>
      <w:tr w14:paraId="51D173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809" w:type="dxa"/>
            <w:vMerge w:val="continue"/>
            <w:vAlign w:val="center"/>
          </w:tcPr>
          <w:p w14:paraId="38D8E358">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p>
        </w:tc>
        <w:tc>
          <w:tcPr>
            <w:tcW w:w="1590" w:type="dxa"/>
            <w:vMerge w:val="continue"/>
            <w:vAlign w:val="center"/>
          </w:tcPr>
          <w:p w14:paraId="6F855EDC">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p>
        </w:tc>
        <w:tc>
          <w:tcPr>
            <w:tcW w:w="1377" w:type="dxa"/>
            <w:vAlign w:val="center"/>
          </w:tcPr>
          <w:p w14:paraId="59AFBAC6">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颗粒物（</w:t>
            </w:r>
            <w:r>
              <w:rPr>
                <w:rFonts w:hint="eastAsia" w:cs="Times New Roman"/>
                <w:color w:val="auto"/>
                <w:sz w:val="21"/>
                <w:szCs w:val="21"/>
                <w:highlight w:val="none"/>
                <w:lang w:val="en-US" w:eastAsia="zh-CN"/>
              </w:rPr>
              <w:t>1#煤粉散装</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DA017</w:t>
            </w:r>
            <w:r>
              <w:rPr>
                <w:rFonts w:hint="eastAsia" w:cs="Times New Roman"/>
                <w:color w:val="auto"/>
                <w:sz w:val="21"/>
                <w:szCs w:val="21"/>
                <w:highlight w:val="none"/>
                <w:lang w:eastAsia="zh-CN"/>
              </w:rPr>
              <w:t>）</w:t>
            </w:r>
          </w:p>
        </w:tc>
        <w:tc>
          <w:tcPr>
            <w:tcW w:w="2894" w:type="dxa"/>
            <w:vAlign w:val="center"/>
          </w:tcPr>
          <w:p w14:paraId="44DED08B">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3284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30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Merge w:val="continue"/>
            <w:vAlign w:val="center"/>
          </w:tcPr>
          <w:p w14:paraId="02B2BB92">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p>
        </w:tc>
      </w:tr>
      <w:tr w14:paraId="19D82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809" w:type="dxa"/>
            <w:vMerge w:val="continue"/>
            <w:vAlign w:val="center"/>
          </w:tcPr>
          <w:p w14:paraId="2679D706">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p>
        </w:tc>
        <w:tc>
          <w:tcPr>
            <w:tcW w:w="1590" w:type="dxa"/>
            <w:vMerge w:val="continue"/>
            <w:vAlign w:val="center"/>
          </w:tcPr>
          <w:p w14:paraId="16291885">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p>
        </w:tc>
        <w:tc>
          <w:tcPr>
            <w:tcW w:w="1377" w:type="dxa"/>
            <w:vAlign w:val="center"/>
          </w:tcPr>
          <w:p w14:paraId="1BF74273">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颗粒物（</w:t>
            </w:r>
            <w:r>
              <w:rPr>
                <w:rFonts w:hint="eastAsia" w:cs="Times New Roman"/>
                <w:color w:val="auto"/>
                <w:sz w:val="21"/>
                <w:szCs w:val="21"/>
                <w:highlight w:val="none"/>
                <w:lang w:val="en-US" w:eastAsia="zh-CN"/>
              </w:rPr>
              <w:t>2#煤粉散装</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DA018</w:t>
            </w:r>
            <w:r>
              <w:rPr>
                <w:rFonts w:hint="eastAsia" w:cs="Times New Roman"/>
                <w:color w:val="auto"/>
                <w:sz w:val="21"/>
                <w:szCs w:val="21"/>
                <w:highlight w:val="none"/>
                <w:lang w:eastAsia="zh-CN"/>
              </w:rPr>
              <w:t>）</w:t>
            </w:r>
          </w:p>
        </w:tc>
        <w:tc>
          <w:tcPr>
            <w:tcW w:w="2894" w:type="dxa"/>
            <w:vAlign w:val="center"/>
          </w:tcPr>
          <w:p w14:paraId="6D2FD5EC">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1套集气罩+收尘风管+布袋除尘器+16m高排气筒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rPr>
              <w:t>），用于处理</w:t>
            </w:r>
            <w:r>
              <w:rPr>
                <w:rFonts w:hint="eastAsia" w:cs="Times New Roman"/>
                <w:color w:val="auto"/>
                <w:sz w:val="21"/>
                <w:szCs w:val="21"/>
                <w:highlight w:val="none"/>
                <w:lang w:eastAsia="zh-CN"/>
              </w:rPr>
              <w:t>进成品堆棚转运</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3284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布袋除尘器除尘效率9</w:t>
            </w:r>
            <w:r>
              <w:rPr>
                <w:rFonts w:hint="eastAsia" w:cs="Times New Roman"/>
                <w:bCs/>
                <w:color w:val="auto"/>
                <w:sz w:val="21"/>
                <w:szCs w:val="21"/>
                <w:highlight w:val="none"/>
                <w:lang w:val="en-US" w:eastAsia="zh-CN"/>
              </w:rPr>
              <w:t>9.6</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30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Merge w:val="continue"/>
            <w:vAlign w:val="center"/>
          </w:tcPr>
          <w:p w14:paraId="1A8D4F88">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p>
        </w:tc>
      </w:tr>
      <w:tr w14:paraId="5C2A87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dxa"/>
            <w:vMerge w:val="continue"/>
            <w:vAlign w:val="center"/>
          </w:tcPr>
          <w:p w14:paraId="4BBA4361">
            <w:pPr>
              <w:adjustRightInd w:val="0"/>
              <w:snapToGrid w:val="0"/>
              <w:jc w:val="center"/>
              <w:rPr>
                <w:rFonts w:hint="default" w:ascii="Times New Roman" w:hAnsi="Times New Roman" w:eastAsia="宋体" w:cs="Times New Roman"/>
                <w:color w:val="auto"/>
                <w:sz w:val="21"/>
                <w:szCs w:val="21"/>
                <w:highlight w:val="none"/>
              </w:rPr>
            </w:pPr>
          </w:p>
        </w:tc>
        <w:tc>
          <w:tcPr>
            <w:tcW w:w="1590" w:type="dxa"/>
            <w:vAlign w:val="center"/>
          </w:tcPr>
          <w:p w14:paraId="24FF61DA">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eastAsia="zh-CN"/>
              </w:rPr>
              <w:t>成品堆场扬尘</w:t>
            </w:r>
          </w:p>
        </w:tc>
        <w:tc>
          <w:tcPr>
            <w:tcW w:w="1377" w:type="dxa"/>
            <w:vAlign w:val="center"/>
          </w:tcPr>
          <w:p w14:paraId="322A5AA3">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eastAsia="zh-CN"/>
              </w:rPr>
              <w:t>颗粒物</w:t>
            </w:r>
          </w:p>
        </w:tc>
        <w:tc>
          <w:tcPr>
            <w:tcW w:w="2894" w:type="dxa"/>
            <w:vAlign w:val="center"/>
          </w:tcPr>
          <w:p w14:paraId="4A55E659">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spacing w:val="-8"/>
                <w:sz w:val="21"/>
                <w:szCs w:val="21"/>
                <w:highlight w:val="none"/>
                <w:lang w:eastAsia="zh-CN"/>
              </w:rPr>
              <w:t>成品煤储存区为全封闭厂房，</w:t>
            </w:r>
            <w:r>
              <w:rPr>
                <w:rFonts w:hint="default" w:ascii="Times New Roman" w:hAnsi="Times New Roman" w:eastAsia="宋体" w:cs="Times New Roman"/>
                <w:color w:val="auto"/>
                <w:spacing w:val="-3"/>
                <w:sz w:val="21"/>
                <w:szCs w:val="21"/>
                <w:highlight w:val="none"/>
              </w:rPr>
              <w:t>其产生</w:t>
            </w:r>
            <w:r>
              <w:rPr>
                <w:rFonts w:hint="default" w:ascii="Times New Roman" w:hAnsi="Times New Roman" w:eastAsia="宋体" w:cs="Times New Roman"/>
                <w:color w:val="auto"/>
                <w:spacing w:val="-5"/>
                <w:sz w:val="21"/>
                <w:szCs w:val="21"/>
                <w:highlight w:val="none"/>
              </w:rPr>
              <w:t>的无组织扬尘</w:t>
            </w:r>
            <w:r>
              <w:rPr>
                <w:rFonts w:hint="eastAsia" w:cs="Times New Roman"/>
                <w:color w:val="auto"/>
                <w:spacing w:val="-5"/>
                <w:sz w:val="21"/>
                <w:szCs w:val="21"/>
                <w:highlight w:val="none"/>
                <w:lang w:eastAsia="zh-CN"/>
              </w:rPr>
              <w:t>均在堆棚内</w:t>
            </w:r>
            <w:r>
              <w:rPr>
                <w:rFonts w:hint="default" w:ascii="Times New Roman" w:hAnsi="Times New Roman" w:eastAsia="宋体" w:cs="Times New Roman"/>
                <w:color w:val="auto"/>
                <w:spacing w:val="-11"/>
                <w:sz w:val="21"/>
                <w:szCs w:val="21"/>
                <w:highlight w:val="none"/>
              </w:rPr>
              <w:t>，</w:t>
            </w:r>
            <w:r>
              <w:rPr>
                <w:rFonts w:hint="eastAsia" w:cs="Times New Roman"/>
                <w:color w:val="auto"/>
                <w:spacing w:val="-11"/>
                <w:sz w:val="21"/>
                <w:szCs w:val="21"/>
                <w:highlight w:val="none"/>
                <w:lang w:eastAsia="zh-CN"/>
              </w:rPr>
              <w:t>仅有少量扬尘在开门时溢出。</w:t>
            </w:r>
          </w:p>
        </w:tc>
        <w:tc>
          <w:tcPr>
            <w:tcW w:w="2130" w:type="dxa"/>
            <w:vAlign w:val="center"/>
          </w:tcPr>
          <w:p w14:paraId="519CBD60">
            <w:pPr>
              <w:adjustRightInd w:val="0"/>
              <w:snapToGrid w:val="0"/>
              <w:jc w:val="center"/>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en-US" w:eastAsia="zh-CN"/>
              </w:rPr>
              <w:t>执行</w:t>
            </w:r>
            <w:r>
              <w:rPr>
                <w:rFonts w:hint="default" w:ascii="Times New Roman" w:hAnsi="Times New Roman" w:cs="Times New Roman"/>
                <w:color w:val="auto"/>
                <w:sz w:val="21"/>
                <w:szCs w:val="21"/>
                <w:highlight w:val="none"/>
                <w:shd w:val="clear" w:color="auto" w:fill="auto"/>
                <w:lang w:val="zh-CN" w:eastAsia="zh-CN"/>
              </w:rPr>
              <w:t>《大气污染物综合排放标准》（GB16297-1996）表2中二级标准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val="en-US" w:eastAsia="zh-CN"/>
              </w:rPr>
              <w:t>颗粒物≤1.0</w:t>
            </w:r>
            <w:r>
              <w:rPr>
                <w:rFonts w:hint="default" w:ascii="Times New Roman" w:hAnsi="Times New Roman" w:eastAsia="宋体" w:cs="Times New Roman"/>
                <w:color w:val="auto"/>
                <w:sz w:val="21"/>
                <w:szCs w:val="21"/>
                <w:highlight w:val="none"/>
              </w:rPr>
              <w:t>mg/m³。</w:t>
            </w:r>
          </w:p>
        </w:tc>
      </w:tr>
      <w:tr w14:paraId="4073F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dxa"/>
            <w:vMerge w:val="continue"/>
            <w:vAlign w:val="center"/>
          </w:tcPr>
          <w:p w14:paraId="4CE39E67">
            <w:pPr>
              <w:adjustRightInd w:val="0"/>
              <w:snapToGrid w:val="0"/>
              <w:jc w:val="center"/>
              <w:rPr>
                <w:rFonts w:hint="default" w:ascii="Times New Roman" w:hAnsi="Times New Roman" w:eastAsia="宋体" w:cs="Times New Roman"/>
                <w:color w:val="auto"/>
                <w:sz w:val="21"/>
                <w:szCs w:val="21"/>
                <w:highlight w:val="none"/>
              </w:rPr>
            </w:pPr>
          </w:p>
        </w:tc>
        <w:tc>
          <w:tcPr>
            <w:tcW w:w="1590" w:type="dxa"/>
            <w:vAlign w:val="center"/>
          </w:tcPr>
          <w:p w14:paraId="63391F5A">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kern w:val="0"/>
                <w:sz w:val="21"/>
                <w:szCs w:val="21"/>
                <w:highlight w:val="none"/>
                <w:lang w:val="en-US" w:eastAsia="zh-CN"/>
              </w:rPr>
              <w:t>石灰石粉储罐</w:t>
            </w:r>
          </w:p>
        </w:tc>
        <w:tc>
          <w:tcPr>
            <w:tcW w:w="1377" w:type="dxa"/>
            <w:vAlign w:val="center"/>
          </w:tcPr>
          <w:p w14:paraId="7A41E919">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kern w:val="2"/>
                <w:sz w:val="21"/>
                <w:szCs w:val="21"/>
                <w:highlight w:val="none"/>
                <w:lang w:val="en-US" w:eastAsia="zh-CN" w:bidi="ar-SA"/>
              </w:rPr>
              <w:t>颗粒物（DA019）</w:t>
            </w:r>
          </w:p>
        </w:tc>
        <w:tc>
          <w:tcPr>
            <w:tcW w:w="2894" w:type="dxa"/>
            <w:vAlign w:val="center"/>
          </w:tcPr>
          <w:p w14:paraId="10C30234">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8"/>
                <w:sz w:val="21"/>
                <w:szCs w:val="21"/>
                <w:highlight w:val="none"/>
                <w:lang w:eastAsia="zh-CN"/>
              </w:rPr>
            </w:pP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1套布袋除尘器+16m高排气筒</w:t>
            </w:r>
            <w:r>
              <w:rPr>
                <w:rFonts w:hint="default" w:ascii="Times New Roman" w:hAnsi="Times New Roman" w:eastAsia="宋体" w:cs="Times New Roman"/>
                <w:color w:val="auto"/>
                <w:sz w:val="21"/>
                <w:szCs w:val="21"/>
                <w:highlight w:val="none"/>
              </w:rPr>
              <w:t>（预留标准的采样检测口）（</w:t>
            </w:r>
            <w:r>
              <w:rPr>
                <w:rFonts w:hint="default" w:ascii="Times New Roman" w:hAnsi="Times New Roman" w:eastAsia="宋体" w:cs="Times New Roman"/>
                <w:color w:val="auto"/>
                <w:sz w:val="21"/>
                <w:szCs w:val="21"/>
                <w:highlight w:val="none"/>
                <w:lang w:val="en-US" w:eastAsia="zh-CN"/>
              </w:rPr>
              <w:t>DA0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，用于处理</w:t>
            </w:r>
            <w:r>
              <w:rPr>
                <w:rFonts w:hint="eastAsia" w:ascii="Times New Roman" w:hAnsi="Times New Roman" w:eastAsia="宋体" w:cs="Times New Roman"/>
                <w:bCs/>
                <w:color w:val="auto"/>
                <w:sz w:val="21"/>
                <w:szCs w:val="21"/>
                <w:highlight w:val="none"/>
                <w:lang w:eastAsia="zh-CN"/>
              </w:rPr>
              <w:t>石灰石粉储罐</w:t>
            </w:r>
            <w:r>
              <w:rPr>
                <w:rFonts w:hint="default" w:ascii="Times New Roman" w:hAnsi="Times New Roman" w:eastAsia="宋体" w:cs="Times New Roman"/>
                <w:bCs/>
                <w:color w:val="auto"/>
                <w:sz w:val="21"/>
                <w:szCs w:val="21"/>
                <w:highlight w:val="none"/>
              </w:rPr>
              <w:t>产生的</w:t>
            </w:r>
            <w:r>
              <w:rPr>
                <w:rFonts w:hint="default" w:ascii="Times New Roman" w:hAnsi="Times New Roman" w:eastAsia="宋体" w:cs="Times New Roman"/>
                <w:bCs/>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25</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130" w:type="dxa"/>
            <w:vAlign w:val="center"/>
          </w:tcPr>
          <w:p w14:paraId="3D773E78">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rPr>
              <w:t>执行《大气污染物综合排放标准》（GB16297-1996）中表2标准</w:t>
            </w:r>
            <w:r>
              <w:rPr>
                <w:rFonts w:hint="eastAsia"/>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即</w:t>
            </w:r>
            <w:r>
              <w:rPr>
                <w:rFonts w:hint="eastAsia"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120</w:t>
            </w:r>
            <w:r>
              <w:rPr>
                <w:rFonts w:hint="default" w:ascii="Times New Roman" w:hAnsi="Times New Roman" w:eastAsia="宋体" w:cs="Times New Roman"/>
                <w:color w:val="auto"/>
                <w:sz w:val="21"/>
                <w:szCs w:val="21"/>
                <w:highlight w:val="none"/>
              </w:rPr>
              <w:t>mg/m³</w:t>
            </w:r>
            <w:r>
              <w:rPr>
                <w:rFonts w:hint="eastAsia" w:ascii="Times New Roman" w:hAnsi="Times New Roman" w:eastAsia="宋体" w:cs="Times New Roman"/>
                <w:color w:val="auto"/>
                <w:sz w:val="21"/>
                <w:szCs w:val="21"/>
                <w:highlight w:val="none"/>
                <w:lang w:eastAsia="zh-CN"/>
              </w:rPr>
              <w:t>。</w:t>
            </w:r>
          </w:p>
        </w:tc>
      </w:tr>
      <w:tr w14:paraId="0B463C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dxa"/>
            <w:vMerge w:val="continue"/>
            <w:vAlign w:val="center"/>
          </w:tcPr>
          <w:p w14:paraId="510FFCAE">
            <w:pPr>
              <w:adjustRightInd w:val="0"/>
              <w:snapToGrid w:val="0"/>
              <w:jc w:val="center"/>
              <w:rPr>
                <w:rFonts w:hint="default" w:ascii="Times New Roman" w:hAnsi="Times New Roman" w:eastAsia="宋体" w:cs="Times New Roman"/>
                <w:color w:val="auto"/>
                <w:sz w:val="21"/>
                <w:szCs w:val="21"/>
                <w:highlight w:val="none"/>
              </w:rPr>
            </w:pPr>
          </w:p>
        </w:tc>
        <w:tc>
          <w:tcPr>
            <w:tcW w:w="1590" w:type="dxa"/>
            <w:vAlign w:val="center"/>
          </w:tcPr>
          <w:p w14:paraId="65D49EAF">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氨水储罐</w:t>
            </w:r>
          </w:p>
        </w:tc>
        <w:tc>
          <w:tcPr>
            <w:tcW w:w="1377" w:type="dxa"/>
            <w:vAlign w:val="center"/>
          </w:tcPr>
          <w:p w14:paraId="638966F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eastAsia" w:cs="Times New Roman"/>
                <w:color w:val="auto"/>
                <w:kern w:val="2"/>
                <w:sz w:val="21"/>
                <w:szCs w:val="21"/>
                <w:highlight w:val="none"/>
                <w:lang w:val="en-US" w:eastAsia="zh-CN" w:bidi="ar-SA"/>
              </w:rPr>
              <w:t>氨气</w:t>
            </w:r>
          </w:p>
        </w:tc>
        <w:tc>
          <w:tcPr>
            <w:tcW w:w="2894" w:type="dxa"/>
            <w:vAlign w:val="center"/>
          </w:tcPr>
          <w:p w14:paraId="560621A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设置1个容积为20m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vertAlign w:val="baseline"/>
                <w:lang w:val="en-US" w:eastAsia="zh-CN" w:bidi="ar-SA"/>
              </w:rPr>
              <w:t>的清水罐进行吸收，并配套一个</w:t>
            </w:r>
            <w:r>
              <w:rPr>
                <w:rFonts w:hint="eastAsia" w:cs="Times New Roman"/>
                <w:color w:val="auto"/>
                <w:kern w:val="2"/>
                <w:sz w:val="21"/>
                <w:szCs w:val="21"/>
                <w:highlight w:val="none"/>
                <w:lang w:val="en-US" w:eastAsia="zh-CN" w:bidi="ar-SA"/>
              </w:rPr>
              <w:t>容积为20m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vertAlign w:val="baseline"/>
                <w:lang w:val="en-US" w:eastAsia="zh-CN" w:bidi="ar-SA"/>
              </w:rPr>
              <w:t>的清水应急罐。</w:t>
            </w:r>
          </w:p>
        </w:tc>
        <w:tc>
          <w:tcPr>
            <w:tcW w:w="2130" w:type="dxa"/>
            <w:vAlign w:val="center"/>
          </w:tcPr>
          <w:p w14:paraId="2536F0D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企业厂界排放标准要求</w:t>
            </w:r>
            <w:r>
              <w:rPr>
                <w:rFonts w:hint="eastAsia"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val="en-US" w:eastAsia="zh-CN"/>
              </w:rPr>
              <w:t>即</w:t>
            </w:r>
            <w:r>
              <w:rPr>
                <w:rFonts w:hint="eastAsia" w:ascii="Times New Roman" w:hAnsi="Times New Roman" w:eastAsia="宋体" w:cs="Times New Roman"/>
                <w:color w:val="auto"/>
                <w:sz w:val="21"/>
                <w:szCs w:val="21"/>
                <w:highlight w:val="none"/>
                <w:lang w:val="en-US" w:eastAsia="zh-CN"/>
              </w:rPr>
              <w:t>氨</w:t>
            </w:r>
            <w:r>
              <w:rPr>
                <w:rFonts w:hint="default" w:ascii="Times New Roman" w:hAnsi="Times New Roman" w:eastAsia="宋体" w:cs="Times New Roman"/>
                <w:bCs/>
                <w:color w:val="auto"/>
                <w:szCs w:val="21"/>
                <w:highlight w:val="none"/>
                <w:lang w:val="en-US" w:eastAsia="zh-CN"/>
              </w:rPr>
              <w:t>≤</w:t>
            </w:r>
            <w:r>
              <w:rPr>
                <w:rFonts w:hint="eastAsia" w:ascii="Times New Roman" w:hAnsi="Times New Roman" w:eastAsia="宋体" w:cs="Times New Roman"/>
                <w:bCs/>
                <w:color w:val="auto"/>
                <w:szCs w:val="21"/>
                <w:highlight w:val="none"/>
                <w:lang w:val="en-US" w:eastAsia="zh-CN"/>
              </w:rPr>
              <w:t>1.5</w:t>
            </w:r>
            <w:r>
              <w:rPr>
                <w:rFonts w:hint="eastAsia"/>
                <w:b w:val="0"/>
                <w:bCs/>
                <w:color w:val="auto"/>
                <w:szCs w:val="21"/>
                <w:highlight w:val="none"/>
              </w:rPr>
              <w:t>m</w:t>
            </w:r>
            <w:r>
              <w:rPr>
                <w:b w:val="0"/>
                <w:bCs/>
                <w:color w:val="auto"/>
                <w:szCs w:val="21"/>
                <w:highlight w:val="none"/>
              </w:rPr>
              <w:t>g/m</w:t>
            </w:r>
            <w:r>
              <w:rPr>
                <w:b w:val="0"/>
                <w:bCs/>
                <w:color w:val="auto"/>
                <w:szCs w:val="21"/>
                <w:highlight w:val="none"/>
                <w:vertAlign w:val="superscript"/>
              </w:rPr>
              <w:t>3</w:t>
            </w:r>
            <w:r>
              <w:rPr>
                <w:rFonts w:hint="default" w:ascii="Times New Roman" w:hAnsi="Times New Roman" w:eastAsia="宋体" w:cs="Times New Roman"/>
                <w:color w:val="auto"/>
                <w:sz w:val="21"/>
                <w:szCs w:val="21"/>
                <w:highlight w:val="none"/>
                <w:lang w:val="zh-CN" w:eastAsia="zh-CN"/>
              </w:rPr>
              <w:t>。</w:t>
            </w:r>
          </w:p>
        </w:tc>
      </w:tr>
      <w:tr w14:paraId="30FD5A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dxa"/>
            <w:vMerge w:val="continue"/>
            <w:vAlign w:val="center"/>
          </w:tcPr>
          <w:p w14:paraId="4B661C9F">
            <w:pPr>
              <w:adjustRightInd w:val="0"/>
              <w:snapToGrid w:val="0"/>
              <w:jc w:val="center"/>
              <w:rPr>
                <w:rFonts w:hint="default" w:ascii="Times New Roman" w:hAnsi="Times New Roman" w:eastAsia="宋体" w:cs="Times New Roman"/>
                <w:color w:val="auto"/>
                <w:sz w:val="21"/>
                <w:szCs w:val="21"/>
                <w:highlight w:val="none"/>
              </w:rPr>
            </w:pPr>
          </w:p>
        </w:tc>
        <w:tc>
          <w:tcPr>
            <w:tcW w:w="1590" w:type="dxa"/>
            <w:vAlign w:val="center"/>
          </w:tcPr>
          <w:p w14:paraId="758D721E">
            <w:pPr>
              <w:pStyle w:val="25"/>
              <w:spacing w:after="0"/>
              <w:ind w:firstLine="0" w:firstLineChars="0"/>
              <w:jc w:val="center"/>
              <w:rPr>
                <w:rFonts w:hint="eastAsia"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化粪池、污水处理站</w:t>
            </w:r>
          </w:p>
        </w:tc>
        <w:tc>
          <w:tcPr>
            <w:tcW w:w="1377" w:type="dxa"/>
            <w:vAlign w:val="center"/>
          </w:tcPr>
          <w:p w14:paraId="18B745E1">
            <w:pPr>
              <w:pStyle w:val="25"/>
              <w:spacing w:after="0"/>
              <w:ind w:firstLine="0" w:firstLineChars="0"/>
              <w:jc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无组织臭气浓度</w:t>
            </w:r>
          </w:p>
        </w:tc>
        <w:tc>
          <w:tcPr>
            <w:tcW w:w="2894" w:type="dxa"/>
            <w:vAlign w:val="center"/>
          </w:tcPr>
          <w:p w14:paraId="4AD466D2">
            <w:pPr>
              <w:keepNext w:val="0"/>
              <w:keepLines w:val="0"/>
              <w:widowControl w:val="0"/>
              <w:suppressLineNumbers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加强通风及管理。</w:t>
            </w:r>
          </w:p>
        </w:tc>
        <w:tc>
          <w:tcPr>
            <w:tcW w:w="2130" w:type="dxa"/>
            <w:vAlign w:val="center"/>
          </w:tcPr>
          <w:p w14:paraId="454C1F1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企业厂界排放标准要求，</w:t>
            </w:r>
            <w:r>
              <w:rPr>
                <w:rFonts w:hint="default" w:ascii="Times New Roman" w:hAnsi="Times New Roman" w:eastAsia="宋体" w:cs="Times New Roman"/>
                <w:color w:val="auto"/>
                <w:sz w:val="21"/>
                <w:szCs w:val="21"/>
                <w:highlight w:val="none"/>
                <w:lang w:val="en-US" w:eastAsia="zh-CN"/>
              </w:rPr>
              <w:t>即</w:t>
            </w:r>
            <w:r>
              <w:rPr>
                <w:rFonts w:hint="default" w:ascii="Times New Roman" w:hAnsi="Times New Roman" w:eastAsia="宋体" w:cs="Times New Roman"/>
                <w:bCs/>
                <w:color w:val="auto"/>
                <w:szCs w:val="21"/>
                <w:highlight w:val="none"/>
              </w:rPr>
              <w:t>臭气浓度</w:t>
            </w:r>
            <w:r>
              <w:rPr>
                <w:rFonts w:hint="default" w:ascii="Times New Roman" w:hAnsi="Times New Roman" w:eastAsia="宋体" w:cs="Times New Roman"/>
                <w:bCs/>
                <w:color w:val="auto"/>
                <w:szCs w:val="21"/>
                <w:highlight w:val="none"/>
                <w:lang w:val="en-US" w:eastAsia="zh-CN"/>
              </w:rPr>
              <w:t>≤20（无量纲）</w:t>
            </w:r>
            <w:r>
              <w:rPr>
                <w:rFonts w:hint="default" w:ascii="Times New Roman" w:hAnsi="Times New Roman" w:eastAsia="宋体" w:cs="Times New Roman"/>
                <w:color w:val="auto"/>
                <w:sz w:val="21"/>
                <w:szCs w:val="21"/>
                <w:highlight w:val="none"/>
                <w:lang w:val="zh-CN" w:eastAsia="zh-CN"/>
              </w:rPr>
              <w:t>。</w:t>
            </w:r>
          </w:p>
        </w:tc>
      </w:tr>
      <w:tr w14:paraId="7E35F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09" w:type="dxa"/>
            <w:vMerge w:val="restart"/>
            <w:vAlign w:val="center"/>
          </w:tcPr>
          <w:p w14:paraId="4DAC094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590" w:type="dxa"/>
            <w:vAlign w:val="center"/>
          </w:tcPr>
          <w:p w14:paraId="64B2982C">
            <w:pPr>
              <w:pStyle w:val="25"/>
              <w:spacing w:after="0"/>
              <w:ind w:firstLine="0" w:firstLineChars="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初期雨水</w:t>
            </w:r>
          </w:p>
        </w:tc>
        <w:tc>
          <w:tcPr>
            <w:tcW w:w="1377" w:type="dxa"/>
            <w:vAlign w:val="center"/>
          </w:tcPr>
          <w:p w14:paraId="444E08FC">
            <w:pPr>
              <w:pStyle w:val="25"/>
              <w:spacing w:after="0"/>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SS</w:t>
            </w:r>
          </w:p>
        </w:tc>
        <w:tc>
          <w:tcPr>
            <w:tcW w:w="2894" w:type="dxa"/>
            <w:vAlign w:val="center"/>
          </w:tcPr>
          <w:p w14:paraId="6648B54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初期雨水</w:t>
            </w:r>
            <w:r>
              <w:rPr>
                <w:rFonts w:hint="eastAsia" w:ascii="Times New Roman" w:hAnsi="Times New Roman" w:eastAsia="宋体" w:cs="Times New Roman"/>
                <w:color w:val="auto"/>
                <w:sz w:val="21"/>
                <w:szCs w:val="21"/>
                <w:highlight w:val="none"/>
                <w:lang w:eastAsia="zh-CN"/>
              </w:rPr>
              <w:t>经沉淀</w:t>
            </w:r>
            <w:r>
              <w:rPr>
                <w:rFonts w:hint="default" w:ascii="Times New Roman" w:hAnsi="Times New Roman" w:eastAsia="宋体" w:cs="Times New Roman"/>
                <w:color w:val="auto"/>
                <w:sz w:val="21"/>
                <w:szCs w:val="21"/>
                <w:highlight w:val="none"/>
              </w:rPr>
              <w:t>处理后回用</w:t>
            </w:r>
            <w:r>
              <w:rPr>
                <w:rFonts w:hint="default" w:ascii="Times New Roman" w:hAnsi="Times New Roman" w:eastAsia="宋体" w:cs="Times New Roman"/>
                <w:color w:val="auto"/>
                <w:sz w:val="21"/>
                <w:szCs w:val="21"/>
                <w:highlight w:val="none"/>
                <w:lang w:val="en-US" w:eastAsia="zh-CN"/>
              </w:rPr>
              <w:t>于</w:t>
            </w:r>
            <w:r>
              <w:rPr>
                <w:rFonts w:hint="eastAsia" w:ascii="Times New Roman" w:hAnsi="Times New Roman" w:eastAsia="宋体" w:cs="Times New Roman"/>
                <w:color w:val="auto"/>
                <w:sz w:val="21"/>
                <w:szCs w:val="21"/>
                <w:highlight w:val="none"/>
                <w:lang w:eastAsia="zh-CN"/>
              </w:rPr>
              <w:t>厂区洒水抑尘</w:t>
            </w:r>
            <w:r>
              <w:rPr>
                <w:rFonts w:hint="default" w:ascii="Times New Roman" w:hAnsi="Times New Roman" w:eastAsia="宋体" w:cs="Times New Roman"/>
                <w:color w:val="auto"/>
                <w:sz w:val="21"/>
                <w:szCs w:val="21"/>
                <w:highlight w:val="none"/>
              </w:rPr>
              <w:t>，不外排。</w:t>
            </w:r>
          </w:p>
        </w:tc>
        <w:tc>
          <w:tcPr>
            <w:tcW w:w="2130" w:type="dxa"/>
            <w:vAlign w:val="center"/>
          </w:tcPr>
          <w:p w14:paraId="6F4AD7C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r>
      <w:tr w14:paraId="0E59D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09" w:type="dxa"/>
            <w:vMerge w:val="continue"/>
            <w:vAlign w:val="center"/>
          </w:tcPr>
          <w:p w14:paraId="51794A6F">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590" w:type="dxa"/>
            <w:vAlign w:val="center"/>
          </w:tcPr>
          <w:p w14:paraId="30C3700D">
            <w:pPr>
              <w:pStyle w:val="25"/>
              <w:spacing w:after="0"/>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lang w:val="en-US" w:eastAsia="zh-CN"/>
              </w:rPr>
              <w:t>冷却水</w:t>
            </w:r>
          </w:p>
        </w:tc>
        <w:tc>
          <w:tcPr>
            <w:tcW w:w="1377" w:type="dxa"/>
            <w:vAlign w:val="center"/>
          </w:tcPr>
          <w:p w14:paraId="6CC817F7">
            <w:pPr>
              <w:pStyle w:val="25"/>
              <w:spacing w:after="0"/>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894" w:type="dxa"/>
            <w:vAlign w:val="center"/>
          </w:tcPr>
          <w:p w14:paraId="02CD714D">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循环水冷却池冷却后循环使用</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不外排。</w:t>
            </w:r>
          </w:p>
        </w:tc>
        <w:tc>
          <w:tcPr>
            <w:tcW w:w="2130" w:type="dxa"/>
            <w:vAlign w:val="center"/>
          </w:tcPr>
          <w:p w14:paraId="51D984A4">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r>
      <w:tr w14:paraId="2AC975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809" w:type="dxa"/>
            <w:vMerge w:val="continue"/>
            <w:vAlign w:val="center"/>
          </w:tcPr>
          <w:p w14:paraId="10B07C61">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590" w:type="dxa"/>
            <w:vAlign w:val="center"/>
          </w:tcPr>
          <w:p w14:paraId="71C9006B">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吸收氨气的清水</w:t>
            </w:r>
          </w:p>
        </w:tc>
        <w:tc>
          <w:tcPr>
            <w:tcW w:w="1377" w:type="dxa"/>
            <w:vAlign w:val="center"/>
          </w:tcPr>
          <w:p w14:paraId="5DD1134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2894" w:type="dxa"/>
            <w:vAlign w:val="center"/>
          </w:tcPr>
          <w:p w14:paraId="44774C2F">
            <w:pPr>
              <w:widowControl/>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吸收氨气的清水浓度大于10%时直接作为脱硝使用喷入</w:t>
            </w:r>
          </w:p>
          <w:p w14:paraId="0579E99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kern w:val="0"/>
                <w:sz w:val="21"/>
                <w:szCs w:val="21"/>
                <w:highlight w:val="none"/>
                <w:lang w:val="en-US" w:eastAsia="zh-CN"/>
              </w:rPr>
              <w:t>炉膛内，不外排。</w:t>
            </w:r>
          </w:p>
        </w:tc>
        <w:tc>
          <w:tcPr>
            <w:tcW w:w="2130" w:type="dxa"/>
            <w:vAlign w:val="center"/>
          </w:tcPr>
          <w:p w14:paraId="5AFB0CD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r>
      <w:tr w14:paraId="799171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809" w:type="dxa"/>
            <w:vMerge w:val="continue"/>
            <w:vAlign w:val="center"/>
          </w:tcPr>
          <w:p w14:paraId="6989E81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p>
        </w:tc>
        <w:tc>
          <w:tcPr>
            <w:tcW w:w="1590" w:type="dxa"/>
            <w:vAlign w:val="center"/>
          </w:tcPr>
          <w:p w14:paraId="2D7CFC85">
            <w:pPr>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化验后的容器清洗废水、</w:t>
            </w:r>
            <w:r>
              <w:rPr>
                <w:rFonts w:hint="default" w:ascii="Times New Roman" w:hAnsi="Times New Roman" w:eastAsia="宋体" w:cs="Times New Roman"/>
                <w:b w:val="0"/>
                <w:bCs w:val="0"/>
                <w:color w:val="auto"/>
                <w:sz w:val="21"/>
                <w:szCs w:val="21"/>
                <w:highlight w:val="none"/>
                <w:lang w:val="en-US" w:eastAsia="zh-CN"/>
              </w:rPr>
              <w:t>办公生活污水</w:t>
            </w:r>
          </w:p>
        </w:tc>
        <w:tc>
          <w:tcPr>
            <w:tcW w:w="1377" w:type="dxa"/>
            <w:vAlign w:val="center"/>
          </w:tcPr>
          <w:p w14:paraId="1A570058">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PH、</w:t>
            </w:r>
            <w:r>
              <w:rPr>
                <w:rFonts w:hint="default" w:ascii="Times New Roman" w:hAnsi="Times New Roman" w:eastAsia="宋体" w:cs="Times New Roman"/>
                <w:b w:val="0"/>
                <w:bCs w:val="0"/>
                <w:color w:val="auto"/>
                <w:kern w:val="0"/>
                <w:szCs w:val="21"/>
                <w:highlight w:val="none"/>
              </w:rPr>
              <w:t>CODcr</w:t>
            </w:r>
            <w:r>
              <w:rPr>
                <w:rFonts w:hint="default" w:ascii="Times New Roman" w:hAnsi="Times New Roman" w:eastAsia="宋体" w:cs="Times New Roman"/>
                <w:b w:val="0"/>
                <w:bCs w:val="0"/>
                <w:color w:val="auto"/>
                <w:szCs w:val="21"/>
                <w:highlight w:val="none"/>
                <w:lang w:bidi="ar"/>
              </w:rPr>
              <w:t>、</w:t>
            </w:r>
            <w:r>
              <w:rPr>
                <w:rFonts w:hint="default" w:ascii="Times New Roman" w:hAnsi="Times New Roman" w:eastAsia="宋体" w:cs="Times New Roman"/>
                <w:b w:val="0"/>
                <w:bCs w:val="0"/>
                <w:color w:val="auto"/>
                <w:kern w:val="0"/>
                <w:szCs w:val="21"/>
                <w:highlight w:val="none"/>
              </w:rPr>
              <w:t>BOD</w:t>
            </w:r>
            <w:r>
              <w:rPr>
                <w:rFonts w:hint="default" w:ascii="Times New Roman" w:hAnsi="Times New Roman" w:eastAsia="宋体" w:cs="Times New Roman"/>
                <w:b w:val="0"/>
                <w:bCs w:val="0"/>
                <w:color w:val="auto"/>
                <w:kern w:val="0"/>
                <w:szCs w:val="21"/>
                <w:highlight w:val="none"/>
                <w:vertAlign w:val="subscript"/>
              </w:rPr>
              <w:t>5</w:t>
            </w:r>
            <w:r>
              <w:rPr>
                <w:rFonts w:hint="default" w:ascii="Times New Roman" w:hAnsi="Times New Roman" w:eastAsia="宋体" w:cs="Times New Roman"/>
                <w:b w:val="0"/>
                <w:bCs w:val="0"/>
                <w:color w:val="auto"/>
                <w:szCs w:val="21"/>
                <w:highlight w:val="none"/>
                <w:lang w:bidi="ar"/>
              </w:rPr>
              <w:t>、</w:t>
            </w:r>
            <w:r>
              <w:rPr>
                <w:rFonts w:hint="default" w:ascii="Times New Roman" w:hAnsi="Times New Roman" w:eastAsia="宋体" w:cs="Times New Roman"/>
                <w:b w:val="0"/>
                <w:bCs w:val="0"/>
                <w:color w:val="auto"/>
                <w:kern w:val="0"/>
                <w:szCs w:val="21"/>
                <w:highlight w:val="none"/>
              </w:rPr>
              <w:t>SS</w:t>
            </w:r>
            <w:r>
              <w:rPr>
                <w:rFonts w:hint="default" w:ascii="Times New Roman" w:hAnsi="Times New Roman" w:eastAsia="宋体" w:cs="Times New Roman"/>
                <w:b w:val="0"/>
                <w:bCs w:val="0"/>
                <w:color w:val="auto"/>
                <w:szCs w:val="21"/>
                <w:highlight w:val="none"/>
                <w:lang w:bidi="ar"/>
              </w:rPr>
              <w:t>、</w:t>
            </w:r>
            <w:r>
              <w:rPr>
                <w:rFonts w:hint="default" w:ascii="Times New Roman" w:hAnsi="Times New Roman" w:eastAsia="宋体" w:cs="Times New Roman"/>
                <w:b w:val="0"/>
                <w:bCs w:val="0"/>
                <w:color w:val="auto"/>
                <w:kern w:val="0"/>
                <w:szCs w:val="21"/>
                <w:highlight w:val="none"/>
              </w:rPr>
              <w:t>氨氮</w:t>
            </w:r>
            <w:r>
              <w:rPr>
                <w:rFonts w:hint="default" w:ascii="Times New Roman" w:hAnsi="Times New Roman" w:eastAsia="宋体" w:cs="Times New Roman"/>
                <w:b w:val="0"/>
                <w:bCs w:val="0"/>
                <w:color w:val="auto"/>
                <w:szCs w:val="21"/>
                <w:highlight w:val="none"/>
                <w:lang w:bidi="ar"/>
              </w:rPr>
              <w:t>、</w:t>
            </w:r>
            <w:r>
              <w:rPr>
                <w:rFonts w:hint="default" w:ascii="Times New Roman" w:hAnsi="Times New Roman" w:eastAsia="宋体" w:cs="Times New Roman"/>
                <w:b w:val="0"/>
                <w:bCs w:val="0"/>
                <w:color w:val="auto"/>
                <w:szCs w:val="21"/>
                <w:highlight w:val="none"/>
                <w:lang w:eastAsia="zh-CN" w:bidi="ar"/>
              </w:rPr>
              <w:t>总磷</w:t>
            </w:r>
          </w:p>
        </w:tc>
        <w:tc>
          <w:tcPr>
            <w:tcW w:w="2894" w:type="dxa"/>
            <w:vAlign w:val="center"/>
          </w:tcPr>
          <w:p w14:paraId="027FB28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color w:val="auto"/>
                <w:sz w:val="21"/>
                <w:szCs w:val="21"/>
                <w:highlight w:val="none"/>
              </w:rPr>
              <w:t>化验后的</w:t>
            </w:r>
            <w:r>
              <w:rPr>
                <w:color w:val="auto"/>
                <w:sz w:val="21"/>
                <w:szCs w:val="21"/>
                <w:highlight w:val="none"/>
              </w:rPr>
              <w:t>容器</w:t>
            </w:r>
            <w:r>
              <w:rPr>
                <w:rFonts w:hint="eastAsia"/>
                <w:color w:val="auto"/>
                <w:sz w:val="21"/>
                <w:szCs w:val="21"/>
                <w:highlight w:val="none"/>
              </w:rPr>
              <w:t>清洗废水通过投加絮凝剂、加入酸碱中和剂等</w:t>
            </w:r>
            <w:r>
              <w:rPr>
                <w:color w:val="auto"/>
                <w:sz w:val="21"/>
                <w:szCs w:val="21"/>
                <w:highlight w:val="none"/>
              </w:rPr>
              <w:t>方式</w:t>
            </w:r>
            <w:r>
              <w:rPr>
                <w:rFonts w:hint="eastAsia"/>
                <w:color w:val="auto"/>
                <w:sz w:val="21"/>
                <w:szCs w:val="21"/>
                <w:highlight w:val="none"/>
              </w:rPr>
              <w:t>对</w:t>
            </w:r>
            <w:r>
              <w:rPr>
                <w:color w:val="auto"/>
                <w:sz w:val="21"/>
                <w:szCs w:val="21"/>
                <w:highlight w:val="none"/>
              </w:rPr>
              <w:t>废水</w:t>
            </w:r>
            <w:r>
              <w:rPr>
                <w:rFonts w:hint="eastAsia"/>
                <w:color w:val="auto"/>
                <w:sz w:val="21"/>
                <w:szCs w:val="21"/>
                <w:highlight w:val="none"/>
              </w:rPr>
              <w:t>进行</w:t>
            </w:r>
            <w:r>
              <w:rPr>
                <w:color w:val="auto"/>
                <w:sz w:val="21"/>
                <w:szCs w:val="21"/>
                <w:highlight w:val="none"/>
              </w:rPr>
              <w:t>沉淀</w:t>
            </w:r>
            <w:r>
              <w:rPr>
                <w:rFonts w:hint="eastAsia"/>
                <w:color w:val="auto"/>
                <w:sz w:val="21"/>
                <w:szCs w:val="21"/>
                <w:highlight w:val="none"/>
              </w:rPr>
              <w:t>、</w:t>
            </w:r>
            <w:r>
              <w:rPr>
                <w:color w:val="auto"/>
                <w:sz w:val="21"/>
                <w:szCs w:val="21"/>
                <w:highlight w:val="none"/>
              </w:rPr>
              <w:t>中和</w:t>
            </w:r>
            <w:r>
              <w:rPr>
                <w:rFonts w:hint="eastAsia"/>
                <w:color w:val="auto"/>
                <w:sz w:val="21"/>
                <w:szCs w:val="21"/>
                <w:highlight w:val="none"/>
              </w:rPr>
              <w:t>等</w:t>
            </w:r>
            <w:r>
              <w:rPr>
                <w:color w:val="auto"/>
                <w:sz w:val="21"/>
                <w:szCs w:val="21"/>
                <w:highlight w:val="none"/>
              </w:rPr>
              <w:t>简易</w:t>
            </w:r>
            <w:r>
              <w:rPr>
                <w:rFonts w:hint="eastAsia"/>
                <w:color w:val="auto"/>
                <w:sz w:val="21"/>
                <w:szCs w:val="21"/>
                <w:highlight w:val="none"/>
              </w:rPr>
              <w:t>处理</w:t>
            </w:r>
            <w:r>
              <w:rPr>
                <w:color w:val="auto"/>
                <w:sz w:val="21"/>
                <w:szCs w:val="21"/>
                <w:highlight w:val="none"/>
              </w:rPr>
              <w:t>，</w:t>
            </w:r>
            <w:r>
              <w:rPr>
                <w:rFonts w:hint="eastAsia"/>
                <w:color w:val="auto"/>
                <w:sz w:val="21"/>
                <w:szCs w:val="21"/>
                <w:highlight w:val="none"/>
              </w:rPr>
              <w:t>处理后的废水排入厂内</w:t>
            </w:r>
            <w:r>
              <w:rPr>
                <w:color w:val="auto"/>
                <w:sz w:val="21"/>
                <w:szCs w:val="21"/>
                <w:highlight w:val="none"/>
              </w:rPr>
              <w:t>拟建</w:t>
            </w:r>
            <w:r>
              <w:rPr>
                <w:rFonts w:hint="eastAsia"/>
                <w:color w:val="auto"/>
                <w:sz w:val="21"/>
                <w:szCs w:val="21"/>
                <w:highlight w:val="none"/>
              </w:rPr>
              <w:t>的</w:t>
            </w:r>
            <w:r>
              <w:rPr>
                <w:rFonts w:hint="eastAsia"/>
                <w:color w:val="auto"/>
                <w:sz w:val="21"/>
                <w:szCs w:val="21"/>
                <w:highlight w:val="none"/>
                <w:lang w:eastAsia="zh-CN"/>
              </w:rPr>
              <w:t>污水</w:t>
            </w:r>
            <w:r>
              <w:rPr>
                <w:rFonts w:hint="eastAsia"/>
                <w:color w:val="auto"/>
                <w:sz w:val="21"/>
                <w:szCs w:val="21"/>
                <w:highlight w:val="none"/>
              </w:rPr>
              <w:t>处理站统一</w:t>
            </w:r>
            <w:r>
              <w:rPr>
                <w:color w:val="auto"/>
                <w:sz w:val="21"/>
                <w:szCs w:val="21"/>
                <w:highlight w:val="none"/>
              </w:rPr>
              <w:t>处置</w:t>
            </w:r>
            <w:r>
              <w:rPr>
                <w:rFonts w:hint="eastAsia"/>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办公生活污水</w:t>
            </w:r>
            <w:r>
              <w:rPr>
                <w:rFonts w:hint="eastAsia" w:cs="Times New Roman"/>
                <w:color w:val="auto"/>
                <w:kern w:val="0"/>
                <w:sz w:val="21"/>
                <w:szCs w:val="21"/>
                <w:highlight w:val="none"/>
                <w:lang w:val="en-US" w:eastAsia="zh-CN"/>
              </w:rPr>
              <w:t>排</w:t>
            </w:r>
            <w:r>
              <w:rPr>
                <w:rFonts w:hint="default" w:cs="Times New Roman"/>
                <w:color w:val="auto"/>
                <w:kern w:val="0"/>
                <w:sz w:val="21"/>
                <w:szCs w:val="21"/>
                <w:highlight w:val="none"/>
                <w:lang w:val="en-US" w:eastAsia="zh-CN"/>
              </w:rPr>
              <w:t>入化粪</w:t>
            </w:r>
            <w:r>
              <w:rPr>
                <w:rFonts w:hint="eastAsia" w:cs="Times New Roman"/>
                <w:color w:val="auto"/>
                <w:kern w:val="0"/>
                <w:sz w:val="21"/>
                <w:szCs w:val="21"/>
                <w:highlight w:val="none"/>
                <w:lang w:val="en-US" w:eastAsia="zh-CN"/>
              </w:rPr>
              <w:t>池处理后同化验废水一并进入</w:t>
            </w:r>
            <w:r>
              <w:rPr>
                <w:rFonts w:hint="default" w:cs="Times New Roman"/>
                <w:color w:val="auto"/>
                <w:kern w:val="0"/>
                <w:sz w:val="21"/>
                <w:szCs w:val="21"/>
                <w:highlight w:val="none"/>
                <w:lang w:val="en-US" w:eastAsia="zh-CN"/>
              </w:rPr>
              <w:t>地埋式一体化污水处理站处理达</w:t>
            </w:r>
            <w:r>
              <w:rPr>
                <w:rFonts w:hint="default" w:ascii="Times New Roman" w:hAnsi="Times New Roman" w:eastAsia="宋体" w:cs="Times New Roman"/>
                <w:b w:val="0"/>
                <w:bCs w:val="0"/>
                <w:color w:val="auto"/>
                <w:sz w:val="21"/>
                <w:szCs w:val="21"/>
                <w:highlight w:val="none"/>
                <w:lang w:val="en-US" w:eastAsia="zh-CN"/>
              </w:rPr>
              <w:t>《城市污水再生利用 城市杂用水水质》（GB/T18920-2020）中的城市绿化、道路清扫、消防、建筑施工标准后，非雨天用于项目区内绿化及道路场地洒水降尘，不外排。雨天储存于蓄水池中待晴天再回用，不外排。</w:t>
            </w:r>
          </w:p>
        </w:tc>
        <w:tc>
          <w:tcPr>
            <w:tcW w:w="2130" w:type="dxa"/>
            <w:vAlign w:val="center"/>
          </w:tcPr>
          <w:p w14:paraId="77D1E05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《城市污水再生利用 城市杂用水水质》（GB/T18920-2020）中的城市绿化、道路清扫、消防、建筑施工标准</w:t>
            </w:r>
            <w:r>
              <w:rPr>
                <w:rFonts w:hint="default" w:ascii="Times New Roman" w:hAnsi="Times New Roman" w:eastAsia="宋体" w:cs="Times New Roman"/>
                <w:b w:val="0"/>
                <w:bCs w:val="0"/>
                <w:color w:val="auto"/>
                <w:sz w:val="21"/>
                <w:szCs w:val="21"/>
                <w:highlight w:val="none"/>
              </w:rPr>
              <w:t>。</w:t>
            </w:r>
          </w:p>
        </w:tc>
      </w:tr>
      <w:tr w14:paraId="250E6B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09" w:type="dxa"/>
            <w:vMerge w:val="continue"/>
            <w:vAlign w:val="center"/>
          </w:tcPr>
          <w:p w14:paraId="53C64F4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p>
        </w:tc>
        <w:tc>
          <w:tcPr>
            <w:tcW w:w="1590" w:type="dxa"/>
            <w:vAlign w:val="center"/>
          </w:tcPr>
          <w:p w14:paraId="33E118DA">
            <w:pPr>
              <w:pStyle w:val="25"/>
              <w:spacing w:after="0"/>
              <w:ind w:firstLine="0" w:firstLineChars="0"/>
              <w:jc w:val="center"/>
              <w:rPr>
                <w:rFonts w:hint="eastAsia"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lang w:val="en-US" w:eastAsia="zh-CN"/>
              </w:rPr>
              <w:t>冷却水</w:t>
            </w:r>
          </w:p>
        </w:tc>
        <w:tc>
          <w:tcPr>
            <w:tcW w:w="1377" w:type="dxa"/>
            <w:vAlign w:val="center"/>
          </w:tcPr>
          <w:p w14:paraId="51884877">
            <w:pPr>
              <w:pStyle w:val="25"/>
              <w:spacing w:after="0"/>
              <w:ind w:firstLine="0" w:firstLineChars="0"/>
              <w:jc w:val="center"/>
              <w:rPr>
                <w:rFonts w:hint="eastAsia"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894" w:type="dxa"/>
            <w:vAlign w:val="center"/>
          </w:tcPr>
          <w:p w14:paraId="354109F3">
            <w:pPr>
              <w:keepNext w:val="0"/>
              <w:keepLines w:val="0"/>
              <w:widowControl w:val="0"/>
              <w:suppressLineNumbers w:val="0"/>
              <w:spacing w:before="0" w:beforeAutospacing="0" w:after="0" w:afterAutospacing="0"/>
              <w:ind w:left="0" w:leftChars="0" w:right="0" w:rightChars="0"/>
              <w:jc w:val="center"/>
              <w:rPr>
                <w:rFonts w:hint="eastAsia"/>
                <w:color w:val="auto"/>
                <w:sz w:val="21"/>
                <w:szCs w:val="21"/>
                <w:highlight w:val="none"/>
              </w:rPr>
            </w:pPr>
            <w:r>
              <w:rPr>
                <w:rFonts w:hint="eastAsia" w:ascii="Times New Roman" w:hAnsi="Times New Roman" w:eastAsia="宋体" w:cs="Times New Roman"/>
                <w:color w:val="auto"/>
                <w:sz w:val="21"/>
                <w:szCs w:val="21"/>
                <w:highlight w:val="none"/>
                <w:lang w:val="en-US" w:eastAsia="zh-CN"/>
              </w:rPr>
              <w:t>排入一期</w:t>
            </w:r>
            <w:r>
              <w:rPr>
                <w:rFonts w:hint="default" w:ascii="Times New Roman" w:hAnsi="Times New Roman" w:eastAsia="宋体" w:cs="Times New Roman"/>
                <w:color w:val="auto"/>
                <w:sz w:val="21"/>
                <w:szCs w:val="21"/>
                <w:highlight w:val="none"/>
                <w:lang w:val="en-US" w:eastAsia="zh-CN"/>
              </w:rPr>
              <w:t>循环水冷却池冷却后循环使用</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不外排。</w:t>
            </w:r>
          </w:p>
        </w:tc>
        <w:tc>
          <w:tcPr>
            <w:tcW w:w="2130" w:type="dxa"/>
            <w:vAlign w:val="center"/>
          </w:tcPr>
          <w:p w14:paraId="299EB4B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r>
      <w:tr w14:paraId="127AE7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09" w:type="dxa"/>
            <w:vMerge w:val="continue"/>
            <w:vAlign w:val="center"/>
          </w:tcPr>
          <w:p w14:paraId="629CA000">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590" w:type="dxa"/>
            <w:vAlign w:val="center"/>
          </w:tcPr>
          <w:p w14:paraId="1E52E3F7">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吸收氨气的清水</w:t>
            </w:r>
          </w:p>
        </w:tc>
        <w:tc>
          <w:tcPr>
            <w:tcW w:w="1377" w:type="dxa"/>
            <w:vAlign w:val="center"/>
          </w:tcPr>
          <w:p w14:paraId="262182EE">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w:t>
            </w:r>
          </w:p>
        </w:tc>
        <w:tc>
          <w:tcPr>
            <w:tcW w:w="2894" w:type="dxa"/>
            <w:vAlign w:val="center"/>
          </w:tcPr>
          <w:p w14:paraId="6C1F9A16">
            <w:pPr>
              <w:widowControl/>
              <w:adjustRightInd w:val="0"/>
              <w:snapToGrid w:val="0"/>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吸收氨气的清水浓度大于10%时直接作为脱硝使用喷入</w:t>
            </w:r>
          </w:p>
          <w:p w14:paraId="0B93FDB4">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炉膛内，不外排。</w:t>
            </w:r>
          </w:p>
        </w:tc>
        <w:tc>
          <w:tcPr>
            <w:tcW w:w="2130" w:type="dxa"/>
            <w:vAlign w:val="center"/>
          </w:tcPr>
          <w:p w14:paraId="2968A080">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w:t>
            </w:r>
          </w:p>
        </w:tc>
      </w:tr>
      <w:tr w14:paraId="022950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809" w:type="dxa"/>
            <w:vAlign w:val="center"/>
          </w:tcPr>
          <w:p w14:paraId="6FBC0B6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590" w:type="dxa"/>
            <w:vAlign w:val="center"/>
          </w:tcPr>
          <w:p w14:paraId="272B4CE2">
            <w:pPr>
              <w:adjustRightInd w:val="0"/>
              <w:snapToGrid w:val="0"/>
              <w:jc w:val="center"/>
              <w:rPr>
                <w:rStyle w:val="103"/>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Style w:val="103"/>
                <w:rFonts w:hint="default" w:ascii="Times New Roman" w:hAnsi="Times New Roman" w:eastAsia="宋体" w:cs="Times New Roman"/>
                <w:b w:val="0"/>
                <w:i w:val="0"/>
                <w:caps w:val="0"/>
                <w:color w:val="auto"/>
                <w:spacing w:val="0"/>
                <w:w w:val="100"/>
                <w:kern w:val="2"/>
                <w:sz w:val="21"/>
                <w:szCs w:val="21"/>
                <w:highlight w:val="none"/>
                <w:lang w:val="en-US" w:eastAsia="zh-CN" w:bidi="ar-SA"/>
              </w:rPr>
              <w:t>生产设备机组</w:t>
            </w:r>
          </w:p>
        </w:tc>
        <w:tc>
          <w:tcPr>
            <w:tcW w:w="1377" w:type="dxa"/>
            <w:vAlign w:val="center"/>
          </w:tcPr>
          <w:p w14:paraId="49FDF86F">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Leq（A）</w:t>
            </w:r>
          </w:p>
        </w:tc>
        <w:tc>
          <w:tcPr>
            <w:tcW w:w="2894" w:type="dxa"/>
            <w:vAlign w:val="center"/>
          </w:tcPr>
          <w:p w14:paraId="26B2DEB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基础减震、厂房隔音。</w:t>
            </w:r>
          </w:p>
        </w:tc>
        <w:tc>
          <w:tcPr>
            <w:tcW w:w="2130" w:type="dxa"/>
            <w:vAlign w:val="center"/>
          </w:tcPr>
          <w:p w14:paraId="0A8169A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w:t>
            </w:r>
            <w:r>
              <w:rPr>
                <w:rFonts w:hint="eastAsia" w:eastAsia="宋体" w:cs="Times New Roman"/>
                <w:color w:val="auto"/>
                <w:sz w:val="21"/>
                <w:szCs w:val="21"/>
                <w:highlight w:val="none"/>
                <w:lang w:val="en-US" w:eastAsia="zh-CN"/>
              </w:rPr>
              <w:t>、西、北</w:t>
            </w:r>
            <w:r>
              <w:rPr>
                <w:rFonts w:hint="default" w:ascii="Times New Roman" w:hAnsi="Times New Roman" w:eastAsia="宋体"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rPr>
              <w:t>噪声排放执行《工业企业厂界环境噪声排放标准》（GB12348-2008）</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w:t>
            </w:r>
            <w:r>
              <w:rPr>
                <w:rFonts w:hint="eastAsia" w:eastAsia="宋体" w:cs="Times New Roman"/>
                <w:color w:val="auto"/>
                <w:sz w:val="21"/>
                <w:szCs w:val="21"/>
                <w:highlight w:val="none"/>
                <w:lang w:eastAsia="zh-CN"/>
              </w:rPr>
              <w:t>东</w:t>
            </w:r>
            <w:r>
              <w:rPr>
                <w:rFonts w:hint="default" w:ascii="Times New Roman" w:hAnsi="Times New Roman" w:eastAsia="宋体" w:cs="Times New Roman"/>
                <w:color w:val="auto"/>
                <w:sz w:val="21"/>
                <w:szCs w:val="21"/>
                <w:highlight w:val="none"/>
                <w:lang w:val="en-US" w:eastAsia="zh-CN" w:bidi="ar"/>
              </w:rPr>
              <w:t>侧</w:t>
            </w:r>
            <w:r>
              <w:rPr>
                <w:rFonts w:hint="default" w:ascii="Times New Roman" w:hAnsi="Times New Roman" w:eastAsia="宋体" w:cs="Times New Roman"/>
                <w:color w:val="auto"/>
                <w:sz w:val="21"/>
                <w:szCs w:val="21"/>
                <w:highlight w:val="none"/>
              </w:rPr>
              <w:t>35±5m范围</w:t>
            </w:r>
            <w:r>
              <w:rPr>
                <w:rFonts w:hint="default" w:ascii="Times New Roman" w:hAnsi="Times New Roman" w:eastAsia="宋体" w:cs="Times New Roman"/>
                <w:color w:val="auto"/>
                <w:sz w:val="21"/>
                <w:szCs w:val="21"/>
                <w:highlight w:val="none"/>
                <w:lang w:val="en-US" w:eastAsia="zh-CN"/>
              </w:rPr>
              <w:t>内</w:t>
            </w:r>
            <w:r>
              <w:rPr>
                <w:rFonts w:hint="default" w:ascii="Times New Roman" w:hAnsi="Times New Roman" w:eastAsia="宋体" w:cs="Times New Roman"/>
                <w:color w:val="auto"/>
                <w:sz w:val="21"/>
                <w:szCs w:val="21"/>
                <w:highlight w:val="none"/>
              </w:rPr>
              <w:t>执行《工业企业厂界环境噪声排放标准》（GB12348</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2008）4类标准</w:t>
            </w:r>
          </w:p>
        </w:tc>
      </w:tr>
      <w:tr w14:paraId="79A81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dxa"/>
            <w:vAlign w:val="center"/>
          </w:tcPr>
          <w:p w14:paraId="0A47532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590" w:type="dxa"/>
            <w:vAlign w:val="center"/>
          </w:tcPr>
          <w:p w14:paraId="410F49EB">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77" w:type="dxa"/>
            <w:vAlign w:val="center"/>
          </w:tcPr>
          <w:p w14:paraId="2DE4D662">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894" w:type="dxa"/>
            <w:vAlign w:val="center"/>
          </w:tcPr>
          <w:p w14:paraId="0934F42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30" w:type="dxa"/>
            <w:vAlign w:val="center"/>
          </w:tcPr>
          <w:p w14:paraId="3910B919">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9E1D7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6" w:hRule="atLeast"/>
          <w:jc w:val="center"/>
        </w:trPr>
        <w:tc>
          <w:tcPr>
            <w:tcW w:w="809" w:type="dxa"/>
            <w:vAlign w:val="center"/>
          </w:tcPr>
          <w:p w14:paraId="17BD39A4">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固体废物</w:t>
            </w:r>
          </w:p>
        </w:tc>
        <w:tc>
          <w:tcPr>
            <w:tcW w:w="7991" w:type="dxa"/>
            <w:gridSpan w:val="4"/>
            <w:vAlign w:val="center"/>
          </w:tcPr>
          <w:p w14:paraId="5BA89F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w:t>
            </w:r>
            <w:r>
              <w:rPr>
                <w:rFonts w:hint="eastAsia" w:cs="Times New Roman"/>
                <w:b w:val="0"/>
                <w:bCs w:val="0"/>
                <w:color w:val="auto"/>
                <w:sz w:val="21"/>
                <w:szCs w:val="21"/>
                <w:highlight w:val="none"/>
                <w:lang w:val="en-US" w:eastAsia="zh-CN"/>
              </w:rPr>
              <w:t>原料</w:t>
            </w:r>
            <w:r>
              <w:rPr>
                <w:rFonts w:hint="default" w:ascii="Times New Roman" w:hAnsi="Times New Roman" w:eastAsia="宋体" w:cs="Times New Roman"/>
                <w:b w:val="0"/>
                <w:bCs w:val="0"/>
                <w:color w:val="auto"/>
                <w:sz w:val="21"/>
                <w:szCs w:val="21"/>
                <w:highlight w:val="none"/>
                <w:lang w:val="en-US" w:eastAsia="zh-CN"/>
              </w:rPr>
              <w:t>除尘器收集的粉尘定期清理收集后作为</w:t>
            </w:r>
            <w:r>
              <w:rPr>
                <w:rFonts w:hint="eastAsia" w:ascii="Times New Roman" w:hAnsi="Times New Roman" w:eastAsia="宋体" w:cs="Times New Roman"/>
                <w:b w:val="0"/>
                <w:bCs w:val="0"/>
                <w:color w:val="auto"/>
                <w:sz w:val="21"/>
                <w:szCs w:val="21"/>
                <w:highlight w:val="none"/>
                <w:lang w:val="en-US" w:eastAsia="zh-CN"/>
              </w:rPr>
              <w:t>原料返回原料工序</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炉渣</w:t>
            </w:r>
            <w:r>
              <w:rPr>
                <w:rFonts w:hint="default" w:cs="Times New Roman"/>
                <w:color w:val="auto"/>
                <w:sz w:val="21"/>
                <w:szCs w:val="21"/>
                <w:highlight w:val="none"/>
                <w:lang w:val="zh-CN" w:eastAsia="zh-CN"/>
              </w:rPr>
              <w:t>统</w:t>
            </w:r>
            <w:r>
              <w:rPr>
                <w:rFonts w:hint="default" w:ascii="Times New Roman" w:hAnsi="Times New Roman" w:cs="Times New Roman"/>
                <w:color w:val="auto"/>
                <w:sz w:val="21"/>
                <w:szCs w:val="21"/>
                <w:highlight w:val="none"/>
                <w:lang w:val="zh-CN"/>
              </w:rPr>
              <w:t>一收集后</w:t>
            </w:r>
            <w:r>
              <w:rPr>
                <w:rFonts w:hint="eastAsia" w:ascii="Times New Roman" w:hAnsi="Times New Roman" w:cs="Times New Roman"/>
                <w:color w:val="auto"/>
                <w:sz w:val="21"/>
                <w:szCs w:val="21"/>
                <w:highlight w:val="none"/>
                <w:lang w:val="zh-CN"/>
              </w:rPr>
              <w:t>暂存于</w:t>
            </w:r>
            <w:r>
              <w:rPr>
                <w:rFonts w:hint="eastAsia"/>
                <w:color w:val="auto"/>
                <w:sz w:val="21"/>
                <w:szCs w:val="21"/>
                <w:highlight w:val="none"/>
              </w:rPr>
              <w:t>一般工业固废暂存间暂存，</w:t>
            </w:r>
            <w:r>
              <w:rPr>
                <w:rFonts w:hint="eastAsia" w:ascii="Times New Roman" w:hAnsi="Times New Roman" w:cs="Times New Roman"/>
                <w:color w:val="auto"/>
                <w:sz w:val="21"/>
                <w:szCs w:val="21"/>
                <w:highlight w:val="none"/>
                <w:lang w:val="zh-CN"/>
              </w:rPr>
              <w:t>通过铲车装车作为水泥生产的混合材外售</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生产过程中</w:t>
            </w:r>
            <w:r>
              <w:rPr>
                <w:rFonts w:hint="eastAsia" w:ascii="Times New Roman" w:hAnsi="Times New Roman" w:eastAsia="宋体" w:cs="Times New Roman"/>
                <w:b w:val="0"/>
                <w:bCs w:val="0"/>
                <w:color w:val="auto"/>
                <w:sz w:val="21"/>
                <w:szCs w:val="21"/>
                <w:highlight w:val="none"/>
                <w:lang w:val="en-US" w:eastAsia="zh-CN"/>
              </w:rPr>
              <w:t>烘干工序除尘器收集的粉尘</w:t>
            </w:r>
            <w:r>
              <w:rPr>
                <w:rFonts w:hint="default" w:ascii="Times New Roman" w:hAnsi="Times New Roman" w:eastAsia="宋体" w:cs="Times New Roman"/>
                <w:b w:val="0"/>
                <w:bCs w:val="0"/>
                <w:color w:val="auto"/>
                <w:sz w:val="21"/>
                <w:szCs w:val="21"/>
                <w:highlight w:val="none"/>
                <w:lang w:val="en-US" w:eastAsia="zh-CN"/>
              </w:rPr>
              <w:t>定期清理收集后</w:t>
            </w:r>
            <w:r>
              <w:rPr>
                <w:rFonts w:hint="eastAsia" w:cs="Times New Roman"/>
                <w:b w:val="0"/>
                <w:bCs w:val="0"/>
                <w:color w:val="auto"/>
                <w:sz w:val="21"/>
                <w:szCs w:val="21"/>
                <w:highlight w:val="none"/>
                <w:lang w:val="en-US" w:eastAsia="zh-CN"/>
              </w:rPr>
              <w:t>储存于粉煤仓内，作为成品外售</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成品除尘器收集的粉尘</w:t>
            </w:r>
            <w:r>
              <w:rPr>
                <w:rFonts w:hint="default" w:ascii="Times New Roman" w:hAnsi="Times New Roman" w:eastAsia="宋体" w:cs="Times New Roman"/>
                <w:b w:val="0"/>
                <w:bCs w:val="0"/>
                <w:color w:val="auto"/>
                <w:sz w:val="21"/>
                <w:szCs w:val="21"/>
                <w:highlight w:val="none"/>
                <w:lang w:val="en-US" w:eastAsia="zh-CN"/>
              </w:rPr>
              <w:t>定期清理收集后作为成品送回储仓内发运外售</w:t>
            </w:r>
            <w:r>
              <w:rPr>
                <w:rFonts w:hint="eastAsia" w:ascii="Times New Roman" w:hAnsi="Times New Roman" w:eastAsia="宋体" w:cs="Times New Roman"/>
                <w:b w:val="0"/>
                <w:bCs w:val="0"/>
                <w:color w:val="auto"/>
                <w:sz w:val="21"/>
                <w:szCs w:val="21"/>
                <w:highlight w:val="none"/>
                <w:lang w:val="en-US" w:eastAsia="zh-CN"/>
              </w:rPr>
              <w:t>；石灰石粉除尘器收集的粉尘</w:t>
            </w:r>
            <w:r>
              <w:rPr>
                <w:rFonts w:hint="default" w:ascii="Times New Roman" w:hAnsi="Times New Roman" w:cs="Times New Roman"/>
                <w:color w:val="auto"/>
                <w:sz w:val="21"/>
                <w:szCs w:val="21"/>
                <w:highlight w:val="none"/>
                <w:lang w:val="zh-CN"/>
              </w:rPr>
              <w:t>统一收集后</w:t>
            </w:r>
            <w:r>
              <w:rPr>
                <w:rFonts w:hint="eastAsia" w:ascii="Times New Roman" w:hAnsi="Times New Roman" w:cs="Times New Roman"/>
                <w:color w:val="auto"/>
                <w:sz w:val="21"/>
                <w:szCs w:val="21"/>
                <w:highlight w:val="none"/>
                <w:lang w:val="zh-CN"/>
              </w:rPr>
              <w:t>继续回用于烘干废气脱硫</w:t>
            </w:r>
            <w:r>
              <w:rPr>
                <w:rFonts w:hint="eastAsia" w:cs="Times New Roman"/>
                <w:color w:val="auto"/>
                <w:sz w:val="21"/>
                <w:szCs w:val="21"/>
                <w:highlight w:val="none"/>
                <w:lang w:val="zh-CN"/>
              </w:rPr>
              <w:t>；</w:t>
            </w:r>
            <w:r>
              <w:rPr>
                <w:rFonts w:hint="eastAsia" w:cs="Times New Roman"/>
                <w:b w:val="0"/>
                <w:bCs w:val="0"/>
                <w:color w:val="auto"/>
                <w:sz w:val="21"/>
                <w:szCs w:val="21"/>
                <w:highlight w:val="none"/>
                <w:lang w:val="en-US" w:eastAsia="zh-CN"/>
              </w:rPr>
              <w:t>燃料仓除尘器收集的粉尘</w:t>
            </w:r>
            <w:r>
              <w:rPr>
                <w:rFonts w:hint="default" w:ascii="Times New Roman" w:hAnsi="Times New Roman" w:cs="Times New Roman"/>
                <w:color w:val="auto"/>
                <w:sz w:val="21"/>
                <w:szCs w:val="21"/>
                <w:highlight w:val="none"/>
                <w:lang w:val="zh-CN"/>
              </w:rPr>
              <w:t>统一收集后</w:t>
            </w:r>
            <w:r>
              <w:rPr>
                <w:rFonts w:hint="eastAsia" w:ascii="Times New Roman" w:hAnsi="Times New Roman" w:cs="Times New Roman"/>
                <w:color w:val="auto"/>
                <w:sz w:val="21"/>
                <w:szCs w:val="21"/>
                <w:highlight w:val="none"/>
                <w:lang w:val="zh-CN"/>
              </w:rPr>
              <w:t>继续回用于烘干</w:t>
            </w:r>
            <w:r>
              <w:rPr>
                <w:rFonts w:hint="eastAsia" w:cs="Times New Roman"/>
                <w:color w:val="auto"/>
                <w:sz w:val="21"/>
                <w:szCs w:val="21"/>
                <w:highlight w:val="none"/>
                <w:lang w:val="zh-CN"/>
              </w:rPr>
              <w:t>环节；</w:t>
            </w:r>
            <w:r>
              <w:rPr>
                <w:rFonts w:hint="eastAsia" w:cs="Times New Roman"/>
                <w:b w:val="0"/>
                <w:bCs w:val="0"/>
                <w:color w:val="auto"/>
                <w:sz w:val="21"/>
                <w:szCs w:val="21"/>
                <w:highlight w:val="none"/>
                <w:lang w:val="en-US" w:eastAsia="zh-CN"/>
              </w:rPr>
              <w:t>煤粉仓除尘器收集的粉尘、成品散装除尘器收集的粉尘</w:t>
            </w:r>
            <w:r>
              <w:rPr>
                <w:rFonts w:hint="default" w:ascii="Times New Roman" w:hAnsi="Times New Roman" w:cs="Times New Roman"/>
                <w:color w:val="auto"/>
                <w:sz w:val="21"/>
                <w:szCs w:val="21"/>
                <w:highlight w:val="none"/>
                <w:lang w:val="zh-CN"/>
              </w:rPr>
              <w:t>统一收集后</w:t>
            </w:r>
            <w:r>
              <w:rPr>
                <w:rFonts w:hint="default" w:ascii="Times New Roman" w:hAnsi="Times New Roman" w:eastAsia="宋体" w:cs="Times New Roman"/>
                <w:b w:val="0"/>
                <w:bCs w:val="0"/>
                <w:color w:val="auto"/>
                <w:sz w:val="21"/>
                <w:szCs w:val="21"/>
                <w:highlight w:val="none"/>
                <w:lang w:val="en-US" w:eastAsia="zh-CN"/>
              </w:rPr>
              <w:t>作为成品送回储仓内发运外售</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b w:val="0"/>
                <w:bCs w:val="0"/>
                <w:color w:val="auto"/>
                <w:kern w:val="0"/>
                <w:sz w:val="21"/>
                <w:szCs w:val="21"/>
                <w:highlight w:val="none"/>
              </w:rPr>
              <w:t>生活垃圾</w:t>
            </w:r>
            <w:r>
              <w:rPr>
                <w:rFonts w:hint="default" w:ascii="Times New Roman" w:hAnsi="Times New Roman" w:eastAsia="宋体" w:cs="Times New Roman"/>
                <w:b w:val="0"/>
                <w:bCs w:val="0"/>
                <w:color w:val="auto"/>
                <w:kern w:val="0"/>
                <w:sz w:val="21"/>
                <w:szCs w:val="21"/>
                <w:highlight w:val="none"/>
                <w:lang w:eastAsia="zh-CN"/>
              </w:rPr>
              <w:t>统一</w:t>
            </w:r>
            <w:r>
              <w:rPr>
                <w:rFonts w:hint="default" w:ascii="Times New Roman" w:hAnsi="Times New Roman" w:eastAsia="宋体" w:cs="Times New Roman"/>
                <w:b w:val="0"/>
                <w:bCs w:val="0"/>
                <w:color w:val="auto"/>
                <w:kern w:val="0"/>
                <w:sz w:val="21"/>
                <w:szCs w:val="21"/>
                <w:highlight w:val="none"/>
              </w:rPr>
              <w:t>收集后</w:t>
            </w:r>
            <w:r>
              <w:rPr>
                <w:rFonts w:hint="default" w:ascii="Times New Roman" w:hAnsi="Times New Roman" w:eastAsia="宋体" w:cs="Times New Roman"/>
                <w:b w:val="0"/>
                <w:bCs w:val="0"/>
                <w:color w:val="auto"/>
                <w:kern w:val="0"/>
                <w:sz w:val="21"/>
                <w:szCs w:val="21"/>
                <w:highlight w:val="none"/>
                <w:lang w:eastAsia="zh-CN"/>
              </w:rPr>
              <w:t>由当地</w:t>
            </w:r>
            <w:r>
              <w:rPr>
                <w:rFonts w:hint="default" w:ascii="Times New Roman" w:hAnsi="Times New Roman" w:eastAsia="宋体" w:cs="Times New Roman"/>
                <w:b w:val="0"/>
                <w:bCs w:val="0"/>
                <w:color w:val="auto"/>
                <w:kern w:val="0"/>
                <w:sz w:val="21"/>
                <w:szCs w:val="21"/>
                <w:highlight w:val="none"/>
              </w:rPr>
              <w:t>环卫部门</w:t>
            </w:r>
            <w:r>
              <w:rPr>
                <w:rFonts w:hint="default" w:ascii="Times New Roman" w:hAnsi="Times New Roman" w:eastAsia="宋体" w:cs="Times New Roman"/>
                <w:b w:val="0"/>
                <w:bCs w:val="0"/>
                <w:color w:val="auto"/>
                <w:kern w:val="0"/>
                <w:sz w:val="21"/>
                <w:szCs w:val="21"/>
                <w:highlight w:val="none"/>
                <w:lang w:eastAsia="zh-CN"/>
              </w:rPr>
              <w:t>定期</w:t>
            </w:r>
            <w:r>
              <w:rPr>
                <w:rFonts w:hint="default" w:ascii="Times New Roman" w:hAnsi="Times New Roman" w:eastAsia="宋体" w:cs="Times New Roman"/>
                <w:b w:val="0"/>
                <w:bCs w:val="0"/>
                <w:color w:val="auto"/>
                <w:sz w:val="21"/>
                <w:szCs w:val="21"/>
                <w:highlight w:val="none"/>
              </w:rPr>
              <w:t>清运</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pacing w:val="-5"/>
                <w:sz w:val="21"/>
                <w:szCs w:val="21"/>
                <w:highlight w:val="none"/>
                <w:lang w:eastAsia="zh-CN"/>
              </w:rPr>
              <w:t>及一体化污水处理站污泥</w:t>
            </w:r>
            <w:r>
              <w:rPr>
                <w:rFonts w:hint="default" w:ascii="Times New Roman" w:hAnsi="Times New Roman" w:eastAsia="宋体" w:cs="Times New Roman"/>
                <w:b w:val="0"/>
                <w:bCs w:val="0"/>
                <w:color w:val="auto"/>
                <w:sz w:val="21"/>
                <w:szCs w:val="21"/>
                <w:highlight w:val="none"/>
              </w:rPr>
              <w:t>委托环卫部门定期清掏清运处置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z w:val="21"/>
                <w:szCs w:val="21"/>
                <w:highlight w:val="none"/>
              </w:rPr>
              <w:t>废</w:t>
            </w:r>
            <w:r>
              <w:rPr>
                <w:rFonts w:hint="eastAsia" w:cs="Times New Roman"/>
                <w:color w:val="auto"/>
                <w:sz w:val="21"/>
                <w:szCs w:val="21"/>
                <w:highlight w:val="none"/>
                <w:lang w:eastAsia="zh-CN"/>
              </w:rPr>
              <w:t>液压油</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废试剂瓶、废液、</w:t>
            </w:r>
            <w:r>
              <w:rPr>
                <w:rFonts w:hint="default" w:ascii="Times New Roman" w:hAnsi="Times New Roman" w:eastAsia="宋体" w:cs="Times New Roman"/>
                <w:color w:val="auto"/>
                <w:sz w:val="21"/>
                <w:szCs w:val="21"/>
                <w:highlight w:val="none"/>
                <w:lang w:val="en-US" w:eastAsia="zh-CN"/>
              </w:rPr>
              <w:t>废</w:t>
            </w:r>
            <w:r>
              <w:rPr>
                <w:rFonts w:hint="eastAsia" w:cs="Times New Roman"/>
                <w:color w:val="auto"/>
                <w:sz w:val="21"/>
                <w:szCs w:val="21"/>
                <w:highlight w:val="none"/>
                <w:lang w:val="en-US" w:eastAsia="zh-CN"/>
              </w:rPr>
              <w:t>机</w:t>
            </w:r>
            <w:r>
              <w:rPr>
                <w:rFonts w:hint="default" w:ascii="Times New Roman" w:hAnsi="Times New Roman" w:eastAsia="宋体" w:cs="Times New Roman"/>
                <w:color w:val="auto"/>
                <w:sz w:val="21"/>
                <w:szCs w:val="21"/>
                <w:highlight w:val="none"/>
                <w:lang w:val="en-US" w:eastAsia="zh-CN"/>
              </w:rPr>
              <w:t>油、</w:t>
            </w:r>
            <w:r>
              <w:rPr>
                <w:rFonts w:hint="default" w:ascii="Times New Roman" w:hAnsi="Times New Roman" w:eastAsia="宋体" w:cs="Times New Roman"/>
                <w:color w:val="auto"/>
                <w:sz w:val="21"/>
                <w:szCs w:val="21"/>
                <w:highlight w:val="none"/>
              </w:rPr>
              <w:t>废弃的含油抹布、劳保用品</w:t>
            </w:r>
            <w:r>
              <w:rPr>
                <w:rFonts w:hint="default" w:ascii="Times New Roman" w:hAnsi="Times New Roman" w:eastAsia="宋体" w:cs="Times New Roman"/>
                <w:color w:val="auto"/>
                <w:sz w:val="21"/>
                <w:szCs w:val="21"/>
                <w:highlight w:val="none"/>
                <w:lang w:val="en-US" w:eastAsia="zh-CN"/>
              </w:rPr>
              <w:t>统一</w:t>
            </w:r>
            <w:r>
              <w:rPr>
                <w:rFonts w:hint="default" w:ascii="Times New Roman" w:hAnsi="Times New Roman" w:eastAsia="宋体" w:cs="Times New Roman"/>
                <w:color w:val="auto"/>
                <w:sz w:val="21"/>
                <w:szCs w:val="21"/>
                <w:highlight w:val="none"/>
              </w:rPr>
              <w:t>收集暂存于危废暂存间后，委托资质单位</w:t>
            </w:r>
            <w:r>
              <w:rPr>
                <w:rFonts w:hint="default" w:ascii="Times New Roman" w:hAnsi="Times New Roman" w:eastAsia="宋体" w:cs="Times New Roman"/>
                <w:color w:val="auto"/>
                <w:sz w:val="21"/>
                <w:szCs w:val="21"/>
                <w:highlight w:val="none"/>
                <w:lang w:eastAsia="zh-CN"/>
              </w:rPr>
              <w:t>清运处置</w:t>
            </w:r>
            <w:r>
              <w:rPr>
                <w:rFonts w:hint="default" w:ascii="Times New Roman" w:hAnsi="Times New Roman" w:cs="Times New Roman"/>
                <w:color w:val="auto"/>
                <w:sz w:val="21"/>
                <w:szCs w:val="21"/>
                <w:highlight w:val="none"/>
              </w:rPr>
              <w:t>。</w:t>
            </w:r>
          </w:p>
        </w:tc>
      </w:tr>
      <w:tr w14:paraId="3BC527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1" w:hRule="atLeast"/>
          <w:jc w:val="center"/>
        </w:trPr>
        <w:tc>
          <w:tcPr>
            <w:tcW w:w="809" w:type="dxa"/>
            <w:vAlign w:val="center"/>
          </w:tcPr>
          <w:p w14:paraId="30E5801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7991" w:type="dxa"/>
            <w:gridSpan w:val="4"/>
            <w:vAlign w:val="center"/>
          </w:tcPr>
          <w:p w14:paraId="353F4E89">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分区防渗：重点防渗：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color w:val="auto"/>
                <w:sz w:val="21"/>
                <w:szCs w:val="21"/>
                <w:highlight w:val="none"/>
                <w:lang w:val="zh-CN"/>
              </w:rPr>
              <w:t>采用“抗渗混凝土+2mm厚HDPE+环氧树脂”</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eastAsia" w:cs="Times New Roman"/>
                <w:color w:val="auto"/>
                <w:sz w:val="21"/>
                <w:szCs w:val="21"/>
                <w:highlight w:val="none"/>
                <w:lang w:val="zh-CN"/>
              </w:rPr>
              <w:t>氨水储罐区域</w:t>
            </w:r>
            <w:r>
              <w:rPr>
                <w:rFonts w:hint="default" w:ascii="Times New Roman" w:hAnsi="Times New Roman" w:eastAsia="宋体" w:cs="Times New Roman"/>
                <w:color w:val="auto"/>
                <w:sz w:val="21"/>
                <w:szCs w:val="21"/>
                <w:highlight w:val="none"/>
              </w:rPr>
              <w:t>应</w:t>
            </w:r>
            <w:r>
              <w:rPr>
                <w:rFonts w:hint="default" w:ascii="Times New Roman" w:hAnsi="Times New Roman" w:eastAsia="宋体" w:cs="Times New Roman"/>
                <w:color w:val="auto"/>
                <w:sz w:val="21"/>
                <w:szCs w:val="21"/>
                <w:highlight w:val="none"/>
                <w:lang w:val="zh-CN"/>
              </w:rPr>
              <w:t>按照</w:t>
            </w:r>
            <w:r>
              <w:rPr>
                <w:rFonts w:hint="eastAsia" w:cs="Times New Roman"/>
                <w:color w:val="auto"/>
                <w:sz w:val="21"/>
                <w:szCs w:val="21"/>
                <w:highlight w:val="none"/>
                <w:lang w:val="zh-CN"/>
              </w:rPr>
              <w:t>等</w:t>
            </w:r>
            <w:r>
              <w:rPr>
                <w:rFonts w:hint="default" w:ascii="Times New Roman" w:hAnsi="Times New Roman" w:eastAsia="宋体" w:cs="Times New Roman"/>
                <w:color w:val="auto"/>
                <w:kern w:val="2"/>
                <w:sz w:val="21"/>
                <w:szCs w:val="21"/>
                <w:highlight w:val="none"/>
              </w:rPr>
              <w:t>效黏土防渗层厚度Mb≥6m，渗透系数K≤1.0×10</w:t>
            </w:r>
            <w:r>
              <w:rPr>
                <w:rFonts w:hint="default" w:ascii="Times New Roman" w:hAnsi="Times New Roman" w:eastAsia="宋体" w:cs="Times New Roman"/>
                <w:color w:val="auto"/>
                <w:kern w:val="2"/>
                <w:sz w:val="21"/>
                <w:szCs w:val="21"/>
                <w:highlight w:val="none"/>
                <w:vertAlign w:val="superscript"/>
              </w:rPr>
              <w:t>-</w:t>
            </w:r>
            <w:r>
              <w:rPr>
                <w:rFonts w:hint="eastAsia" w:ascii="Times New Roman" w:hAnsi="Times New Roman" w:eastAsia="宋体" w:cs="Times New Roman"/>
                <w:color w:val="auto"/>
                <w:kern w:val="2"/>
                <w:sz w:val="21"/>
                <w:szCs w:val="21"/>
                <w:highlight w:val="none"/>
                <w:vertAlign w:val="superscript"/>
                <w:lang w:val="en-US" w:eastAsia="zh-CN"/>
              </w:rPr>
              <w:t>7</w:t>
            </w:r>
            <w:r>
              <w:rPr>
                <w:rFonts w:hint="default" w:ascii="Times New Roman" w:hAnsi="Times New Roman" w:eastAsia="宋体" w:cs="Times New Roman"/>
                <w:color w:val="auto"/>
                <w:kern w:val="2"/>
                <w:sz w:val="21"/>
                <w:szCs w:val="21"/>
                <w:highlight w:val="none"/>
              </w:rPr>
              <w:t>cm/s</w:t>
            </w:r>
            <w:r>
              <w:rPr>
                <w:rFonts w:hint="default" w:ascii="Times New Roman" w:hAnsi="Times New Roman" w:eastAsia="宋体" w:cs="Times New Roman"/>
                <w:color w:val="auto"/>
                <w:sz w:val="21"/>
                <w:szCs w:val="21"/>
                <w:highlight w:val="none"/>
              </w:rPr>
              <w:t>进行重点防渗</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一般防渗区：循环冷却水池、化粪池、一体化污水处理站、蓄水池、事故应急池、一般固体废物暂存区防渗技术要求达到等效黏土防渗层Mb≥1.5m，渗透系数≤10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en-US" w:eastAsia="zh-CN"/>
              </w:rPr>
              <w:t>cm/s。简单防渗区：其余生产区、道路及办公区域（除绿化外）进行一般硬化处理。</w:t>
            </w:r>
          </w:p>
        </w:tc>
      </w:tr>
      <w:tr w14:paraId="5DEC99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dxa"/>
            <w:vAlign w:val="center"/>
          </w:tcPr>
          <w:p w14:paraId="523ABB8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7991" w:type="dxa"/>
            <w:gridSpan w:val="4"/>
            <w:vAlign w:val="center"/>
          </w:tcPr>
          <w:p w14:paraId="0884185A">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项目充分利用空间进行绿化，达到美化环境的效果。</w:t>
            </w:r>
          </w:p>
        </w:tc>
      </w:tr>
      <w:tr w14:paraId="0179A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dxa"/>
            <w:vAlign w:val="center"/>
          </w:tcPr>
          <w:p w14:paraId="1E4D7A7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环境风险防范措施</w:t>
            </w:r>
          </w:p>
        </w:tc>
        <w:tc>
          <w:tcPr>
            <w:tcW w:w="7991" w:type="dxa"/>
            <w:gridSpan w:val="4"/>
            <w:vAlign w:val="center"/>
          </w:tcPr>
          <w:p w14:paraId="0911A8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color w:val="auto"/>
                <w:highlight w:val="none"/>
                <w:lang w:val="en-US" w:eastAsia="zh-CN"/>
              </w:rPr>
            </w:pPr>
            <w:r>
              <w:rPr>
                <w:rFonts w:hint="default"/>
                <w:color w:val="auto"/>
                <w:highlight w:val="none"/>
                <w:lang w:val="en-US" w:eastAsia="zh-CN"/>
              </w:rPr>
              <w:fldChar w:fldCharType="begin"/>
            </w:r>
            <w:r>
              <w:rPr>
                <w:rFonts w:hint="default"/>
                <w:color w:val="auto"/>
                <w:highlight w:val="none"/>
                <w:lang w:val="en-US" w:eastAsia="zh-CN"/>
              </w:rPr>
              <w:instrText xml:space="preserve"> = 1 \* GB3 \* MERGEFORMAT </w:instrText>
            </w:r>
            <w:r>
              <w:rPr>
                <w:rFonts w:hint="default"/>
                <w:color w:val="auto"/>
                <w:highlight w:val="none"/>
                <w:lang w:val="en-US" w:eastAsia="zh-CN"/>
              </w:rPr>
              <w:fldChar w:fldCharType="separate"/>
            </w:r>
            <w:r>
              <w:rPr>
                <w:rFonts w:hint="default"/>
                <w:color w:val="auto"/>
                <w:highlight w:val="none"/>
                <w:lang w:val="en-US" w:eastAsia="zh-CN"/>
              </w:rPr>
              <w:t>①</w:t>
            </w:r>
            <w:r>
              <w:rPr>
                <w:rFonts w:hint="default"/>
                <w:color w:val="auto"/>
                <w:highlight w:val="none"/>
                <w:lang w:val="en-US" w:eastAsia="zh-CN"/>
              </w:rPr>
              <w:fldChar w:fldCharType="end"/>
            </w:r>
            <w:r>
              <w:rPr>
                <w:rFonts w:hint="default"/>
                <w:color w:val="auto"/>
                <w:highlight w:val="none"/>
                <w:lang w:val="en-US" w:eastAsia="zh-CN"/>
              </w:rPr>
              <w:t>厂区进行分区防渗，</w:t>
            </w:r>
            <w:r>
              <w:rPr>
                <w:rFonts w:hint="default"/>
                <w:color w:val="auto"/>
                <w:highlight w:val="none"/>
                <w:lang w:val="zh-CN"/>
              </w:rPr>
              <w:t>危废暂存间地面及</w:t>
            </w:r>
            <w:r>
              <w:rPr>
                <w:rFonts w:hint="default"/>
                <w:color w:val="auto"/>
                <w:highlight w:val="none"/>
                <w:lang w:val="en-US" w:eastAsia="zh-CN"/>
              </w:rPr>
              <w:t>四周墙裙脚</w:t>
            </w:r>
            <w:r>
              <w:rPr>
                <w:rFonts w:hint="default"/>
                <w:color w:val="auto"/>
                <w:highlight w:val="none"/>
                <w:lang w:val="zh-CN"/>
              </w:rPr>
              <w:t>采用“抗渗混凝土+2mm厚HDPE+环氧树脂”</w:t>
            </w:r>
            <w:r>
              <w:rPr>
                <w:rFonts w:hint="default"/>
                <w:color w:val="auto"/>
                <w:highlight w:val="none"/>
              </w:rPr>
              <w:t>进行重点防渗处理</w:t>
            </w:r>
            <w:r>
              <w:rPr>
                <w:rFonts w:hint="default"/>
                <w:color w:val="auto"/>
                <w:highlight w:val="none"/>
                <w:lang w:val="zh-CN"/>
              </w:rPr>
              <w:t>，渗透系数≤10-10cm/s；</w:t>
            </w:r>
            <w:r>
              <w:rPr>
                <w:rFonts w:hint="eastAsia"/>
                <w:color w:val="auto"/>
                <w:highlight w:val="none"/>
                <w:lang w:val="zh-CN"/>
              </w:rPr>
              <w:t>氨水储罐区域</w:t>
            </w:r>
            <w:r>
              <w:rPr>
                <w:rFonts w:hint="default"/>
                <w:color w:val="auto"/>
                <w:highlight w:val="none"/>
              </w:rPr>
              <w:t>应</w:t>
            </w:r>
            <w:r>
              <w:rPr>
                <w:rFonts w:hint="default"/>
                <w:color w:val="auto"/>
                <w:highlight w:val="none"/>
                <w:lang w:val="zh-CN"/>
              </w:rPr>
              <w:t>按照</w:t>
            </w:r>
            <w:r>
              <w:rPr>
                <w:rFonts w:hint="eastAsia"/>
                <w:color w:val="auto"/>
                <w:highlight w:val="none"/>
                <w:lang w:val="zh-CN"/>
              </w:rPr>
              <w:t>等</w:t>
            </w:r>
            <w:r>
              <w:rPr>
                <w:rFonts w:hint="default"/>
                <w:color w:val="auto"/>
                <w:highlight w:val="none"/>
              </w:rPr>
              <w:t>效黏土防渗层厚度Mb≥6m，渗透系数K≤1.0×10-</w:t>
            </w:r>
            <w:r>
              <w:rPr>
                <w:rFonts w:hint="eastAsia"/>
                <w:color w:val="auto"/>
                <w:highlight w:val="none"/>
                <w:lang w:val="en-US" w:eastAsia="zh-CN"/>
              </w:rPr>
              <w:t>7</w:t>
            </w:r>
            <w:r>
              <w:rPr>
                <w:rFonts w:hint="default"/>
                <w:color w:val="auto"/>
                <w:highlight w:val="none"/>
              </w:rPr>
              <w:t>cm/s进行重点防渗</w:t>
            </w:r>
            <w:r>
              <w:rPr>
                <w:rFonts w:hint="default"/>
                <w:color w:val="auto"/>
                <w:highlight w:val="none"/>
                <w:lang w:val="en-US" w:eastAsia="zh-CN"/>
              </w:rPr>
              <w:t>；</w:t>
            </w:r>
            <w:r>
              <w:rPr>
                <w:rFonts w:hint="default"/>
                <w:color w:val="auto"/>
                <w:highlight w:val="none"/>
              </w:rPr>
              <w:t>并按照要求设置规范的标识</w:t>
            </w:r>
            <w:r>
              <w:rPr>
                <w:rFonts w:hint="default"/>
                <w:color w:val="auto"/>
                <w:highlight w:val="none"/>
                <w:lang w:eastAsia="zh-CN"/>
              </w:rPr>
              <w:t>、</w:t>
            </w:r>
            <w:r>
              <w:rPr>
                <w:rFonts w:hint="default"/>
                <w:color w:val="auto"/>
                <w:highlight w:val="none"/>
              </w:rPr>
              <w:t>标牌</w:t>
            </w:r>
            <w:r>
              <w:rPr>
                <w:rFonts w:hint="default"/>
                <w:color w:val="auto"/>
                <w:highlight w:val="none"/>
                <w:lang w:eastAsia="zh-CN"/>
              </w:rPr>
              <w:t>；</w:t>
            </w:r>
            <w:r>
              <w:rPr>
                <w:rFonts w:hint="default"/>
                <w:color w:val="auto"/>
                <w:highlight w:val="none"/>
                <w:lang w:val="en-US" w:eastAsia="zh-CN"/>
              </w:rPr>
              <w:t>危废暂存间地面向内形成一定的坡度，并设置围堰或在门口设置门槛，防止</w:t>
            </w:r>
            <w:r>
              <w:rPr>
                <w:rFonts w:hint="default"/>
                <w:color w:val="auto"/>
                <w:highlight w:val="none"/>
                <w:lang w:val="zh-CN" w:eastAsia="zh-CN"/>
              </w:rPr>
              <w:t>废矿物油</w:t>
            </w:r>
            <w:r>
              <w:rPr>
                <w:rFonts w:hint="eastAsia"/>
                <w:color w:val="auto"/>
                <w:highlight w:val="none"/>
                <w:lang w:val="zh-CN" w:eastAsia="zh-CN"/>
              </w:rPr>
              <w:t>、废液压油、废液</w:t>
            </w:r>
            <w:r>
              <w:rPr>
                <w:rFonts w:hint="default"/>
                <w:color w:val="auto"/>
                <w:highlight w:val="none"/>
                <w:lang w:val="en-US" w:eastAsia="zh-CN"/>
              </w:rPr>
              <w:t>泄漏后进入外环境。</w:t>
            </w:r>
            <w:r>
              <w:rPr>
                <w:rFonts w:hint="default"/>
                <w:color w:val="auto"/>
                <w:highlight w:val="none"/>
                <w:lang w:val="en-US" w:eastAsia="zh-CN"/>
              </w:rPr>
              <w:fldChar w:fldCharType="begin"/>
            </w:r>
            <w:r>
              <w:rPr>
                <w:rFonts w:hint="default"/>
                <w:color w:val="auto"/>
                <w:highlight w:val="none"/>
                <w:lang w:val="en-US" w:eastAsia="zh-CN"/>
              </w:rPr>
              <w:instrText xml:space="preserve"> = 2 \* GB3 \* MERGEFORMAT </w:instrText>
            </w:r>
            <w:r>
              <w:rPr>
                <w:rFonts w:hint="default"/>
                <w:color w:val="auto"/>
                <w:highlight w:val="none"/>
                <w:lang w:val="en-US" w:eastAsia="zh-CN"/>
              </w:rPr>
              <w:fldChar w:fldCharType="separate"/>
            </w:r>
            <w:r>
              <w:rPr>
                <w:rFonts w:hint="default"/>
                <w:color w:val="auto"/>
                <w:highlight w:val="none"/>
                <w:lang w:val="en-US" w:eastAsia="zh-CN"/>
              </w:rPr>
              <w:t>②</w:t>
            </w:r>
            <w:r>
              <w:rPr>
                <w:rFonts w:hint="default"/>
                <w:color w:val="auto"/>
                <w:highlight w:val="none"/>
                <w:lang w:val="en-US" w:eastAsia="zh-CN"/>
              </w:rPr>
              <w:fldChar w:fldCharType="end"/>
            </w:r>
            <w:r>
              <w:rPr>
                <w:rFonts w:hint="default"/>
                <w:color w:val="auto"/>
                <w:highlight w:val="none"/>
                <w:lang w:val="en-US" w:eastAsia="zh-CN"/>
              </w:rPr>
              <w:t>设置专人进行管理，定期对危废储存</w:t>
            </w:r>
            <w:r>
              <w:rPr>
                <w:rFonts w:hint="default"/>
                <w:color w:val="auto"/>
                <w:highlight w:val="none"/>
                <w:lang w:val="zh-CN" w:eastAsia="zh-CN"/>
              </w:rPr>
              <w:t>容器</w:t>
            </w:r>
            <w:r>
              <w:rPr>
                <w:rFonts w:hint="default"/>
                <w:color w:val="auto"/>
                <w:highlight w:val="none"/>
                <w:lang w:val="en-US" w:eastAsia="zh-CN"/>
              </w:rPr>
              <w:t>进行检查，并做好巡检记录及时发现事故隐患并迅速</w:t>
            </w:r>
            <w:r>
              <w:rPr>
                <w:rFonts w:hint="eastAsia"/>
                <w:color w:val="auto"/>
                <w:highlight w:val="none"/>
                <w:lang w:val="en-US" w:eastAsia="zh-CN"/>
              </w:rPr>
              <w:t>予以</w:t>
            </w:r>
            <w:r>
              <w:rPr>
                <w:rFonts w:hint="default"/>
                <w:color w:val="auto"/>
                <w:highlight w:val="none"/>
                <w:lang w:val="en-US" w:eastAsia="zh-CN"/>
              </w:rPr>
              <w:t>消除。</w:t>
            </w:r>
            <w:r>
              <w:rPr>
                <w:rFonts w:hint="default"/>
                <w:color w:val="auto"/>
                <w:highlight w:val="none"/>
                <w:lang w:val="en-US" w:eastAsia="zh-CN"/>
              </w:rPr>
              <w:fldChar w:fldCharType="begin"/>
            </w:r>
            <w:r>
              <w:rPr>
                <w:rFonts w:hint="default"/>
                <w:color w:val="auto"/>
                <w:highlight w:val="none"/>
                <w:lang w:val="en-US" w:eastAsia="zh-CN"/>
              </w:rPr>
              <w:instrText xml:space="preserve"> = 3 \* GB3 \* MERGEFORMAT </w:instrText>
            </w:r>
            <w:r>
              <w:rPr>
                <w:rFonts w:hint="default"/>
                <w:color w:val="auto"/>
                <w:highlight w:val="none"/>
                <w:lang w:val="en-US" w:eastAsia="zh-CN"/>
              </w:rPr>
              <w:fldChar w:fldCharType="separate"/>
            </w:r>
            <w:r>
              <w:rPr>
                <w:rFonts w:hint="default"/>
                <w:color w:val="auto"/>
                <w:highlight w:val="none"/>
                <w:lang w:val="en-US" w:eastAsia="zh-CN"/>
              </w:rPr>
              <w:t>③</w:t>
            </w:r>
            <w:r>
              <w:rPr>
                <w:rFonts w:hint="default"/>
                <w:color w:val="auto"/>
                <w:highlight w:val="none"/>
                <w:lang w:val="en-US" w:eastAsia="zh-CN"/>
              </w:rPr>
              <w:fldChar w:fldCharType="end"/>
            </w:r>
            <w:r>
              <w:rPr>
                <w:rFonts w:hint="default"/>
                <w:color w:val="auto"/>
                <w:highlight w:val="none"/>
                <w:lang w:val="en-US" w:eastAsia="zh-CN"/>
              </w:rPr>
              <w:t>编制突发环境事件应急预案，并报</w:t>
            </w:r>
            <w:r>
              <w:rPr>
                <w:rFonts w:hint="default"/>
                <w:color w:val="auto"/>
                <w:highlight w:val="none"/>
                <w:lang w:eastAsia="zh-CN"/>
              </w:rPr>
              <w:t>昆明市生态环境局寻甸分局</w:t>
            </w:r>
            <w:r>
              <w:rPr>
                <w:rFonts w:hint="default"/>
                <w:color w:val="auto"/>
                <w:highlight w:val="none"/>
                <w:lang w:val="en-US" w:eastAsia="zh-CN"/>
              </w:rPr>
              <w:t>备案。建立完善的应</w:t>
            </w:r>
          </w:p>
          <w:p w14:paraId="01B11D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color w:val="auto"/>
                <w:highlight w:val="none"/>
                <w:lang w:val="en-US" w:eastAsia="zh-CN"/>
              </w:rPr>
            </w:pPr>
            <w:r>
              <w:rPr>
                <w:rFonts w:hint="default"/>
                <w:color w:val="auto"/>
                <w:highlight w:val="none"/>
                <w:lang w:val="en-US" w:eastAsia="zh-CN"/>
              </w:rPr>
              <w:t>急报告制度，落实应急物资和经费，日常加强应急演练。</w:t>
            </w:r>
          </w:p>
          <w:p w14:paraId="563D62A6">
            <w:pPr>
              <w:pStyle w:val="11"/>
              <w:rPr>
                <w:rFonts w:hint="default"/>
                <w:color w:val="auto"/>
                <w:highlight w:val="none"/>
                <w:lang w:val="en-US" w:eastAsia="zh-CN"/>
              </w:rPr>
            </w:pPr>
            <w:r>
              <w:rPr>
                <w:rFonts w:hint="eastAsia" w:cs="Times New Roman"/>
                <w:b/>
                <w:bCs/>
                <w:color w:val="auto"/>
                <w:sz w:val="21"/>
                <w:szCs w:val="21"/>
                <w:highlight w:val="none"/>
                <w:lang w:val="en-US" w:eastAsia="zh-CN"/>
              </w:rPr>
              <w:t>其余详见风险专题。</w:t>
            </w:r>
          </w:p>
        </w:tc>
      </w:tr>
      <w:tr w14:paraId="75A93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dxa"/>
            <w:vAlign w:val="center"/>
          </w:tcPr>
          <w:p w14:paraId="23597097">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其他环境管理要求</w:t>
            </w:r>
          </w:p>
        </w:tc>
        <w:tc>
          <w:tcPr>
            <w:tcW w:w="7991" w:type="dxa"/>
            <w:gridSpan w:val="4"/>
            <w:vAlign w:val="center"/>
          </w:tcPr>
          <w:p w14:paraId="3C69D998">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1、环境管理计划</w:t>
            </w:r>
          </w:p>
          <w:p w14:paraId="21A2D30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1）根据国家环保政策、标准及环境监测要求，制定该项目运行期环境管理规章制度、各种污染物排放指标。</w:t>
            </w:r>
          </w:p>
          <w:p w14:paraId="37F4BE9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2）项目建成投产前建设单位应自行组织项目竣工环境保护验收工作，检查环保设施是否达到“三同时”要求。</w:t>
            </w:r>
          </w:p>
          <w:p w14:paraId="38A4279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3）加强环保设施的管理，定期检查</w:t>
            </w:r>
            <w:r>
              <w:rPr>
                <w:rFonts w:hint="default" w:ascii="Times New Roman" w:hAnsi="Times New Roman" w:eastAsia="宋体" w:cs="Times New Roman"/>
                <w:color w:val="auto"/>
                <w:szCs w:val="21"/>
                <w:highlight w:val="none"/>
                <w:lang w:val="en-US" w:eastAsia="zh-CN"/>
              </w:rPr>
              <w:t>厂</w:t>
            </w:r>
            <w:r>
              <w:rPr>
                <w:rFonts w:hint="default" w:ascii="Times New Roman" w:hAnsi="Times New Roman" w:eastAsia="宋体" w:cs="Times New Roman"/>
                <w:color w:val="auto"/>
                <w:szCs w:val="21"/>
                <w:highlight w:val="none"/>
              </w:rPr>
              <w:t>内环保设施运行情况。及时排除故障，保证环保设施正常运转</w:t>
            </w:r>
            <w:r>
              <w:rPr>
                <w:rFonts w:hint="default" w:ascii="Times New Roman" w:hAnsi="Times New Roman" w:eastAsia="宋体" w:cs="Times New Roman"/>
                <w:color w:val="auto"/>
                <w:szCs w:val="21"/>
                <w:highlight w:val="none"/>
                <w:lang w:eastAsia="zh-CN"/>
              </w:rPr>
              <w:t>。</w:t>
            </w:r>
          </w:p>
          <w:p w14:paraId="5C3B41C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lang w:val="en-US" w:eastAsia="zh-CN"/>
              </w:rPr>
              <w:t>危险废物</w:t>
            </w:r>
            <w:r>
              <w:rPr>
                <w:rFonts w:hint="default" w:ascii="Times New Roman" w:hAnsi="Times New Roman" w:eastAsia="宋体" w:cs="Times New Roman"/>
                <w:color w:val="auto"/>
                <w:szCs w:val="21"/>
                <w:highlight w:val="none"/>
              </w:rPr>
              <w:t>的收集管理应由专人负责，分类收集。</w:t>
            </w:r>
          </w:p>
          <w:p w14:paraId="531DF07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5）运用经济、教育、行政、法律及其它手段，加强项目区内人员的环保意识，加强环境保护的自觉性，不断提高环境管理水平。</w:t>
            </w:r>
          </w:p>
          <w:p w14:paraId="379CD6B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6）配合当地环保监测机构，实施环境监测计划。</w:t>
            </w:r>
          </w:p>
          <w:p w14:paraId="5DCA57A7">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、排污许可证</w:t>
            </w:r>
          </w:p>
          <w:p w14:paraId="45B273A0">
            <w:pPr>
              <w:keepNext w:val="0"/>
              <w:keepLines w:val="0"/>
              <w:pageBreakBefore w:val="0"/>
              <w:kinsoku/>
              <w:wordWrap/>
              <w:overflowPunct/>
              <w:topLinePunct w:val="0"/>
              <w:autoSpaceDE/>
              <w:autoSpaceDN/>
              <w:bidi w:val="0"/>
              <w:adjustRightInd w:val="0"/>
              <w:snapToGrid w:val="0"/>
              <w:spacing w:line="36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szCs w:val="21"/>
                <w:highlight w:val="none"/>
                <w:lang w:eastAsia="zh-CN"/>
              </w:rPr>
              <w:t>为</w:t>
            </w:r>
            <w:r>
              <w:rPr>
                <w:rFonts w:hint="default" w:ascii="Times New Roman" w:hAnsi="Times New Roman" w:eastAsia="宋体" w:cs="Times New Roman"/>
                <w:color w:val="auto"/>
                <w:szCs w:val="21"/>
                <w:highlight w:val="none"/>
                <w:lang w:val="en-US" w:eastAsia="zh-CN"/>
              </w:rPr>
              <w:t>褐煤</w:t>
            </w:r>
            <w:r>
              <w:rPr>
                <w:rFonts w:hint="eastAsia" w:ascii="Times New Roman" w:hAnsi="Times New Roman" w:eastAsia="宋体" w:cs="Times New Roman"/>
                <w:color w:val="auto"/>
                <w:szCs w:val="21"/>
                <w:highlight w:val="none"/>
                <w:lang w:val="en-US" w:eastAsia="zh-CN"/>
              </w:rPr>
              <w:t>烘干提质</w:t>
            </w:r>
            <w:r>
              <w:rPr>
                <w:rFonts w:hint="default" w:ascii="Times New Roman" w:hAnsi="Times New Roman" w:eastAsia="宋体" w:cs="Times New Roman"/>
                <w:color w:val="auto"/>
                <w:szCs w:val="21"/>
                <w:highlight w:val="none"/>
                <w:lang w:val="en-US" w:eastAsia="zh-CN"/>
              </w:rPr>
              <w:t>项目</w:t>
            </w:r>
            <w:r>
              <w:rPr>
                <w:rFonts w:hint="default" w:ascii="Times New Roman" w:hAnsi="Times New Roman" w:eastAsia="宋体" w:cs="Times New Roman"/>
                <w:color w:val="auto"/>
                <w:szCs w:val="21"/>
                <w:highlight w:val="none"/>
                <w:lang w:val="zh-CN" w:eastAsia="zh-CN"/>
              </w:rPr>
              <w:t>，</w:t>
            </w:r>
            <w:r>
              <w:rPr>
                <w:rFonts w:hint="default" w:ascii="Times New Roman" w:hAnsi="Times New Roman" w:eastAsia="宋体" w:cs="Times New Roman"/>
                <w:color w:val="auto"/>
                <w:sz w:val="21"/>
                <w:szCs w:val="21"/>
                <w:highlight w:val="none"/>
                <w:lang w:eastAsia="zh-CN"/>
              </w:rPr>
              <w:t>国民经济行业类别为“</w:t>
            </w:r>
            <w:r>
              <w:rPr>
                <w:rFonts w:hint="eastAsia" w:cs="Times New Roman"/>
                <w:color w:val="auto"/>
                <w:sz w:val="21"/>
                <w:szCs w:val="21"/>
                <w:highlight w:val="none"/>
                <w:lang w:val="en-US" w:eastAsia="zh-CN"/>
              </w:rPr>
              <w:t>其他煤炭加工</w:t>
            </w:r>
            <w:r>
              <w:rPr>
                <w:rFonts w:hint="default" w:ascii="Times New Roman" w:hAnsi="Times New Roman" w:eastAsia="宋体" w:cs="Times New Roman"/>
                <w:color w:val="auto"/>
                <w:sz w:val="21"/>
                <w:szCs w:val="21"/>
                <w:highlight w:val="none"/>
                <w:lang w:val="en-US" w:eastAsia="zh-CN"/>
              </w:rPr>
              <w:t>（C</w:t>
            </w:r>
            <w:r>
              <w:rPr>
                <w:rFonts w:hint="eastAsia" w:cs="Times New Roman"/>
                <w:color w:val="auto"/>
                <w:sz w:val="21"/>
                <w:szCs w:val="21"/>
                <w:highlight w:val="none"/>
                <w:lang w:val="en-US" w:eastAsia="zh-CN"/>
              </w:rPr>
              <w:t>2529</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，根据《固定污染源排污许可分类管理名录（2019版）》</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涉及通用工序工业炉窑，以生物质颗粒为燃料的干燥炉窑</w:t>
            </w:r>
            <w:r>
              <w:rPr>
                <w:rFonts w:hint="default" w:ascii="Times New Roman" w:hAnsi="Times New Roman" w:eastAsia="宋体" w:cs="Times New Roman"/>
                <w:color w:val="auto"/>
                <w:sz w:val="21"/>
                <w:szCs w:val="21"/>
                <w:highlight w:val="none"/>
                <w:lang w:eastAsia="zh-CN"/>
              </w:rPr>
              <w:t>项目需进行排污</w:t>
            </w:r>
            <w:r>
              <w:rPr>
                <w:rFonts w:hint="default" w:ascii="Times New Roman" w:hAnsi="Times New Roman" w:eastAsia="宋体" w:cs="Times New Roman"/>
                <w:color w:val="auto"/>
                <w:sz w:val="21"/>
                <w:szCs w:val="21"/>
                <w:highlight w:val="none"/>
                <w:lang w:val="en-US" w:eastAsia="zh-CN"/>
              </w:rPr>
              <w:t>简化管理</w:t>
            </w:r>
            <w:r>
              <w:rPr>
                <w:rFonts w:hint="default"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项目需按《排污许可管理</w:t>
            </w:r>
            <w:r>
              <w:rPr>
                <w:rFonts w:hint="eastAsia" w:ascii="Times New Roman" w:hAnsi="Times New Roman" w:eastAsia="宋体" w:cs="Times New Roman"/>
                <w:color w:val="auto"/>
                <w:sz w:val="21"/>
                <w:szCs w:val="21"/>
                <w:highlight w:val="none"/>
                <w:lang w:eastAsia="zh-CN"/>
              </w:rPr>
              <w:t>条例</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排污申请与核发技术规范</w:t>
            </w:r>
            <w:r>
              <w:rPr>
                <w:rFonts w:hint="eastAsia" w:cs="Times New Roman"/>
                <w:color w:val="auto"/>
                <w:sz w:val="21"/>
                <w:szCs w:val="21"/>
                <w:highlight w:val="none"/>
                <w:lang w:val="en-US" w:eastAsia="zh-CN"/>
              </w:rPr>
              <w:t xml:space="preserve">  </w:t>
            </w:r>
            <w:r>
              <w:rPr>
                <w:rFonts w:hint="eastAsia" w:cs="Times New Roman"/>
                <w:color w:val="auto"/>
                <w:sz w:val="21"/>
                <w:szCs w:val="21"/>
                <w:highlight w:val="none"/>
                <w:lang w:eastAsia="zh-CN"/>
              </w:rPr>
              <w:t>工业炉窑</w:t>
            </w:r>
            <w:r>
              <w:rPr>
                <w:rFonts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HJ1121-2020</w:t>
            </w:r>
            <w:r>
              <w:rPr>
                <w:rFonts w:hint="eastAsia" w:cs="Times New Roman"/>
                <w:color w:val="auto"/>
                <w:sz w:val="21"/>
                <w:szCs w:val="21"/>
                <w:highlight w:val="none"/>
                <w:lang w:eastAsia="zh-CN"/>
              </w:rPr>
              <w:t>）</w:t>
            </w:r>
            <w:r>
              <w:rPr>
                <w:rFonts w:ascii="Times New Roman" w:hAnsi="Times New Roman" w:eastAsia="宋体" w:cs="Times New Roman"/>
                <w:color w:val="auto"/>
                <w:sz w:val="21"/>
                <w:szCs w:val="21"/>
                <w:highlight w:val="none"/>
              </w:rPr>
              <w:t>等要求取得</w:t>
            </w:r>
            <w:r>
              <w:rPr>
                <w:rFonts w:hint="eastAsia" w:cs="Times New Roman"/>
                <w:color w:val="auto"/>
                <w:sz w:val="21"/>
                <w:szCs w:val="21"/>
                <w:highlight w:val="none"/>
                <w:lang w:eastAsia="zh-CN"/>
              </w:rPr>
              <w:t>全国排污许可证</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不得无证排污。</w:t>
            </w:r>
          </w:p>
          <w:p w14:paraId="06BD2C8C">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、排污口规范化设置</w:t>
            </w:r>
          </w:p>
          <w:p w14:paraId="14F93B9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排污口是</w:t>
            </w:r>
            <w:r>
              <w:rPr>
                <w:rFonts w:hint="default" w:ascii="Times New Roman" w:hAnsi="Times New Roman" w:eastAsia="宋体" w:cs="Times New Roman"/>
                <w:color w:val="auto"/>
                <w:szCs w:val="21"/>
                <w:highlight w:val="none"/>
                <w:lang w:val="en-US" w:eastAsia="zh-CN"/>
              </w:rPr>
              <w:t>项目运营期</w:t>
            </w:r>
            <w:r>
              <w:rPr>
                <w:rFonts w:hint="default" w:ascii="Times New Roman" w:hAnsi="Times New Roman" w:eastAsia="宋体" w:cs="Times New Roman"/>
                <w:color w:val="auto"/>
                <w:szCs w:val="21"/>
                <w:highlight w:val="none"/>
              </w:rPr>
              <w:t>污染物进入环境、污染环境的通道，强化总排口管理是实施污染物总量控制的基础工作之一，也是环境管理逐步实现污染物科学化、定量化的主要手段。</w:t>
            </w:r>
          </w:p>
          <w:p w14:paraId="20D1C1A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项目排放口设置满足以下要求：</w:t>
            </w:r>
          </w:p>
          <w:p w14:paraId="568B1BD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污染物排放口，应按国家《环境保护图形标志排放口（源）》（GB15562.1-1995）的规定，设置国家环保总局统一制作的环境保护图形标志牌；本项目废气排放口和废水处理设施均应设置相应标志，并进行专人管理。</w:t>
            </w:r>
          </w:p>
          <w:p w14:paraId="2EFA117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r>
              <w:rPr>
                <w:rFonts w:hint="default" w:ascii="Times New Roman" w:hAnsi="Times New Roman" w:eastAsia="宋体" w:cs="Times New Roman"/>
                <w:color w:val="auto"/>
                <w:szCs w:val="21"/>
                <w:highlight w:val="none"/>
                <w:lang w:eastAsia="zh-CN"/>
              </w:rPr>
              <w:t>。</w:t>
            </w:r>
          </w:p>
          <w:p w14:paraId="736E0FB9">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14:paraId="3FF716E5">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eastAsia" w:cs="Times New Roman"/>
                <w:color w:val="auto"/>
                <w:sz w:val="21"/>
                <w:szCs w:val="21"/>
                <w:highlight w:val="none"/>
                <w:lang w:val="en-US" w:eastAsia="zh-CN"/>
              </w:rPr>
            </w:pPr>
          </w:p>
          <w:p w14:paraId="076C8837">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eastAsia" w:cs="Times New Roman"/>
                <w:color w:val="auto"/>
                <w:sz w:val="21"/>
                <w:szCs w:val="21"/>
                <w:highlight w:val="none"/>
                <w:lang w:val="en-US" w:eastAsia="zh-CN"/>
              </w:rPr>
            </w:pPr>
          </w:p>
          <w:p w14:paraId="1E386845">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eastAsia" w:cs="Times New Roman"/>
                <w:color w:val="auto"/>
                <w:sz w:val="21"/>
                <w:szCs w:val="21"/>
                <w:highlight w:val="none"/>
                <w:lang w:val="en-US" w:eastAsia="zh-CN"/>
              </w:rPr>
            </w:pPr>
          </w:p>
          <w:p w14:paraId="6D527592">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eastAsia" w:cs="Times New Roman"/>
                <w:color w:val="auto"/>
                <w:sz w:val="21"/>
                <w:szCs w:val="21"/>
                <w:highlight w:val="none"/>
                <w:lang w:val="en-US" w:eastAsia="zh-CN"/>
              </w:rPr>
            </w:pPr>
          </w:p>
          <w:p w14:paraId="49FEC919">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eastAsia" w:cs="Times New Roman"/>
                <w:color w:val="auto"/>
                <w:sz w:val="21"/>
                <w:szCs w:val="21"/>
                <w:highlight w:val="none"/>
                <w:lang w:val="en-US" w:eastAsia="zh-CN"/>
              </w:rPr>
            </w:pPr>
          </w:p>
          <w:p w14:paraId="4381A5BA">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eastAsia" w:cs="Times New Roman"/>
                <w:color w:val="auto"/>
                <w:sz w:val="21"/>
                <w:szCs w:val="21"/>
                <w:highlight w:val="none"/>
                <w:lang w:val="en-US" w:eastAsia="zh-CN"/>
              </w:rPr>
            </w:pPr>
          </w:p>
          <w:p w14:paraId="4660161F">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eastAsia" w:cs="Times New Roman"/>
                <w:color w:val="auto"/>
                <w:sz w:val="21"/>
                <w:szCs w:val="21"/>
                <w:highlight w:val="none"/>
                <w:lang w:val="en-US" w:eastAsia="zh-CN"/>
              </w:rPr>
            </w:pPr>
          </w:p>
          <w:p w14:paraId="5B79CBEB">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eastAsia" w:cs="Times New Roman"/>
                <w:color w:val="auto"/>
                <w:sz w:val="21"/>
                <w:szCs w:val="21"/>
                <w:highlight w:val="none"/>
                <w:lang w:val="en-US" w:eastAsia="zh-CN"/>
              </w:rPr>
            </w:pPr>
          </w:p>
          <w:p w14:paraId="59C22EB5">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eastAsia" w:cs="Times New Roman"/>
                <w:color w:val="auto"/>
                <w:sz w:val="21"/>
                <w:szCs w:val="21"/>
                <w:highlight w:val="none"/>
                <w:lang w:val="en-US" w:eastAsia="zh-CN"/>
              </w:rPr>
            </w:pPr>
          </w:p>
          <w:p w14:paraId="2E2B6727">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eastAsia" w:cs="Times New Roman"/>
                <w:color w:val="auto"/>
                <w:sz w:val="21"/>
                <w:szCs w:val="21"/>
                <w:highlight w:val="none"/>
                <w:lang w:val="en-US" w:eastAsia="zh-CN"/>
              </w:rPr>
            </w:pPr>
          </w:p>
          <w:p w14:paraId="725D8C49">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eastAsia" w:cs="Times New Roman"/>
                <w:color w:val="auto"/>
                <w:sz w:val="21"/>
                <w:szCs w:val="21"/>
                <w:highlight w:val="none"/>
                <w:lang w:val="en-US" w:eastAsia="zh-CN"/>
              </w:rPr>
            </w:pPr>
          </w:p>
          <w:p w14:paraId="2608EB2A">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default" w:ascii="Times New Roman" w:hAnsi="Times New Roman" w:eastAsia="宋体" w:cs="Times New Roman"/>
                <w:color w:val="auto"/>
                <w:sz w:val="21"/>
                <w:szCs w:val="21"/>
                <w:highlight w:val="none"/>
                <w:lang w:val="en-US" w:eastAsia="zh-CN"/>
              </w:rPr>
            </w:pPr>
          </w:p>
        </w:tc>
      </w:tr>
    </w:tbl>
    <w:p w14:paraId="2FAB3494">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25" w:name="_Toc24787"/>
      <w:bookmarkStart w:id="26" w:name="_Toc1582"/>
      <w:r>
        <w:rPr>
          <w:rFonts w:hint="default" w:ascii="Times New Roman" w:hAnsi="Times New Roman" w:eastAsia="宋体" w:cs="Times New Roman"/>
          <w:b/>
          <w:bCs/>
          <w:snapToGrid w:val="0"/>
          <w:color w:val="auto"/>
          <w:sz w:val="30"/>
          <w:szCs w:val="30"/>
          <w:highlight w:val="none"/>
        </w:rPr>
        <w:t>六、结论</w:t>
      </w:r>
      <w:bookmarkEnd w:id="25"/>
      <w:bookmarkEnd w:id="26"/>
    </w:p>
    <w:tbl>
      <w:tblPr>
        <w:tblStyle w:val="27"/>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D8D3F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14:paraId="753385E7">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的建设符合国家、地方产业政策，以及相关规划，不涉及自然保护区、风景名胜区、水源保护区等环境敏感区，与周围居民点、学校、医院等关心点距离较远，选址合理。在采取环评提出的措施后，项目产生的</w:t>
            </w:r>
            <w:r>
              <w:rPr>
                <w:rFonts w:hint="eastAsia" w:cs="Times New Roman"/>
                <w:color w:val="auto"/>
                <w:sz w:val="24"/>
                <w:highlight w:val="none"/>
                <w:lang w:val="en-US" w:eastAsia="zh-CN"/>
              </w:rPr>
              <w:t>废水不外排，</w:t>
            </w:r>
            <w:r>
              <w:rPr>
                <w:rFonts w:hint="default" w:ascii="Times New Roman" w:hAnsi="Times New Roman" w:eastAsia="宋体" w:cs="Times New Roman"/>
                <w:color w:val="auto"/>
                <w:sz w:val="24"/>
                <w:highlight w:val="none"/>
                <w:lang w:val="en-US" w:eastAsia="zh-CN"/>
              </w:rPr>
              <w:t>废气、噪声均可达标排放，固废处置率100%，对当地环境质量及主要关心点环境影响较小，符合达标排放、总量控制和不降低当地环境功能的原则要求，符合国家法律法规要求。</w:t>
            </w:r>
          </w:p>
          <w:p w14:paraId="2A383367">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本项目在严格执行环境保护“三同时”制度，严格进行环境管理，保证项目内的废气处理设施及其他环保设施的正常运行，污染物达标排放的条件下，从环境保护角度论证，本项目的建设是可行的。</w:t>
            </w:r>
          </w:p>
        </w:tc>
      </w:tr>
    </w:tbl>
    <w:p w14:paraId="6239F0C2">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63C2F6D">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bookmarkStart w:id="27" w:name="_Toc9427"/>
      <w:bookmarkStart w:id="28" w:name="_Toc6881"/>
      <w:bookmarkStart w:id="29" w:name="_Toc24156"/>
      <w:r>
        <w:rPr>
          <w:rFonts w:hint="default" w:ascii="Times New Roman" w:hAnsi="Times New Roman" w:eastAsia="宋体" w:cs="Times New Roman"/>
          <w:b/>
          <w:bCs/>
          <w:snapToGrid w:val="0"/>
          <w:color w:val="auto"/>
          <w:sz w:val="30"/>
          <w:szCs w:val="30"/>
          <w:highlight w:val="none"/>
        </w:rPr>
        <w:t>附表</w:t>
      </w:r>
      <w:bookmarkEnd w:id="27"/>
      <w:bookmarkEnd w:id="28"/>
      <w:bookmarkEnd w:id="29"/>
    </w:p>
    <w:p w14:paraId="36377489">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宋体" w:cs="Times New Roman"/>
          <w:snapToGrid w:val="0"/>
          <w:color w:val="auto"/>
          <w:sz w:val="24"/>
          <w:szCs w:val="24"/>
          <w:highlight w:val="none"/>
        </w:rPr>
      </w:pPr>
      <w:bookmarkStart w:id="30" w:name="_Toc18631"/>
      <w:bookmarkStart w:id="31" w:name="_Toc29979"/>
      <w:r>
        <w:rPr>
          <w:rFonts w:hint="default" w:ascii="Times New Roman" w:hAnsi="Times New Roman" w:eastAsia="宋体" w:cs="Times New Roman"/>
          <w:snapToGrid w:val="0"/>
          <w:color w:val="auto"/>
          <w:sz w:val="24"/>
          <w:szCs w:val="24"/>
          <w:highlight w:val="none"/>
        </w:rPr>
        <w:t>建设项目污染物排放量汇总表</w:t>
      </w:r>
      <w:bookmarkEnd w:id="30"/>
      <w:bookmarkEnd w:id="31"/>
      <w:r>
        <w:rPr>
          <w:rFonts w:hint="default" w:ascii="Times New Roman" w:hAnsi="Times New Roman" w:eastAsia="宋体" w:cs="Times New Roman"/>
          <w:snapToGrid w:val="0"/>
          <w:color w:val="auto"/>
          <w:sz w:val="24"/>
          <w:szCs w:val="24"/>
          <w:highlight w:val="none"/>
          <w:lang w:eastAsia="zh-CN"/>
        </w:rPr>
        <w:t>（单位：</w:t>
      </w:r>
      <w:r>
        <w:rPr>
          <w:rFonts w:hint="default" w:ascii="Times New Roman" w:hAnsi="Times New Roman" w:eastAsia="宋体" w:cs="Times New Roman"/>
          <w:snapToGrid w:val="0"/>
          <w:color w:val="auto"/>
          <w:sz w:val="24"/>
          <w:szCs w:val="24"/>
          <w:highlight w:val="none"/>
          <w:lang w:val="en-US" w:eastAsia="zh-CN"/>
        </w:rPr>
        <w:t>t/a</w:t>
      </w:r>
      <w:r>
        <w:rPr>
          <w:rFonts w:hint="default" w:ascii="Times New Roman" w:hAnsi="Times New Roman" w:eastAsia="宋体" w:cs="Times New Roman"/>
          <w:snapToGrid w:val="0"/>
          <w:color w:val="auto"/>
          <w:sz w:val="24"/>
          <w:szCs w:val="24"/>
          <w:highlight w:val="none"/>
          <w:lang w:eastAsia="zh-CN"/>
        </w:rPr>
        <w:t>）</w:t>
      </w:r>
    </w:p>
    <w:tbl>
      <w:tblPr>
        <w:tblStyle w:val="27"/>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
        <w:gridCol w:w="2116"/>
        <w:gridCol w:w="1701"/>
        <w:gridCol w:w="1276"/>
        <w:gridCol w:w="1701"/>
        <w:gridCol w:w="1559"/>
        <w:gridCol w:w="1761"/>
        <w:gridCol w:w="1824"/>
        <w:gridCol w:w="961"/>
      </w:tblGrid>
      <w:tr w14:paraId="0295A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tcBorders>
              <w:tl2br w:val="single" w:color="auto" w:sz="4" w:space="0"/>
            </w:tcBorders>
            <w:tcMar>
              <w:left w:w="28" w:type="dxa"/>
              <w:right w:w="28" w:type="dxa"/>
            </w:tcMar>
            <w:vAlign w:val="center"/>
          </w:tcPr>
          <w:p w14:paraId="302327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p w14:paraId="0BEA60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2116" w:type="dxa"/>
            <w:tcMar>
              <w:left w:w="28" w:type="dxa"/>
              <w:right w:w="28" w:type="dxa"/>
            </w:tcMar>
            <w:vAlign w:val="center"/>
          </w:tcPr>
          <w:p w14:paraId="0B1E8E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污染物名称</w:t>
            </w:r>
          </w:p>
        </w:tc>
        <w:tc>
          <w:tcPr>
            <w:tcW w:w="1701" w:type="dxa"/>
            <w:tcMar>
              <w:left w:w="28" w:type="dxa"/>
              <w:right w:w="28" w:type="dxa"/>
            </w:tcMar>
            <w:vAlign w:val="center"/>
          </w:tcPr>
          <w:p w14:paraId="636A66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p>
        </w:tc>
        <w:tc>
          <w:tcPr>
            <w:tcW w:w="1276" w:type="dxa"/>
            <w:tcMar>
              <w:left w:w="28" w:type="dxa"/>
              <w:right w:w="28" w:type="dxa"/>
            </w:tcMar>
            <w:vAlign w:val="center"/>
          </w:tcPr>
          <w:p w14:paraId="631C51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现有工程许可排放量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p>
        </w:tc>
        <w:tc>
          <w:tcPr>
            <w:tcW w:w="1701" w:type="dxa"/>
            <w:tcMar>
              <w:left w:w="28" w:type="dxa"/>
              <w:right w:w="28" w:type="dxa"/>
            </w:tcMar>
            <w:vAlign w:val="center"/>
          </w:tcPr>
          <w:p w14:paraId="7AFEFD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p>
        </w:tc>
        <w:tc>
          <w:tcPr>
            <w:tcW w:w="1559" w:type="dxa"/>
            <w:tcMar>
              <w:left w:w="28" w:type="dxa"/>
              <w:right w:w="28" w:type="dxa"/>
            </w:tcMar>
            <w:vAlign w:val="center"/>
          </w:tcPr>
          <w:p w14:paraId="4FE6CD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4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lang w:val="en-US" w:eastAsia="zh-CN"/>
              </w:rPr>
              <w:fldChar w:fldCharType="end"/>
            </w:r>
          </w:p>
        </w:tc>
        <w:tc>
          <w:tcPr>
            <w:tcW w:w="1761" w:type="dxa"/>
            <w:tcMar>
              <w:left w:w="28" w:type="dxa"/>
              <w:right w:w="28" w:type="dxa"/>
            </w:tcMar>
            <w:vAlign w:val="center"/>
          </w:tcPr>
          <w:p w14:paraId="0A94D6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以新带老削减量</w:t>
            </w:r>
          </w:p>
          <w:p w14:paraId="2D5C84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（新建项目不填）</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5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val="en-US" w:eastAsia="zh-CN"/>
              </w:rPr>
              <w:fldChar w:fldCharType="end"/>
            </w:r>
          </w:p>
        </w:tc>
        <w:tc>
          <w:tcPr>
            <w:tcW w:w="1824" w:type="dxa"/>
            <w:tcMar>
              <w:left w:w="28" w:type="dxa"/>
              <w:right w:w="28" w:type="dxa"/>
            </w:tcMar>
            <w:vAlign w:val="center"/>
          </w:tcPr>
          <w:p w14:paraId="4EF8A4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本项目建成后全厂排放量（固体废物产生量）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6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lang w:val="en-US" w:eastAsia="zh-CN"/>
              </w:rPr>
              <w:fldChar w:fldCharType="end"/>
            </w:r>
          </w:p>
        </w:tc>
        <w:tc>
          <w:tcPr>
            <w:tcW w:w="961" w:type="dxa"/>
            <w:tcMar>
              <w:left w:w="28" w:type="dxa"/>
              <w:right w:w="28" w:type="dxa"/>
            </w:tcMar>
            <w:vAlign w:val="center"/>
          </w:tcPr>
          <w:p w14:paraId="61012B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变化量</w:t>
            </w:r>
          </w:p>
          <w:p w14:paraId="48D5AC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7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⑦</w:t>
            </w:r>
            <w:r>
              <w:rPr>
                <w:rFonts w:hint="default" w:ascii="Times New Roman" w:hAnsi="Times New Roman" w:eastAsia="宋体" w:cs="Times New Roman"/>
                <w:color w:val="auto"/>
                <w:sz w:val="21"/>
                <w:szCs w:val="21"/>
                <w:highlight w:val="none"/>
                <w:lang w:val="en-US" w:eastAsia="zh-CN"/>
              </w:rPr>
              <w:fldChar w:fldCharType="end"/>
            </w:r>
          </w:p>
        </w:tc>
      </w:tr>
      <w:tr w14:paraId="74D17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14:paraId="741E0B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2116" w:type="dxa"/>
            <w:vAlign w:val="center"/>
          </w:tcPr>
          <w:p w14:paraId="560A06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1701" w:type="dxa"/>
            <w:vAlign w:val="center"/>
          </w:tcPr>
          <w:p w14:paraId="1F8732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14:paraId="65D799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14:paraId="5CEEDA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14:paraId="536270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5.2895</w:t>
            </w:r>
          </w:p>
        </w:tc>
        <w:tc>
          <w:tcPr>
            <w:tcW w:w="1761" w:type="dxa"/>
            <w:vAlign w:val="center"/>
          </w:tcPr>
          <w:p w14:paraId="095353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14:paraId="554821F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5.2895</w:t>
            </w:r>
          </w:p>
        </w:tc>
        <w:tc>
          <w:tcPr>
            <w:tcW w:w="961" w:type="dxa"/>
            <w:vAlign w:val="center"/>
          </w:tcPr>
          <w:p w14:paraId="73FC997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+5.2895</w:t>
            </w:r>
          </w:p>
        </w:tc>
      </w:tr>
      <w:tr w14:paraId="0DDE4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07ABFF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65A70B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1701" w:type="dxa"/>
            <w:vAlign w:val="center"/>
          </w:tcPr>
          <w:p w14:paraId="15C1DB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14:paraId="04A189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14:paraId="1CEB45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14:paraId="3488ABDA">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8.3679</w:t>
            </w:r>
          </w:p>
        </w:tc>
        <w:tc>
          <w:tcPr>
            <w:tcW w:w="1761" w:type="dxa"/>
            <w:vAlign w:val="center"/>
          </w:tcPr>
          <w:p w14:paraId="0600B0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14:paraId="0913E31A">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8.3679</w:t>
            </w:r>
          </w:p>
        </w:tc>
        <w:tc>
          <w:tcPr>
            <w:tcW w:w="961" w:type="dxa"/>
            <w:vAlign w:val="center"/>
          </w:tcPr>
          <w:p w14:paraId="40DF6E00">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+8.3679</w:t>
            </w:r>
          </w:p>
        </w:tc>
      </w:tr>
      <w:tr w14:paraId="06F84C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89" w:type="dxa"/>
            <w:vMerge w:val="continue"/>
            <w:vAlign w:val="center"/>
          </w:tcPr>
          <w:p w14:paraId="4EEA32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2DCB69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1701" w:type="dxa"/>
            <w:vAlign w:val="center"/>
          </w:tcPr>
          <w:p w14:paraId="5428F8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14:paraId="1ED1D4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14:paraId="28DF6E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14:paraId="290AF948">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9.2977</w:t>
            </w:r>
          </w:p>
        </w:tc>
        <w:tc>
          <w:tcPr>
            <w:tcW w:w="1761" w:type="dxa"/>
            <w:vAlign w:val="center"/>
          </w:tcPr>
          <w:p w14:paraId="68B016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14:paraId="00077B49">
            <w:pPr>
              <w:adjustRightInd w:val="0"/>
              <w:snapToGrid w:val="0"/>
              <w:jc w:val="center"/>
              <w:textAlignment w:val="baseline"/>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9.2977</w:t>
            </w:r>
          </w:p>
        </w:tc>
        <w:tc>
          <w:tcPr>
            <w:tcW w:w="961" w:type="dxa"/>
            <w:vAlign w:val="center"/>
          </w:tcPr>
          <w:p w14:paraId="6BAEE66C">
            <w:pPr>
              <w:adjustRightInd w:val="0"/>
              <w:snapToGrid w:val="0"/>
              <w:jc w:val="center"/>
              <w:textAlignment w:val="baseline"/>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+9.2977</w:t>
            </w:r>
          </w:p>
        </w:tc>
      </w:tr>
      <w:tr w14:paraId="01FD24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4F00EE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177849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氨</w:t>
            </w:r>
          </w:p>
        </w:tc>
        <w:tc>
          <w:tcPr>
            <w:tcW w:w="1701" w:type="dxa"/>
            <w:vAlign w:val="center"/>
          </w:tcPr>
          <w:p w14:paraId="2CD626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14:paraId="7B7A20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14:paraId="743459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14:paraId="24C5888E">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0.289501234</w:t>
            </w:r>
          </w:p>
        </w:tc>
        <w:tc>
          <w:tcPr>
            <w:tcW w:w="1761" w:type="dxa"/>
            <w:vAlign w:val="center"/>
          </w:tcPr>
          <w:p w14:paraId="695060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14:paraId="3664C79B">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0.289501234</w:t>
            </w:r>
          </w:p>
        </w:tc>
        <w:tc>
          <w:tcPr>
            <w:tcW w:w="961" w:type="dxa"/>
            <w:vAlign w:val="center"/>
          </w:tcPr>
          <w:p w14:paraId="28BBE2BE">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+0.289501234</w:t>
            </w:r>
          </w:p>
        </w:tc>
      </w:tr>
      <w:tr w14:paraId="65E7F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14:paraId="71A1C2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2116" w:type="dxa"/>
            <w:vAlign w:val="center"/>
          </w:tcPr>
          <w:p w14:paraId="3ADEF5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1701" w:type="dxa"/>
            <w:vAlign w:val="center"/>
          </w:tcPr>
          <w:p w14:paraId="426103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14:paraId="3D2DD6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14:paraId="7CFBB2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14:paraId="46F01C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61" w:type="dxa"/>
            <w:vAlign w:val="center"/>
          </w:tcPr>
          <w:p w14:paraId="577960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14:paraId="32C452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961" w:type="dxa"/>
            <w:vAlign w:val="center"/>
          </w:tcPr>
          <w:p w14:paraId="63F8F5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r>
      <w:tr w14:paraId="24722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55BA90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1FEE02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701" w:type="dxa"/>
            <w:vAlign w:val="center"/>
          </w:tcPr>
          <w:p w14:paraId="55DA6B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14:paraId="43AA25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14:paraId="54EF50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14:paraId="191075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61" w:type="dxa"/>
            <w:vAlign w:val="center"/>
          </w:tcPr>
          <w:p w14:paraId="3812DF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14:paraId="47D772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961" w:type="dxa"/>
            <w:vAlign w:val="center"/>
          </w:tcPr>
          <w:p w14:paraId="72E1FA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r>
      <w:tr w14:paraId="2B5A0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14:paraId="22B3E3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一般固体废物</w:t>
            </w:r>
          </w:p>
        </w:tc>
        <w:tc>
          <w:tcPr>
            <w:tcW w:w="2116" w:type="dxa"/>
            <w:vAlign w:val="center"/>
          </w:tcPr>
          <w:p w14:paraId="10E3E9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原料除尘器收集的粉尘</w:t>
            </w:r>
          </w:p>
        </w:tc>
        <w:tc>
          <w:tcPr>
            <w:tcW w:w="1701" w:type="dxa"/>
            <w:vAlign w:val="center"/>
          </w:tcPr>
          <w:p w14:paraId="259626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14:paraId="5B5D53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14:paraId="5B5351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14:paraId="423B57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99.8988</w:t>
            </w:r>
          </w:p>
        </w:tc>
        <w:tc>
          <w:tcPr>
            <w:tcW w:w="1761" w:type="dxa"/>
            <w:vAlign w:val="center"/>
          </w:tcPr>
          <w:p w14:paraId="355039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14:paraId="3F1582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rPr>
              <w:t>99.8988</w:t>
            </w:r>
          </w:p>
        </w:tc>
        <w:tc>
          <w:tcPr>
            <w:tcW w:w="961" w:type="dxa"/>
            <w:vAlign w:val="center"/>
          </w:tcPr>
          <w:p w14:paraId="301447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rPr>
              <w:t>+99.8988</w:t>
            </w:r>
          </w:p>
        </w:tc>
      </w:tr>
      <w:tr w14:paraId="57B44B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3931B8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5496BB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炉渣</w:t>
            </w:r>
          </w:p>
        </w:tc>
        <w:tc>
          <w:tcPr>
            <w:tcW w:w="1701" w:type="dxa"/>
            <w:vAlign w:val="center"/>
          </w:tcPr>
          <w:p w14:paraId="2AD138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14:paraId="717A34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14:paraId="01E684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14:paraId="5C1187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olor w:val="auto"/>
                <w:sz w:val="21"/>
                <w:szCs w:val="21"/>
                <w:highlight w:val="none"/>
                <w:lang w:val="en-US" w:eastAsia="zh-CN"/>
              </w:rPr>
              <w:t>290.2888</w:t>
            </w:r>
          </w:p>
        </w:tc>
        <w:tc>
          <w:tcPr>
            <w:tcW w:w="1761" w:type="dxa"/>
            <w:vAlign w:val="center"/>
          </w:tcPr>
          <w:p w14:paraId="59162A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14:paraId="321936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olor w:val="auto"/>
                <w:sz w:val="21"/>
                <w:szCs w:val="21"/>
                <w:highlight w:val="none"/>
                <w:lang w:val="en-US" w:eastAsia="zh-CN"/>
              </w:rPr>
              <w:t>290.2888</w:t>
            </w:r>
          </w:p>
        </w:tc>
        <w:tc>
          <w:tcPr>
            <w:tcW w:w="961" w:type="dxa"/>
            <w:vAlign w:val="center"/>
          </w:tcPr>
          <w:p w14:paraId="4F06E3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olor w:val="auto"/>
                <w:sz w:val="21"/>
                <w:szCs w:val="21"/>
                <w:highlight w:val="none"/>
                <w:lang w:val="en-US" w:eastAsia="zh-CN"/>
              </w:rPr>
              <w:t>+290.2888</w:t>
            </w:r>
          </w:p>
        </w:tc>
      </w:tr>
      <w:tr w14:paraId="05DFA2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1BFA8D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24E964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烘干工序除尘器收集的粉尘</w:t>
            </w:r>
          </w:p>
        </w:tc>
        <w:tc>
          <w:tcPr>
            <w:tcW w:w="1701" w:type="dxa"/>
            <w:vAlign w:val="center"/>
          </w:tcPr>
          <w:p w14:paraId="13F51A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14:paraId="285777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14:paraId="527C56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14:paraId="6C395F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color w:val="auto"/>
                <w:sz w:val="21"/>
                <w:szCs w:val="21"/>
                <w:highlight w:val="none"/>
                <w:lang w:val="en-US" w:eastAsia="zh-CN"/>
              </w:rPr>
              <w:t>76.3603</w:t>
            </w:r>
          </w:p>
        </w:tc>
        <w:tc>
          <w:tcPr>
            <w:tcW w:w="1761" w:type="dxa"/>
            <w:vAlign w:val="center"/>
          </w:tcPr>
          <w:p w14:paraId="04A987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14:paraId="2B5008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76.3603</w:t>
            </w:r>
          </w:p>
        </w:tc>
        <w:tc>
          <w:tcPr>
            <w:tcW w:w="961" w:type="dxa"/>
            <w:vAlign w:val="center"/>
          </w:tcPr>
          <w:p w14:paraId="1E75A9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+76.3603</w:t>
            </w:r>
          </w:p>
        </w:tc>
      </w:tr>
      <w:tr w14:paraId="70E852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110CA4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25CD21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成品除尘器收集的粉尘</w:t>
            </w:r>
          </w:p>
        </w:tc>
        <w:tc>
          <w:tcPr>
            <w:tcW w:w="1701" w:type="dxa"/>
            <w:vAlign w:val="center"/>
          </w:tcPr>
          <w:p w14:paraId="08714F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14:paraId="006310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14:paraId="2CEB3D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14:paraId="11115D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sz w:val="21"/>
                <w:szCs w:val="21"/>
                <w:highlight w:val="none"/>
                <w:lang w:val="en-US" w:eastAsia="zh-CN"/>
              </w:rPr>
              <w:t>59.3049</w:t>
            </w:r>
          </w:p>
        </w:tc>
        <w:tc>
          <w:tcPr>
            <w:tcW w:w="1761" w:type="dxa"/>
            <w:vAlign w:val="center"/>
          </w:tcPr>
          <w:p w14:paraId="22E358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14:paraId="45FDF1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sz w:val="21"/>
                <w:szCs w:val="21"/>
                <w:highlight w:val="none"/>
                <w:lang w:val="en-US" w:eastAsia="zh-CN"/>
              </w:rPr>
              <w:t>59.3049</w:t>
            </w:r>
          </w:p>
        </w:tc>
        <w:tc>
          <w:tcPr>
            <w:tcW w:w="961" w:type="dxa"/>
            <w:vAlign w:val="center"/>
          </w:tcPr>
          <w:p w14:paraId="42FA31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+59.3049</w:t>
            </w:r>
          </w:p>
        </w:tc>
      </w:tr>
      <w:tr w14:paraId="0A8253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1D1DF2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0814D7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石灰石粉除尘器收集的粉尘</w:t>
            </w:r>
          </w:p>
        </w:tc>
        <w:tc>
          <w:tcPr>
            <w:tcW w:w="1701" w:type="dxa"/>
            <w:vAlign w:val="center"/>
          </w:tcPr>
          <w:p w14:paraId="372503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14:paraId="64094A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14:paraId="41A73C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14:paraId="734FA3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0.3053</w:t>
            </w:r>
          </w:p>
        </w:tc>
        <w:tc>
          <w:tcPr>
            <w:tcW w:w="1761" w:type="dxa"/>
            <w:vAlign w:val="center"/>
          </w:tcPr>
          <w:p w14:paraId="7A5387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14:paraId="3FC7BA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rPr>
              <w:t>0.3053</w:t>
            </w:r>
          </w:p>
        </w:tc>
        <w:tc>
          <w:tcPr>
            <w:tcW w:w="961" w:type="dxa"/>
            <w:vAlign w:val="center"/>
          </w:tcPr>
          <w:p w14:paraId="2C6AA0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rPr>
              <w:t>+0.3053</w:t>
            </w:r>
          </w:p>
        </w:tc>
      </w:tr>
      <w:tr w14:paraId="40CF3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5F1478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6E2D31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燃料仓除尘器收集的粉尘</w:t>
            </w:r>
          </w:p>
        </w:tc>
        <w:tc>
          <w:tcPr>
            <w:tcW w:w="1701" w:type="dxa"/>
            <w:vAlign w:val="center"/>
          </w:tcPr>
          <w:p w14:paraId="1C87BA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76" w:type="dxa"/>
            <w:vAlign w:val="center"/>
          </w:tcPr>
          <w:p w14:paraId="759CB5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01" w:type="dxa"/>
            <w:vAlign w:val="center"/>
          </w:tcPr>
          <w:p w14:paraId="371436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59" w:type="dxa"/>
            <w:vAlign w:val="center"/>
          </w:tcPr>
          <w:p w14:paraId="086430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sz w:val="21"/>
                <w:szCs w:val="21"/>
                <w:highlight w:val="none"/>
                <w:lang w:val="en-US" w:eastAsia="zh-CN"/>
              </w:rPr>
              <w:t>0.7262</w:t>
            </w:r>
          </w:p>
        </w:tc>
        <w:tc>
          <w:tcPr>
            <w:tcW w:w="1761" w:type="dxa"/>
            <w:vAlign w:val="center"/>
          </w:tcPr>
          <w:p w14:paraId="1B3659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824" w:type="dxa"/>
            <w:vAlign w:val="center"/>
          </w:tcPr>
          <w:p w14:paraId="52412E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sz w:val="21"/>
                <w:szCs w:val="21"/>
                <w:highlight w:val="none"/>
                <w:lang w:val="en-US" w:eastAsia="zh-CN"/>
              </w:rPr>
            </w:pPr>
            <w:r>
              <w:rPr>
                <w:rFonts w:hint="eastAsia" w:cs="Times New Roman"/>
                <w:b w:val="0"/>
                <w:bCs w:val="0"/>
                <w:color w:val="auto"/>
                <w:sz w:val="21"/>
                <w:szCs w:val="21"/>
                <w:highlight w:val="none"/>
                <w:lang w:val="en-US" w:eastAsia="zh-CN"/>
              </w:rPr>
              <w:t>0.7262</w:t>
            </w:r>
          </w:p>
        </w:tc>
        <w:tc>
          <w:tcPr>
            <w:tcW w:w="961" w:type="dxa"/>
            <w:vAlign w:val="center"/>
          </w:tcPr>
          <w:p w14:paraId="7D9434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sz w:val="21"/>
                <w:szCs w:val="21"/>
                <w:highlight w:val="none"/>
                <w:lang w:val="en-US" w:eastAsia="zh-CN"/>
              </w:rPr>
            </w:pPr>
            <w:r>
              <w:rPr>
                <w:rFonts w:hint="eastAsia" w:cs="Times New Roman"/>
                <w:b w:val="0"/>
                <w:bCs w:val="0"/>
                <w:color w:val="auto"/>
                <w:sz w:val="21"/>
                <w:szCs w:val="21"/>
                <w:highlight w:val="none"/>
                <w:lang w:val="en-US" w:eastAsia="zh-CN"/>
              </w:rPr>
              <w:t>+0.7262</w:t>
            </w:r>
          </w:p>
        </w:tc>
      </w:tr>
      <w:tr w14:paraId="4E30C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435910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3716C5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煤粉仓除尘器收集的粉尘</w:t>
            </w:r>
          </w:p>
        </w:tc>
        <w:tc>
          <w:tcPr>
            <w:tcW w:w="1701" w:type="dxa"/>
            <w:vAlign w:val="center"/>
          </w:tcPr>
          <w:p w14:paraId="372A48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76" w:type="dxa"/>
            <w:vAlign w:val="center"/>
          </w:tcPr>
          <w:p w14:paraId="4C4EC1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01" w:type="dxa"/>
            <w:vAlign w:val="center"/>
          </w:tcPr>
          <w:p w14:paraId="27AFF0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59" w:type="dxa"/>
            <w:vAlign w:val="center"/>
          </w:tcPr>
          <w:p w14:paraId="3696A6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sz w:val="21"/>
                <w:szCs w:val="21"/>
                <w:highlight w:val="none"/>
                <w:lang w:val="en-US" w:eastAsia="zh-CN"/>
              </w:rPr>
              <w:t>0.2388</w:t>
            </w:r>
          </w:p>
        </w:tc>
        <w:tc>
          <w:tcPr>
            <w:tcW w:w="1761" w:type="dxa"/>
            <w:vAlign w:val="center"/>
          </w:tcPr>
          <w:p w14:paraId="10E72A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824" w:type="dxa"/>
            <w:vAlign w:val="center"/>
          </w:tcPr>
          <w:p w14:paraId="5CFF19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0.2388</w:t>
            </w:r>
          </w:p>
        </w:tc>
        <w:tc>
          <w:tcPr>
            <w:tcW w:w="961" w:type="dxa"/>
            <w:vAlign w:val="center"/>
          </w:tcPr>
          <w:p w14:paraId="1C3B5D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+0.2388</w:t>
            </w:r>
          </w:p>
        </w:tc>
      </w:tr>
      <w:tr w14:paraId="09FE00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42B104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402798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成品散装除尘器收集的粉尘</w:t>
            </w:r>
          </w:p>
        </w:tc>
        <w:tc>
          <w:tcPr>
            <w:tcW w:w="1701" w:type="dxa"/>
            <w:vAlign w:val="center"/>
          </w:tcPr>
          <w:p w14:paraId="4571AB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76" w:type="dxa"/>
            <w:vAlign w:val="center"/>
          </w:tcPr>
          <w:p w14:paraId="7B7CFC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01" w:type="dxa"/>
            <w:vAlign w:val="center"/>
          </w:tcPr>
          <w:p w14:paraId="3C26F5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59" w:type="dxa"/>
            <w:vAlign w:val="center"/>
          </w:tcPr>
          <w:p w14:paraId="3C6EAE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sz w:val="21"/>
                <w:szCs w:val="21"/>
                <w:highlight w:val="none"/>
                <w:lang w:val="en-US" w:eastAsia="zh-CN"/>
              </w:rPr>
              <w:t>5.5382</w:t>
            </w:r>
          </w:p>
        </w:tc>
        <w:tc>
          <w:tcPr>
            <w:tcW w:w="1761" w:type="dxa"/>
            <w:vAlign w:val="center"/>
          </w:tcPr>
          <w:p w14:paraId="23DD46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824" w:type="dxa"/>
            <w:vAlign w:val="center"/>
          </w:tcPr>
          <w:p w14:paraId="265F1F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sz w:val="21"/>
                <w:szCs w:val="21"/>
                <w:highlight w:val="none"/>
                <w:lang w:val="en-US" w:eastAsia="zh-CN"/>
              </w:rPr>
              <w:t>5.5382</w:t>
            </w:r>
          </w:p>
        </w:tc>
        <w:tc>
          <w:tcPr>
            <w:tcW w:w="961" w:type="dxa"/>
            <w:vAlign w:val="center"/>
          </w:tcPr>
          <w:p w14:paraId="4D20A6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sz w:val="21"/>
                <w:szCs w:val="21"/>
                <w:highlight w:val="none"/>
                <w:lang w:val="en-US" w:eastAsia="zh-CN"/>
              </w:rPr>
              <w:t>+5.5382</w:t>
            </w:r>
          </w:p>
        </w:tc>
      </w:tr>
      <w:tr w14:paraId="1D1700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89" w:type="dxa"/>
            <w:vMerge w:val="continue"/>
            <w:vAlign w:val="center"/>
          </w:tcPr>
          <w:p w14:paraId="6BA773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470F7A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701" w:type="dxa"/>
            <w:vAlign w:val="center"/>
          </w:tcPr>
          <w:p w14:paraId="5CB957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14:paraId="08179A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14:paraId="50D15F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14:paraId="33B465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11.9</w:t>
            </w:r>
          </w:p>
        </w:tc>
        <w:tc>
          <w:tcPr>
            <w:tcW w:w="1761" w:type="dxa"/>
            <w:vAlign w:val="center"/>
          </w:tcPr>
          <w:p w14:paraId="52D1FF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14:paraId="12A0E9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rPr>
              <w:t>11.9</w:t>
            </w:r>
          </w:p>
        </w:tc>
        <w:tc>
          <w:tcPr>
            <w:tcW w:w="961" w:type="dxa"/>
            <w:vAlign w:val="center"/>
          </w:tcPr>
          <w:p w14:paraId="6F628B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rPr>
              <w:t>+11.9</w:t>
            </w:r>
          </w:p>
        </w:tc>
      </w:tr>
      <w:tr w14:paraId="4C414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0BF645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40842F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化粪池、一体化污水处理站污泥</w:t>
            </w:r>
          </w:p>
        </w:tc>
        <w:tc>
          <w:tcPr>
            <w:tcW w:w="1701" w:type="dxa"/>
            <w:vAlign w:val="center"/>
          </w:tcPr>
          <w:p w14:paraId="65DBFF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14:paraId="700A7C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14:paraId="599627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14:paraId="0FDF26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0.</w:t>
            </w:r>
            <w:r>
              <w:rPr>
                <w:rFonts w:hint="eastAsia" w:cs="Times New Roman"/>
                <w:b w:val="0"/>
                <w:bCs w:val="0"/>
                <w:color w:val="auto"/>
                <w:kern w:val="0"/>
                <w:sz w:val="21"/>
                <w:szCs w:val="21"/>
                <w:highlight w:val="none"/>
                <w:lang w:val="en-US" w:eastAsia="zh-CN"/>
              </w:rPr>
              <w:t>476</w:t>
            </w:r>
          </w:p>
        </w:tc>
        <w:tc>
          <w:tcPr>
            <w:tcW w:w="1761" w:type="dxa"/>
            <w:vAlign w:val="center"/>
          </w:tcPr>
          <w:p w14:paraId="2320CC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14:paraId="0897EC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cs="Times New Roman"/>
                <w:b w:val="0"/>
                <w:bCs w:val="0"/>
                <w:color w:val="auto"/>
                <w:kern w:val="0"/>
                <w:sz w:val="21"/>
                <w:szCs w:val="21"/>
                <w:highlight w:val="none"/>
                <w:lang w:val="en-US" w:eastAsia="zh-CN"/>
              </w:rPr>
              <w:t>0.</w:t>
            </w:r>
            <w:r>
              <w:rPr>
                <w:rFonts w:hint="eastAsia" w:cs="Times New Roman"/>
                <w:b w:val="0"/>
                <w:bCs w:val="0"/>
                <w:color w:val="auto"/>
                <w:kern w:val="0"/>
                <w:sz w:val="21"/>
                <w:szCs w:val="21"/>
                <w:highlight w:val="none"/>
                <w:lang w:val="en-US" w:eastAsia="zh-CN"/>
              </w:rPr>
              <w:t>476</w:t>
            </w:r>
          </w:p>
        </w:tc>
        <w:tc>
          <w:tcPr>
            <w:tcW w:w="961" w:type="dxa"/>
            <w:vAlign w:val="center"/>
          </w:tcPr>
          <w:p w14:paraId="7B3FEE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0.</w:t>
            </w:r>
            <w:r>
              <w:rPr>
                <w:rFonts w:hint="eastAsia" w:cs="Times New Roman"/>
                <w:b w:val="0"/>
                <w:bCs w:val="0"/>
                <w:color w:val="auto"/>
                <w:kern w:val="0"/>
                <w:sz w:val="21"/>
                <w:szCs w:val="21"/>
                <w:highlight w:val="none"/>
                <w:lang w:val="en-US" w:eastAsia="zh-CN"/>
              </w:rPr>
              <w:t>476</w:t>
            </w:r>
          </w:p>
        </w:tc>
      </w:tr>
      <w:tr w14:paraId="465BF2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14:paraId="245D3A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2116" w:type="dxa"/>
            <w:vAlign w:val="center"/>
          </w:tcPr>
          <w:p w14:paraId="506493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废</w:t>
            </w:r>
            <w:r>
              <w:rPr>
                <w:rFonts w:hint="eastAsia" w:cs="Times New Roman"/>
                <w:b w:val="0"/>
                <w:bCs w:val="0"/>
                <w:color w:val="auto"/>
                <w:sz w:val="21"/>
                <w:szCs w:val="21"/>
                <w:highlight w:val="none"/>
                <w:lang w:val="en-US" w:eastAsia="zh-CN"/>
              </w:rPr>
              <w:t>液压油</w:t>
            </w:r>
          </w:p>
        </w:tc>
        <w:tc>
          <w:tcPr>
            <w:tcW w:w="1701" w:type="dxa"/>
            <w:vAlign w:val="center"/>
          </w:tcPr>
          <w:p w14:paraId="30C489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14:paraId="2EDF70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14:paraId="5F03FB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14:paraId="592E70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1.0</w:t>
            </w:r>
          </w:p>
        </w:tc>
        <w:tc>
          <w:tcPr>
            <w:tcW w:w="1761" w:type="dxa"/>
            <w:vAlign w:val="center"/>
          </w:tcPr>
          <w:p w14:paraId="4D8FB8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14:paraId="0F683A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rPr>
              <w:t>1.0</w:t>
            </w:r>
          </w:p>
        </w:tc>
        <w:tc>
          <w:tcPr>
            <w:tcW w:w="961" w:type="dxa"/>
            <w:vAlign w:val="center"/>
          </w:tcPr>
          <w:p w14:paraId="327E58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rPr>
              <w:t>+1.0</w:t>
            </w:r>
          </w:p>
        </w:tc>
      </w:tr>
      <w:tr w14:paraId="1EFEF8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55EFC3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6D8897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废试剂瓶</w:t>
            </w:r>
          </w:p>
        </w:tc>
        <w:tc>
          <w:tcPr>
            <w:tcW w:w="1701" w:type="dxa"/>
            <w:vAlign w:val="center"/>
          </w:tcPr>
          <w:p w14:paraId="5BC9EC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76" w:type="dxa"/>
            <w:vAlign w:val="center"/>
          </w:tcPr>
          <w:p w14:paraId="522C33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01" w:type="dxa"/>
            <w:vAlign w:val="center"/>
          </w:tcPr>
          <w:p w14:paraId="09E136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59" w:type="dxa"/>
            <w:vAlign w:val="center"/>
          </w:tcPr>
          <w:p w14:paraId="4EEE79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0.01</w:t>
            </w:r>
          </w:p>
        </w:tc>
        <w:tc>
          <w:tcPr>
            <w:tcW w:w="1761" w:type="dxa"/>
            <w:vAlign w:val="center"/>
          </w:tcPr>
          <w:p w14:paraId="351FF6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824" w:type="dxa"/>
            <w:vAlign w:val="center"/>
          </w:tcPr>
          <w:p w14:paraId="2C0E74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rPr>
              <w:t>0.01</w:t>
            </w:r>
          </w:p>
        </w:tc>
        <w:tc>
          <w:tcPr>
            <w:tcW w:w="961" w:type="dxa"/>
            <w:vAlign w:val="center"/>
          </w:tcPr>
          <w:p w14:paraId="513EED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rPr>
              <w:t>+0.01</w:t>
            </w:r>
          </w:p>
        </w:tc>
      </w:tr>
      <w:tr w14:paraId="72F5B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165604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5CF168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废液</w:t>
            </w:r>
          </w:p>
        </w:tc>
        <w:tc>
          <w:tcPr>
            <w:tcW w:w="1701" w:type="dxa"/>
            <w:vAlign w:val="center"/>
          </w:tcPr>
          <w:p w14:paraId="63576F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76" w:type="dxa"/>
            <w:vAlign w:val="center"/>
          </w:tcPr>
          <w:p w14:paraId="0FDAE5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01" w:type="dxa"/>
            <w:vAlign w:val="center"/>
          </w:tcPr>
          <w:p w14:paraId="0B9504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59" w:type="dxa"/>
            <w:vAlign w:val="center"/>
          </w:tcPr>
          <w:p w14:paraId="127DF1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0.2</w:t>
            </w:r>
          </w:p>
        </w:tc>
        <w:tc>
          <w:tcPr>
            <w:tcW w:w="1761" w:type="dxa"/>
            <w:vAlign w:val="center"/>
          </w:tcPr>
          <w:p w14:paraId="7F3EC8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824" w:type="dxa"/>
            <w:vAlign w:val="center"/>
          </w:tcPr>
          <w:p w14:paraId="2B08BA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rPr>
              <w:t>0.2</w:t>
            </w:r>
          </w:p>
        </w:tc>
        <w:tc>
          <w:tcPr>
            <w:tcW w:w="961" w:type="dxa"/>
            <w:vAlign w:val="center"/>
          </w:tcPr>
          <w:p w14:paraId="7961E2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rPr>
              <w:t>+0.2</w:t>
            </w:r>
          </w:p>
        </w:tc>
      </w:tr>
      <w:tr w14:paraId="56920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1C19FD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0B0D15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w:t>
            </w:r>
            <w:r>
              <w:rPr>
                <w:rFonts w:hint="eastAsia" w:cs="Times New Roman"/>
                <w:color w:val="auto"/>
                <w:sz w:val="21"/>
                <w:szCs w:val="21"/>
                <w:highlight w:val="none"/>
                <w:lang w:val="en-US" w:eastAsia="zh-CN"/>
              </w:rPr>
              <w:t>机</w:t>
            </w:r>
            <w:r>
              <w:rPr>
                <w:rFonts w:hint="default" w:ascii="Times New Roman" w:hAnsi="Times New Roman" w:eastAsia="宋体" w:cs="Times New Roman"/>
                <w:color w:val="auto"/>
                <w:sz w:val="21"/>
                <w:szCs w:val="21"/>
                <w:highlight w:val="none"/>
                <w:lang w:val="en-US" w:eastAsia="zh-CN"/>
              </w:rPr>
              <w:t>油</w:t>
            </w:r>
          </w:p>
        </w:tc>
        <w:tc>
          <w:tcPr>
            <w:tcW w:w="1701" w:type="dxa"/>
            <w:vAlign w:val="center"/>
          </w:tcPr>
          <w:p w14:paraId="793A0D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14:paraId="3E840B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14:paraId="61AEC4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14:paraId="5EC136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0.</w:t>
            </w:r>
            <w:r>
              <w:rPr>
                <w:rFonts w:hint="eastAsia" w:cs="Times New Roman"/>
                <w:b w:val="0"/>
                <w:bCs w:val="0"/>
                <w:color w:val="auto"/>
                <w:kern w:val="0"/>
                <w:sz w:val="21"/>
                <w:szCs w:val="21"/>
                <w:highlight w:val="none"/>
                <w:lang w:val="en-US" w:eastAsia="zh-CN"/>
              </w:rPr>
              <w:t>5</w:t>
            </w:r>
          </w:p>
        </w:tc>
        <w:tc>
          <w:tcPr>
            <w:tcW w:w="1761" w:type="dxa"/>
            <w:vAlign w:val="center"/>
          </w:tcPr>
          <w:p w14:paraId="63DE4D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14:paraId="6D7736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b w:val="0"/>
                <w:bCs w:val="0"/>
                <w:color w:val="auto"/>
                <w:kern w:val="0"/>
                <w:sz w:val="21"/>
                <w:szCs w:val="21"/>
                <w:highlight w:val="none"/>
                <w:lang w:val="en-US" w:eastAsia="zh-CN"/>
              </w:rPr>
              <w:t>0.</w:t>
            </w:r>
            <w:r>
              <w:rPr>
                <w:rFonts w:hint="eastAsia" w:cs="Times New Roman"/>
                <w:b w:val="0"/>
                <w:bCs w:val="0"/>
                <w:color w:val="auto"/>
                <w:kern w:val="0"/>
                <w:sz w:val="21"/>
                <w:szCs w:val="21"/>
                <w:highlight w:val="none"/>
                <w:lang w:val="en-US" w:eastAsia="zh-CN"/>
              </w:rPr>
              <w:t>5</w:t>
            </w:r>
          </w:p>
        </w:tc>
        <w:tc>
          <w:tcPr>
            <w:tcW w:w="961" w:type="dxa"/>
            <w:vAlign w:val="center"/>
          </w:tcPr>
          <w:p w14:paraId="3DF9F1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0.</w:t>
            </w:r>
            <w:r>
              <w:rPr>
                <w:rFonts w:hint="eastAsia" w:cs="Times New Roman"/>
                <w:b w:val="0"/>
                <w:bCs w:val="0"/>
                <w:color w:val="auto"/>
                <w:kern w:val="0"/>
                <w:sz w:val="21"/>
                <w:szCs w:val="21"/>
                <w:highlight w:val="none"/>
                <w:lang w:val="en-US" w:eastAsia="zh-CN"/>
              </w:rPr>
              <w:t>5</w:t>
            </w:r>
          </w:p>
        </w:tc>
      </w:tr>
      <w:tr w14:paraId="4D056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5107B7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16" w:type="dxa"/>
            <w:vAlign w:val="center"/>
          </w:tcPr>
          <w:p w14:paraId="517044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701" w:type="dxa"/>
            <w:vAlign w:val="center"/>
          </w:tcPr>
          <w:p w14:paraId="188236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76" w:type="dxa"/>
            <w:vAlign w:val="center"/>
          </w:tcPr>
          <w:p w14:paraId="172C3A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01" w:type="dxa"/>
            <w:vAlign w:val="center"/>
          </w:tcPr>
          <w:p w14:paraId="4F755A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9" w:type="dxa"/>
            <w:vAlign w:val="center"/>
          </w:tcPr>
          <w:p w14:paraId="51D2C5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0.</w:t>
            </w:r>
            <w:r>
              <w:rPr>
                <w:rFonts w:hint="eastAsia" w:cs="Times New Roman"/>
                <w:b w:val="0"/>
                <w:bCs w:val="0"/>
                <w:color w:val="auto"/>
                <w:kern w:val="0"/>
                <w:sz w:val="21"/>
                <w:szCs w:val="21"/>
                <w:highlight w:val="none"/>
                <w:lang w:val="en-US" w:eastAsia="zh-CN"/>
              </w:rPr>
              <w:t>2</w:t>
            </w:r>
          </w:p>
        </w:tc>
        <w:tc>
          <w:tcPr>
            <w:tcW w:w="1761" w:type="dxa"/>
            <w:vAlign w:val="center"/>
          </w:tcPr>
          <w:p w14:paraId="424828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24" w:type="dxa"/>
            <w:vAlign w:val="center"/>
          </w:tcPr>
          <w:p w14:paraId="2EDAFC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b w:val="0"/>
                <w:bCs w:val="0"/>
                <w:color w:val="auto"/>
                <w:kern w:val="0"/>
                <w:sz w:val="21"/>
                <w:szCs w:val="21"/>
                <w:highlight w:val="none"/>
                <w:lang w:val="en-US" w:eastAsia="zh-CN"/>
              </w:rPr>
              <w:t>0.</w:t>
            </w:r>
            <w:r>
              <w:rPr>
                <w:rFonts w:hint="eastAsia" w:cs="Times New Roman"/>
                <w:b w:val="0"/>
                <w:bCs w:val="0"/>
                <w:color w:val="auto"/>
                <w:kern w:val="0"/>
                <w:sz w:val="21"/>
                <w:szCs w:val="21"/>
                <w:highlight w:val="none"/>
                <w:lang w:val="en-US" w:eastAsia="zh-CN"/>
              </w:rPr>
              <w:t>2</w:t>
            </w:r>
          </w:p>
        </w:tc>
        <w:tc>
          <w:tcPr>
            <w:tcW w:w="961" w:type="dxa"/>
            <w:vAlign w:val="center"/>
          </w:tcPr>
          <w:p w14:paraId="1AE80D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0.</w:t>
            </w:r>
            <w:r>
              <w:rPr>
                <w:rFonts w:hint="eastAsia" w:cs="Times New Roman"/>
                <w:b w:val="0"/>
                <w:bCs w:val="0"/>
                <w:color w:val="auto"/>
                <w:kern w:val="0"/>
                <w:sz w:val="21"/>
                <w:szCs w:val="21"/>
                <w:highlight w:val="none"/>
                <w:lang w:val="en-US" w:eastAsia="zh-CN"/>
              </w:rPr>
              <w:t>2</w:t>
            </w:r>
          </w:p>
        </w:tc>
      </w:tr>
    </w:tbl>
    <w:p w14:paraId="02FBD63C">
      <w:pPr>
        <w:rPr>
          <w:rFonts w:hint="default" w:ascii="Times New Roman" w:hAnsi="Times New Roman" w:eastAsia="宋体" w:cs="Times New Roman"/>
          <w:color w:val="auto"/>
          <w:highlight w:val="none"/>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14:paraId="73C95177">
      <w:pPr>
        <w:rPr>
          <w:rFonts w:hint="default" w:ascii="Times New Roman" w:hAnsi="Times New Roman" w:eastAsia="宋体" w:cs="Times New Roman"/>
          <w:color w:val="auto"/>
          <w:highlight w:val="none"/>
        </w:rPr>
      </w:pPr>
    </w:p>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Geneva">
    <w:altName w:val="Arial"/>
    <w:panose1 w:val="020B0503030404040204"/>
    <w:charset w:val="00"/>
    <w:family w:val="swiss"/>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CFBC4">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4F7F8">
    <w:pPr>
      <w:pStyle w:val="19"/>
      <w:framePr w:wrap="around" w:vAnchor="text" w:hAnchor="margin" w:xAlign="center" w:y="1"/>
      <w:rPr>
        <w:rStyle w:val="31"/>
      </w:rPr>
    </w:pPr>
    <w:r>
      <w:fldChar w:fldCharType="begin"/>
    </w:r>
    <w:r>
      <w:rPr>
        <w:rStyle w:val="31"/>
      </w:rPr>
      <w:instrText xml:space="preserve">PAGE  </w:instrText>
    </w:r>
    <w:r>
      <w:fldChar w:fldCharType="end"/>
    </w:r>
  </w:p>
  <w:p w14:paraId="01AB1C1A">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36FC9">
    <w:pPr>
      <w:pStyle w:val="19"/>
      <w:tabs>
        <w:tab w:val="right" w:pos="7951"/>
        <w:tab w:val="clear" w:pos="8306"/>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200D9">
    <w:pPr>
      <w:pStyle w:val="19"/>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073E6">
    <w:pPr>
      <w:pStyle w:val="19"/>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EB967">
                          <w:pPr>
                            <w:pStyle w:val="19"/>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Style w:val="31"/>
                              <w:rFonts w:ascii="宋体" w:hAnsi="宋体"/>
                              <w:sz w:val="26"/>
                              <w:szCs w:val="26"/>
                            </w:rPr>
                            <w:fldChar w:fldCharType="begin"/>
                          </w:r>
                          <w:r>
                            <w:rPr>
                              <w:rStyle w:val="31"/>
                              <w:rFonts w:ascii="宋体" w:hAnsi="宋体"/>
                              <w:sz w:val="26"/>
                              <w:szCs w:val="26"/>
                            </w:rPr>
                            <w:instrText xml:space="preserve">PAGE  </w:instrText>
                          </w:r>
                          <w:r>
                            <w:rPr>
                              <w:rStyle w:val="31"/>
                              <w:rFonts w:ascii="宋体" w:hAnsi="宋体"/>
                              <w:sz w:val="26"/>
                              <w:szCs w:val="26"/>
                            </w:rPr>
                            <w:fldChar w:fldCharType="separate"/>
                          </w:r>
                          <w:r>
                            <w:rPr>
                              <w:rStyle w:val="31"/>
                              <w:rFonts w:ascii="宋体" w:hAnsi="宋体"/>
                              <w:sz w:val="26"/>
                              <w:szCs w:val="26"/>
                            </w:rPr>
                            <w:t>9</w:t>
                          </w:r>
                          <w:r>
                            <w:rPr>
                              <w:rStyle w:val="31"/>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1FEB967">
                    <w:pPr>
                      <w:pStyle w:val="19"/>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Style w:val="31"/>
                        <w:rFonts w:ascii="宋体" w:hAnsi="宋体"/>
                        <w:sz w:val="26"/>
                        <w:szCs w:val="26"/>
                      </w:rPr>
                      <w:fldChar w:fldCharType="begin"/>
                    </w:r>
                    <w:r>
                      <w:rPr>
                        <w:rStyle w:val="31"/>
                        <w:rFonts w:ascii="宋体" w:hAnsi="宋体"/>
                        <w:sz w:val="26"/>
                        <w:szCs w:val="26"/>
                      </w:rPr>
                      <w:instrText xml:space="preserve">PAGE  </w:instrText>
                    </w:r>
                    <w:r>
                      <w:rPr>
                        <w:rStyle w:val="31"/>
                        <w:rFonts w:ascii="宋体" w:hAnsi="宋体"/>
                        <w:sz w:val="26"/>
                        <w:szCs w:val="26"/>
                      </w:rPr>
                      <w:fldChar w:fldCharType="separate"/>
                    </w:r>
                    <w:r>
                      <w:rPr>
                        <w:rStyle w:val="31"/>
                        <w:rFonts w:ascii="宋体" w:hAnsi="宋体"/>
                        <w:sz w:val="26"/>
                        <w:szCs w:val="26"/>
                      </w:rPr>
                      <w:t>9</w:t>
                    </w:r>
                    <w:r>
                      <w:rPr>
                        <w:rStyle w:val="31"/>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5EF67">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59"/>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1">
    <w:nsid w:val="670799FE"/>
    <w:multiLevelType w:val="singleLevel"/>
    <w:tmpl w:val="670799FE"/>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172A27"/>
    <w:rsid w:val="0000327F"/>
    <w:rsid w:val="00003504"/>
    <w:rsid w:val="00011781"/>
    <w:rsid w:val="00051995"/>
    <w:rsid w:val="000F6956"/>
    <w:rsid w:val="001463B2"/>
    <w:rsid w:val="001564EE"/>
    <w:rsid w:val="0018274C"/>
    <w:rsid w:val="00195B31"/>
    <w:rsid w:val="001A2B41"/>
    <w:rsid w:val="001C3F5B"/>
    <w:rsid w:val="001C66E0"/>
    <w:rsid w:val="001C68B7"/>
    <w:rsid w:val="00205621"/>
    <w:rsid w:val="00224C7A"/>
    <w:rsid w:val="002D269B"/>
    <w:rsid w:val="002F4511"/>
    <w:rsid w:val="00327CB1"/>
    <w:rsid w:val="00340FEF"/>
    <w:rsid w:val="003462E3"/>
    <w:rsid w:val="003550AC"/>
    <w:rsid w:val="003C28DE"/>
    <w:rsid w:val="003C3010"/>
    <w:rsid w:val="00470694"/>
    <w:rsid w:val="00485657"/>
    <w:rsid w:val="004B56C8"/>
    <w:rsid w:val="004E27C9"/>
    <w:rsid w:val="00551409"/>
    <w:rsid w:val="005667D5"/>
    <w:rsid w:val="005A1467"/>
    <w:rsid w:val="006360BD"/>
    <w:rsid w:val="00661709"/>
    <w:rsid w:val="00675306"/>
    <w:rsid w:val="006A623D"/>
    <w:rsid w:val="006C1441"/>
    <w:rsid w:val="006D6F3B"/>
    <w:rsid w:val="006E177F"/>
    <w:rsid w:val="007A06AC"/>
    <w:rsid w:val="007D6A53"/>
    <w:rsid w:val="007E4E77"/>
    <w:rsid w:val="008039CA"/>
    <w:rsid w:val="00847DE1"/>
    <w:rsid w:val="00884CAE"/>
    <w:rsid w:val="0089189B"/>
    <w:rsid w:val="008E40E1"/>
    <w:rsid w:val="00901D05"/>
    <w:rsid w:val="00980EC9"/>
    <w:rsid w:val="009942CF"/>
    <w:rsid w:val="00A10993"/>
    <w:rsid w:val="00A42CF7"/>
    <w:rsid w:val="00A43F55"/>
    <w:rsid w:val="00A83AD0"/>
    <w:rsid w:val="00A86FB1"/>
    <w:rsid w:val="00A93ED6"/>
    <w:rsid w:val="00B431AC"/>
    <w:rsid w:val="00B52CB1"/>
    <w:rsid w:val="00B62B4D"/>
    <w:rsid w:val="00BA691D"/>
    <w:rsid w:val="00BC458B"/>
    <w:rsid w:val="00BF52BD"/>
    <w:rsid w:val="00BF706B"/>
    <w:rsid w:val="00C747FF"/>
    <w:rsid w:val="00C74E44"/>
    <w:rsid w:val="00C823C4"/>
    <w:rsid w:val="00CA1B74"/>
    <w:rsid w:val="00CB5A10"/>
    <w:rsid w:val="00CD79DA"/>
    <w:rsid w:val="00D06DE1"/>
    <w:rsid w:val="00D23242"/>
    <w:rsid w:val="00D5761F"/>
    <w:rsid w:val="00D91EDB"/>
    <w:rsid w:val="00E6284A"/>
    <w:rsid w:val="00E865C2"/>
    <w:rsid w:val="00EA40E8"/>
    <w:rsid w:val="00EB7E60"/>
    <w:rsid w:val="00ED2A3C"/>
    <w:rsid w:val="00F618B9"/>
    <w:rsid w:val="00F705B3"/>
    <w:rsid w:val="00FF56BA"/>
    <w:rsid w:val="01022F84"/>
    <w:rsid w:val="010A79CD"/>
    <w:rsid w:val="01115B19"/>
    <w:rsid w:val="01167F7D"/>
    <w:rsid w:val="01233A9E"/>
    <w:rsid w:val="01272083"/>
    <w:rsid w:val="012C34B7"/>
    <w:rsid w:val="01347A59"/>
    <w:rsid w:val="0136518B"/>
    <w:rsid w:val="013C246A"/>
    <w:rsid w:val="01422E89"/>
    <w:rsid w:val="01426137"/>
    <w:rsid w:val="01431A4A"/>
    <w:rsid w:val="01431C2E"/>
    <w:rsid w:val="01472C04"/>
    <w:rsid w:val="014F4893"/>
    <w:rsid w:val="015201AD"/>
    <w:rsid w:val="01565C22"/>
    <w:rsid w:val="015919B5"/>
    <w:rsid w:val="015E0632"/>
    <w:rsid w:val="0160084E"/>
    <w:rsid w:val="0163340B"/>
    <w:rsid w:val="01635C49"/>
    <w:rsid w:val="01675B7A"/>
    <w:rsid w:val="016E2F6B"/>
    <w:rsid w:val="017023A7"/>
    <w:rsid w:val="018646FA"/>
    <w:rsid w:val="018C152A"/>
    <w:rsid w:val="01913FB9"/>
    <w:rsid w:val="01940A17"/>
    <w:rsid w:val="019450FA"/>
    <w:rsid w:val="0198234B"/>
    <w:rsid w:val="01991C4C"/>
    <w:rsid w:val="019B4A6A"/>
    <w:rsid w:val="019F706F"/>
    <w:rsid w:val="01A2544F"/>
    <w:rsid w:val="01A37B56"/>
    <w:rsid w:val="01A71FD9"/>
    <w:rsid w:val="01AF1275"/>
    <w:rsid w:val="01B841E6"/>
    <w:rsid w:val="01BE7323"/>
    <w:rsid w:val="01BF37C7"/>
    <w:rsid w:val="01C55106"/>
    <w:rsid w:val="01C74429"/>
    <w:rsid w:val="01CE02A5"/>
    <w:rsid w:val="01CE17B2"/>
    <w:rsid w:val="01CF66BA"/>
    <w:rsid w:val="01D227E9"/>
    <w:rsid w:val="01D51CEF"/>
    <w:rsid w:val="01E07FB3"/>
    <w:rsid w:val="01E274B5"/>
    <w:rsid w:val="01E54191"/>
    <w:rsid w:val="01EA3F2D"/>
    <w:rsid w:val="01EE084F"/>
    <w:rsid w:val="01F013C1"/>
    <w:rsid w:val="01F568EE"/>
    <w:rsid w:val="01F677A7"/>
    <w:rsid w:val="01FE5971"/>
    <w:rsid w:val="01FE6407"/>
    <w:rsid w:val="02004715"/>
    <w:rsid w:val="02007ABC"/>
    <w:rsid w:val="02022C21"/>
    <w:rsid w:val="02023F4B"/>
    <w:rsid w:val="02094A42"/>
    <w:rsid w:val="020D3724"/>
    <w:rsid w:val="02104022"/>
    <w:rsid w:val="02117558"/>
    <w:rsid w:val="02160608"/>
    <w:rsid w:val="021805A0"/>
    <w:rsid w:val="021826DA"/>
    <w:rsid w:val="021F6013"/>
    <w:rsid w:val="022A49B8"/>
    <w:rsid w:val="023000CF"/>
    <w:rsid w:val="02340617"/>
    <w:rsid w:val="0234328A"/>
    <w:rsid w:val="023567F6"/>
    <w:rsid w:val="023831E6"/>
    <w:rsid w:val="023A76F7"/>
    <w:rsid w:val="023F71E1"/>
    <w:rsid w:val="02451926"/>
    <w:rsid w:val="024737BC"/>
    <w:rsid w:val="024A4B13"/>
    <w:rsid w:val="024B0EA1"/>
    <w:rsid w:val="024C35ED"/>
    <w:rsid w:val="024C492F"/>
    <w:rsid w:val="024C63F3"/>
    <w:rsid w:val="024E20A3"/>
    <w:rsid w:val="02503F29"/>
    <w:rsid w:val="0250441F"/>
    <w:rsid w:val="02572D69"/>
    <w:rsid w:val="025816D0"/>
    <w:rsid w:val="025817C9"/>
    <w:rsid w:val="02684AF5"/>
    <w:rsid w:val="02731368"/>
    <w:rsid w:val="027B0375"/>
    <w:rsid w:val="027B5F7F"/>
    <w:rsid w:val="027F4D04"/>
    <w:rsid w:val="02817DCE"/>
    <w:rsid w:val="0284056C"/>
    <w:rsid w:val="02847E36"/>
    <w:rsid w:val="029213A5"/>
    <w:rsid w:val="02955AF6"/>
    <w:rsid w:val="029562D6"/>
    <w:rsid w:val="02984761"/>
    <w:rsid w:val="02A1631F"/>
    <w:rsid w:val="02A53D13"/>
    <w:rsid w:val="02A66735"/>
    <w:rsid w:val="02B50098"/>
    <w:rsid w:val="02B76EA0"/>
    <w:rsid w:val="02C646E1"/>
    <w:rsid w:val="02C72207"/>
    <w:rsid w:val="02C72B82"/>
    <w:rsid w:val="02C92162"/>
    <w:rsid w:val="02CB1CF7"/>
    <w:rsid w:val="02D45050"/>
    <w:rsid w:val="02DC5516"/>
    <w:rsid w:val="02E1776D"/>
    <w:rsid w:val="02E41BD9"/>
    <w:rsid w:val="02F00EFA"/>
    <w:rsid w:val="02FE0651"/>
    <w:rsid w:val="02FF23DD"/>
    <w:rsid w:val="030C6E5A"/>
    <w:rsid w:val="0311291B"/>
    <w:rsid w:val="03153BB5"/>
    <w:rsid w:val="03163D66"/>
    <w:rsid w:val="03172975"/>
    <w:rsid w:val="031B2C7F"/>
    <w:rsid w:val="03277FAD"/>
    <w:rsid w:val="0329344A"/>
    <w:rsid w:val="032E299E"/>
    <w:rsid w:val="033B50CF"/>
    <w:rsid w:val="033C2BF5"/>
    <w:rsid w:val="033F35EC"/>
    <w:rsid w:val="03477077"/>
    <w:rsid w:val="03477A8E"/>
    <w:rsid w:val="034D4E02"/>
    <w:rsid w:val="034E2BCA"/>
    <w:rsid w:val="034E3158"/>
    <w:rsid w:val="03535861"/>
    <w:rsid w:val="03550A4B"/>
    <w:rsid w:val="035703B8"/>
    <w:rsid w:val="03591C06"/>
    <w:rsid w:val="035D1BE7"/>
    <w:rsid w:val="035E2B6B"/>
    <w:rsid w:val="035E4CED"/>
    <w:rsid w:val="036208AE"/>
    <w:rsid w:val="0369757A"/>
    <w:rsid w:val="036F4ACF"/>
    <w:rsid w:val="037272E6"/>
    <w:rsid w:val="037567E0"/>
    <w:rsid w:val="03767EB5"/>
    <w:rsid w:val="03786668"/>
    <w:rsid w:val="037C09BB"/>
    <w:rsid w:val="037E6D7C"/>
    <w:rsid w:val="03824187"/>
    <w:rsid w:val="03870314"/>
    <w:rsid w:val="038A1AFE"/>
    <w:rsid w:val="0391231E"/>
    <w:rsid w:val="03920A67"/>
    <w:rsid w:val="0397607D"/>
    <w:rsid w:val="039A317B"/>
    <w:rsid w:val="039B3DC0"/>
    <w:rsid w:val="039B64CF"/>
    <w:rsid w:val="03A73E08"/>
    <w:rsid w:val="03A92761"/>
    <w:rsid w:val="03AD58A1"/>
    <w:rsid w:val="03AE1559"/>
    <w:rsid w:val="03AF31FD"/>
    <w:rsid w:val="03BE580D"/>
    <w:rsid w:val="03C055D4"/>
    <w:rsid w:val="03C427E7"/>
    <w:rsid w:val="03CA6453"/>
    <w:rsid w:val="03CC21CB"/>
    <w:rsid w:val="03D41080"/>
    <w:rsid w:val="03DF20E6"/>
    <w:rsid w:val="03E47515"/>
    <w:rsid w:val="03E5503B"/>
    <w:rsid w:val="03E84AD5"/>
    <w:rsid w:val="03EA75CC"/>
    <w:rsid w:val="03FB485E"/>
    <w:rsid w:val="03FB660C"/>
    <w:rsid w:val="03FC7FF0"/>
    <w:rsid w:val="03FD436B"/>
    <w:rsid w:val="04070E63"/>
    <w:rsid w:val="040A201A"/>
    <w:rsid w:val="040E11D0"/>
    <w:rsid w:val="040E3AC5"/>
    <w:rsid w:val="04115E30"/>
    <w:rsid w:val="041365C4"/>
    <w:rsid w:val="04172478"/>
    <w:rsid w:val="04180F6C"/>
    <w:rsid w:val="04182BE0"/>
    <w:rsid w:val="04212517"/>
    <w:rsid w:val="042E24FA"/>
    <w:rsid w:val="04337931"/>
    <w:rsid w:val="043A35D9"/>
    <w:rsid w:val="044004C3"/>
    <w:rsid w:val="044048B6"/>
    <w:rsid w:val="04450781"/>
    <w:rsid w:val="04455CBC"/>
    <w:rsid w:val="044E03A3"/>
    <w:rsid w:val="044E2BE0"/>
    <w:rsid w:val="045253A0"/>
    <w:rsid w:val="04532C16"/>
    <w:rsid w:val="045447CF"/>
    <w:rsid w:val="0456591D"/>
    <w:rsid w:val="045B5E83"/>
    <w:rsid w:val="045C2D6E"/>
    <w:rsid w:val="046046D6"/>
    <w:rsid w:val="046E5030"/>
    <w:rsid w:val="047363D2"/>
    <w:rsid w:val="04776088"/>
    <w:rsid w:val="04784101"/>
    <w:rsid w:val="047D48B1"/>
    <w:rsid w:val="047F4146"/>
    <w:rsid w:val="047F797B"/>
    <w:rsid w:val="04864599"/>
    <w:rsid w:val="048C120B"/>
    <w:rsid w:val="048C45E6"/>
    <w:rsid w:val="048F32CE"/>
    <w:rsid w:val="049158F0"/>
    <w:rsid w:val="04932CE9"/>
    <w:rsid w:val="049817D9"/>
    <w:rsid w:val="049D5915"/>
    <w:rsid w:val="049F3A8D"/>
    <w:rsid w:val="04A60661"/>
    <w:rsid w:val="04AE3779"/>
    <w:rsid w:val="04AE464C"/>
    <w:rsid w:val="04B14484"/>
    <w:rsid w:val="04B96318"/>
    <w:rsid w:val="04BC3FEE"/>
    <w:rsid w:val="04C133B2"/>
    <w:rsid w:val="04C335CE"/>
    <w:rsid w:val="04C410F4"/>
    <w:rsid w:val="04CB2483"/>
    <w:rsid w:val="04CB7A9A"/>
    <w:rsid w:val="04CC0EB8"/>
    <w:rsid w:val="04CD6D06"/>
    <w:rsid w:val="04D45A46"/>
    <w:rsid w:val="04DC4690"/>
    <w:rsid w:val="04DF4492"/>
    <w:rsid w:val="04E83035"/>
    <w:rsid w:val="04ED23F9"/>
    <w:rsid w:val="04F35535"/>
    <w:rsid w:val="04F55751"/>
    <w:rsid w:val="04F82B4C"/>
    <w:rsid w:val="05025D14"/>
    <w:rsid w:val="050442C2"/>
    <w:rsid w:val="05045F73"/>
    <w:rsid w:val="0507507E"/>
    <w:rsid w:val="050E1D62"/>
    <w:rsid w:val="051261E1"/>
    <w:rsid w:val="05145A0C"/>
    <w:rsid w:val="05157BA2"/>
    <w:rsid w:val="052102F4"/>
    <w:rsid w:val="052370D3"/>
    <w:rsid w:val="05273155"/>
    <w:rsid w:val="05304471"/>
    <w:rsid w:val="0530678A"/>
    <w:rsid w:val="05330F89"/>
    <w:rsid w:val="053775DF"/>
    <w:rsid w:val="053814B3"/>
    <w:rsid w:val="054377AC"/>
    <w:rsid w:val="05485881"/>
    <w:rsid w:val="05487A70"/>
    <w:rsid w:val="055E2512"/>
    <w:rsid w:val="055E50A5"/>
    <w:rsid w:val="05600E1D"/>
    <w:rsid w:val="056035E3"/>
    <w:rsid w:val="057151B1"/>
    <w:rsid w:val="05720B50"/>
    <w:rsid w:val="05741D36"/>
    <w:rsid w:val="05753A6C"/>
    <w:rsid w:val="0575419C"/>
    <w:rsid w:val="057743B8"/>
    <w:rsid w:val="05796D93"/>
    <w:rsid w:val="057A4A23"/>
    <w:rsid w:val="057E5747"/>
    <w:rsid w:val="05820786"/>
    <w:rsid w:val="05830037"/>
    <w:rsid w:val="05854CE9"/>
    <w:rsid w:val="05894209"/>
    <w:rsid w:val="058F1B1A"/>
    <w:rsid w:val="05972365"/>
    <w:rsid w:val="059C14F5"/>
    <w:rsid w:val="05A23AEA"/>
    <w:rsid w:val="05A32D8D"/>
    <w:rsid w:val="05A607FA"/>
    <w:rsid w:val="05B20F4D"/>
    <w:rsid w:val="05C462C1"/>
    <w:rsid w:val="05CC0260"/>
    <w:rsid w:val="05D9472B"/>
    <w:rsid w:val="05DB3FDB"/>
    <w:rsid w:val="05E774E6"/>
    <w:rsid w:val="05F477B7"/>
    <w:rsid w:val="05FB0B46"/>
    <w:rsid w:val="05FC1F0A"/>
    <w:rsid w:val="05FE0636"/>
    <w:rsid w:val="06025659"/>
    <w:rsid w:val="060856F4"/>
    <w:rsid w:val="06110369"/>
    <w:rsid w:val="06140EA7"/>
    <w:rsid w:val="06147E59"/>
    <w:rsid w:val="06191684"/>
    <w:rsid w:val="061D0ABC"/>
    <w:rsid w:val="061F1B1F"/>
    <w:rsid w:val="062067FE"/>
    <w:rsid w:val="062B6E9A"/>
    <w:rsid w:val="062C6F51"/>
    <w:rsid w:val="062F2FDC"/>
    <w:rsid w:val="06302974"/>
    <w:rsid w:val="06314567"/>
    <w:rsid w:val="06365B68"/>
    <w:rsid w:val="063B7CCA"/>
    <w:rsid w:val="063D2F0C"/>
    <w:rsid w:val="063E50AD"/>
    <w:rsid w:val="064249C6"/>
    <w:rsid w:val="064974F2"/>
    <w:rsid w:val="065344DE"/>
    <w:rsid w:val="06555537"/>
    <w:rsid w:val="065869FD"/>
    <w:rsid w:val="065B0CF6"/>
    <w:rsid w:val="065F4847"/>
    <w:rsid w:val="065F591A"/>
    <w:rsid w:val="066801DD"/>
    <w:rsid w:val="066E1EA3"/>
    <w:rsid w:val="06712BB6"/>
    <w:rsid w:val="067907B9"/>
    <w:rsid w:val="067A04CA"/>
    <w:rsid w:val="067F3525"/>
    <w:rsid w:val="068230B2"/>
    <w:rsid w:val="06867DFC"/>
    <w:rsid w:val="068E5516"/>
    <w:rsid w:val="06915006"/>
    <w:rsid w:val="06947999"/>
    <w:rsid w:val="06952D48"/>
    <w:rsid w:val="069B6A6E"/>
    <w:rsid w:val="069D785C"/>
    <w:rsid w:val="06A0061B"/>
    <w:rsid w:val="06A34A08"/>
    <w:rsid w:val="06B156A8"/>
    <w:rsid w:val="06B7213F"/>
    <w:rsid w:val="06B8009E"/>
    <w:rsid w:val="06BA5030"/>
    <w:rsid w:val="06C2015E"/>
    <w:rsid w:val="06C7630B"/>
    <w:rsid w:val="06CB1FA9"/>
    <w:rsid w:val="06CB676A"/>
    <w:rsid w:val="06CF4373"/>
    <w:rsid w:val="06D373CC"/>
    <w:rsid w:val="06D579A3"/>
    <w:rsid w:val="06D67D46"/>
    <w:rsid w:val="06E53E6F"/>
    <w:rsid w:val="06E64E63"/>
    <w:rsid w:val="06EB0BBA"/>
    <w:rsid w:val="070D0B30"/>
    <w:rsid w:val="070F1E70"/>
    <w:rsid w:val="07172CDD"/>
    <w:rsid w:val="071B32B6"/>
    <w:rsid w:val="07267541"/>
    <w:rsid w:val="07287718"/>
    <w:rsid w:val="072B545A"/>
    <w:rsid w:val="072D59A7"/>
    <w:rsid w:val="07300CC3"/>
    <w:rsid w:val="07310263"/>
    <w:rsid w:val="07331F0C"/>
    <w:rsid w:val="0743707D"/>
    <w:rsid w:val="07455876"/>
    <w:rsid w:val="074A721E"/>
    <w:rsid w:val="074C325F"/>
    <w:rsid w:val="074E2EF7"/>
    <w:rsid w:val="075958CC"/>
    <w:rsid w:val="075A0970"/>
    <w:rsid w:val="075F3ED9"/>
    <w:rsid w:val="07660241"/>
    <w:rsid w:val="076B3AA9"/>
    <w:rsid w:val="076F49C2"/>
    <w:rsid w:val="07724E37"/>
    <w:rsid w:val="0773068B"/>
    <w:rsid w:val="07767EF0"/>
    <w:rsid w:val="077A3CEC"/>
    <w:rsid w:val="077C7D1E"/>
    <w:rsid w:val="077E37DC"/>
    <w:rsid w:val="0782194D"/>
    <w:rsid w:val="07822CFC"/>
    <w:rsid w:val="07852DBD"/>
    <w:rsid w:val="078A7BA9"/>
    <w:rsid w:val="078D7776"/>
    <w:rsid w:val="078F6516"/>
    <w:rsid w:val="078F7797"/>
    <w:rsid w:val="07962866"/>
    <w:rsid w:val="07990119"/>
    <w:rsid w:val="079A5410"/>
    <w:rsid w:val="07A128D4"/>
    <w:rsid w:val="07A1396F"/>
    <w:rsid w:val="07A174CB"/>
    <w:rsid w:val="07A953B1"/>
    <w:rsid w:val="07AF43D8"/>
    <w:rsid w:val="07C25320"/>
    <w:rsid w:val="07C25615"/>
    <w:rsid w:val="07C51949"/>
    <w:rsid w:val="07CC1475"/>
    <w:rsid w:val="07CD62D1"/>
    <w:rsid w:val="07CE1789"/>
    <w:rsid w:val="07D11D20"/>
    <w:rsid w:val="07D4164E"/>
    <w:rsid w:val="07D53CB5"/>
    <w:rsid w:val="07D562C4"/>
    <w:rsid w:val="07DD7326"/>
    <w:rsid w:val="07DE24CD"/>
    <w:rsid w:val="07E777CC"/>
    <w:rsid w:val="07E86EA8"/>
    <w:rsid w:val="07ED2336"/>
    <w:rsid w:val="07ED73AB"/>
    <w:rsid w:val="07F32AD5"/>
    <w:rsid w:val="07FF5DC9"/>
    <w:rsid w:val="0800140A"/>
    <w:rsid w:val="080D0674"/>
    <w:rsid w:val="080E5162"/>
    <w:rsid w:val="08136791"/>
    <w:rsid w:val="081A063F"/>
    <w:rsid w:val="08222A00"/>
    <w:rsid w:val="082425D6"/>
    <w:rsid w:val="082442C2"/>
    <w:rsid w:val="08254FB4"/>
    <w:rsid w:val="082751D4"/>
    <w:rsid w:val="0828199A"/>
    <w:rsid w:val="082B6B8F"/>
    <w:rsid w:val="083420ED"/>
    <w:rsid w:val="08367B67"/>
    <w:rsid w:val="08371AF0"/>
    <w:rsid w:val="08387E2F"/>
    <w:rsid w:val="08393BA7"/>
    <w:rsid w:val="083E11BD"/>
    <w:rsid w:val="08430582"/>
    <w:rsid w:val="084B2EF1"/>
    <w:rsid w:val="084C426E"/>
    <w:rsid w:val="08512C9F"/>
    <w:rsid w:val="08513CCE"/>
    <w:rsid w:val="08517028"/>
    <w:rsid w:val="0858402D"/>
    <w:rsid w:val="08591B53"/>
    <w:rsid w:val="08640C24"/>
    <w:rsid w:val="08644C05"/>
    <w:rsid w:val="08685804"/>
    <w:rsid w:val="08821A3A"/>
    <w:rsid w:val="08852292"/>
    <w:rsid w:val="08874912"/>
    <w:rsid w:val="088E7A4F"/>
    <w:rsid w:val="08932D2D"/>
    <w:rsid w:val="0895702F"/>
    <w:rsid w:val="08981017"/>
    <w:rsid w:val="08986B20"/>
    <w:rsid w:val="089F7EAE"/>
    <w:rsid w:val="08AB6408"/>
    <w:rsid w:val="08B80F70"/>
    <w:rsid w:val="08C16076"/>
    <w:rsid w:val="08CB0CA3"/>
    <w:rsid w:val="08D2511C"/>
    <w:rsid w:val="08D768B3"/>
    <w:rsid w:val="08D77648"/>
    <w:rsid w:val="08DC2B16"/>
    <w:rsid w:val="08E06BFE"/>
    <w:rsid w:val="08E65530"/>
    <w:rsid w:val="08EA1120"/>
    <w:rsid w:val="08EE04EE"/>
    <w:rsid w:val="08F5058B"/>
    <w:rsid w:val="08F655F4"/>
    <w:rsid w:val="08F709BD"/>
    <w:rsid w:val="08FD1DEA"/>
    <w:rsid w:val="08FD31A9"/>
    <w:rsid w:val="09130588"/>
    <w:rsid w:val="091373FC"/>
    <w:rsid w:val="091B682D"/>
    <w:rsid w:val="09206DDD"/>
    <w:rsid w:val="09212671"/>
    <w:rsid w:val="0926412B"/>
    <w:rsid w:val="09364775"/>
    <w:rsid w:val="0941451D"/>
    <w:rsid w:val="09420839"/>
    <w:rsid w:val="09456B33"/>
    <w:rsid w:val="094A557B"/>
    <w:rsid w:val="09510A7C"/>
    <w:rsid w:val="0955726C"/>
    <w:rsid w:val="095A2027"/>
    <w:rsid w:val="095C4F27"/>
    <w:rsid w:val="095C5D9F"/>
    <w:rsid w:val="095F3199"/>
    <w:rsid w:val="09651AB2"/>
    <w:rsid w:val="09672AD3"/>
    <w:rsid w:val="09677874"/>
    <w:rsid w:val="096C40EB"/>
    <w:rsid w:val="096E162E"/>
    <w:rsid w:val="096E75D6"/>
    <w:rsid w:val="097B395C"/>
    <w:rsid w:val="097D3A8E"/>
    <w:rsid w:val="0982226A"/>
    <w:rsid w:val="09824B3E"/>
    <w:rsid w:val="098904FD"/>
    <w:rsid w:val="098C4B5D"/>
    <w:rsid w:val="098E3094"/>
    <w:rsid w:val="09A339CE"/>
    <w:rsid w:val="09AD03A9"/>
    <w:rsid w:val="09B259BF"/>
    <w:rsid w:val="09B41737"/>
    <w:rsid w:val="09B66248"/>
    <w:rsid w:val="09BE4F1A"/>
    <w:rsid w:val="09C33728"/>
    <w:rsid w:val="09C416B1"/>
    <w:rsid w:val="09C70C60"/>
    <w:rsid w:val="09C86F91"/>
    <w:rsid w:val="09CA2E31"/>
    <w:rsid w:val="09CD1F41"/>
    <w:rsid w:val="09CE7ACE"/>
    <w:rsid w:val="09D370FD"/>
    <w:rsid w:val="09D405A0"/>
    <w:rsid w:val="09D5345C"/>
    <w:rsid w:val="09D674F6"/>
    <w:rsid w:val="09DA18A6"/>
    <w:rsid w:val="09EA11A2"/>
    <w:rsid w:val="09EA6F07"/>
    <w:rsid w:val="09EC032D"/>
    <w:rsid w:val="09EF3F4E"/>
    <w:rsid w:val="0A00282E"/>
    <w:rsid w:val="0A081A83"/>
    <w:rsid w:val="0A0B22A6"/>
    <w:rsid w:val="0A0D3EBF"/>
    <w:rsid w:val="0A0E1D58"/>
    <w:rsid w:val="0A0F4281"/>
    <w:rsid w:val="0A1B5312"/>
    <w:rsid w:val="0A1D552E"/>
    <w:rsid w:val="0A1E3ED7"/>
    <w:rsid w:val="0A211B30"/>
    <w:rsid w:val="0A21573F"/>
    <w:rsid w:val="0A2175C7"/>
    <w:rsid w:val="0A261B64"/>
    <w:rsid w:val="0A276E4E"/>
    <w:rsid w:val="0A287A2F"/>
    <w:rsid w:val="0A2C39C3"/>
    <w:rsid w:val="0A2C447B"/>
    <w:rsid w:val="0A3B7763"/>
    <w:rsid w:val="0A3D7FAC"/>
    <w:rsid w:val="0A430D0D"/>
    <w:rsid w:val="0A553B71"/>
    <w:rsid w:val="0A5C592B"/>
    <w:rsid w:val="0A6007AB"/>
    <w:rsid w:val="0A693506"/>
    <w:rsid w:val="0A69398C"/>
    <w:rsid w:val="0A6D7A03"/>
    <w:rsid w:val="0A735943"/>
    <w:rsid w:val="0A792992"/>
    <w:rsid w:val="0A7E6F9F"/>
    <w:rsid w:val="0A866982"/>
    <w:rsid w:val="0A883A89"/>
    <w:rsid w:val="0A892072"/>
    <w:rsid w:val="0A8F5D00"/>
    <w:rsid w:val="0A946A55"/>
    <w:rsid w:val="0A960E3D"/>
    <w:rsid w:val="0A963AAE"/>
    <w:rsid w:val="0A9D4330"/>
    <w:rsid w:val="0A9E5F43"/>
    <w:rsid w:val="0AA277E2"/>
    <w:rsid w:val="0AA27E70"/>
    <w:rsid w:val="0AAC240E"/>
    <w:rsid w:val="0AB13EC9"/>
    <w:rsid w:val="0AB75863"/>
    <w:rsid w:val="0AC22186"/>
    <w:rsid w:val="0AC84057"/>
    <w:rsid w:val="0ACB31DC"/>
    <w:rsid w:val="0ACE0286"/>
    <w:rsid w:val="0ADA14C3"/>
    <w:rsid w:val="0ADA7B75"/>
    <w:rsid w:val="0ADB6EF4"/>
    <w:rsid w:val="0ADD2F10"/>
    <w:rsid w:val="0ADE5D3C"/>
    <w:rsid w:val="0AE36ECE"/>
    <w:rsid w:val="0AEC01AE"/>
    <w:rsid w:val="0AF04AB4"/>
    <w:rsid w:val="0AF26D2D"/>
    <w:rsid w:val="0AF60B31"/>
    <w:rsid w:val="0AF96715"/>
    <w:rsid w:val="0AFA13CC"/>
    <w:rsid w:val="0AFC77D6"/>
    <w:rsid w:val="0B09418A"/>
    <w:rsid w:val="0B112BB9"/>
    <w:rsid w:val="0B187AA4"/>
    <w:rsid w:val="0B1A19B4"/>
    <w:rsid w:val="0B217FC5"/>
    <w:rsid w:val="0B224DC6"/>
    <w:rsid w:val="0B2F5832"/>
    <w:rsid w:val="0B3150EA"/>
    <w:rsid w:val="0B33619E"/>
    <w:rsid w:val="0B3470FC"/>
    <w:rsid w:val="0B3E67C2"/>
    <w:rsid w:val="0B402A57"/>
    <w:rsid w:val="0B41524D"/>
    <w:rsid w:val="0B440899"/>
    <w:rsid w:val="0B45421B"/>
    <w:rsid w:val="0B4B7E79"/>
    <w:rsid w:val="0B4C09C6"/>
    <w:rsid w:val="0B5605CC"/>
    <w:rsid w:val="0B5A5E78"/>
    <w:rsid w:val="0B5B3783"/>
    <w:rsid w:val="0B5C708E"/>
    <w:rsid w:val="0B622A02"/>
    <w:rsid w:val="0B625822"/>
    <w:rsid w:val="0B674CBC"/>
    <w:rsid w:val="0B68565E"/>
    <w:rsid w:val="0B6874E1"/>
    <w:rsid w:val="0B6C50CB"/>
    <w:rsid w:val="0B6D1AC3"/>
    <w:rsid w:val="0B6E19A7"/>
    <w:rsid w:val="0B747091"/>
    <w:rsid w:val="0B7B0B24"/>
    <w:rsid w:val="0B7D1118"/>
    <w:rsid w:val="0B811AED"/>
    <w:rsid w:val="0B8475F4"/>
    <w:rsid w:val="0B851B22"/>
    <w:rsid w:val="0B883F1F"/>
    <w:rsid w:val="0B8B471A"/>
    <w:rsid w:val="0B920E35"/>
    <w:rsid w:val="0B923CFA"/>
    <w:rsid w:val="0B9335CE"/>
    <w:rsid w:val="0B955093"/>
    <w:rsid w:val="0B9A6BA7"/>
    <w:rsid w:val="0B9B77C4"/>
    <w:rsid w:val="0BA23811"/>
    <w:rsid w:val="0BA61553"/>
    <w:rsid w:val="0BAD643E"/>
    <w:rsid w:val="0BBC0D77"/>
    <w:rsid w:val="0BBE064B"/>
    <w:rsid w:val="0BBE4AFD"/>
    <w:rsid w:val="0BC10245"/>
    <w:rsid w:val="0BC2772C"/>
    <w:rsid w:val="0BC714A8"/>
    <w:rsid w:val="0BDC4F58"/>
    <w:rsid w:val="0BE7721F"/>
    <w:rsid w:val="0BED2CDE"/>
    <w:rsid w:val="0BF56E60"/>
    <w:rsid w:val="0C0539DD"/>
    <w:rsid w:val="0C0804DC"/>
    <w:rsid w:val="0C100447"/>
    <w:rsid w:val="0C112AE3"/>
    <w:rsid w:val="0C1A4BEB"/>
    <w:rsid w:val="0C1B4F42"/>
    <w:rsid w:val="0C1D18AA"/>
    <w:rsid w:val="0C2649DF"/>
    <w:rsid w:val="0C276415"/>
    <w:rsid w:val="0C2B475D"/>
    <w:rsid w:val="0C2E6944"/>
    <w:rsid w:val="0C395F24"/>
    <w:rsid w:val="0C3D30AA"/>
    <w:rsid w:val="0C3E178C"/>
    <w:rsid w:val="0C4072B2"/>
    <w:rsid w:val="0C436648"/>
    <w:rsid w:val="0C486239"/>
    <w:rsid w:val="0C4D5E73"/>
    <w:rsid w:val="0C4F44A3"/>
    <w:rsid w:val="0C5456CA"/>
    <w:rsid w:val="0C545836"/>
    <w:rsid w:val="0C5C1C12"/>
    <w:rsid w:val="0C6236CC"/>
    <w:rsid w:val="0C662A91"/>
    <w:rsid w:val="0C6E17A1"/>
    <w:rsid w:val="0C6F16AD"/>
    <w:rsid w:val="0C6F4AEF"/>
    <w:rsid w:val="0C77337C"/>
    <w:rsid w:val="0C7B4A31"/>
    <w:rsid w:val="0C82288B"/>
    <w:rsid w:val="0C831895"/>
    <w:rsid w:val="0C915D60"/>
    <w:rsid w:val="0C9844C2"/>
    <w:rsid w:val="0C9B7F52"/>
    <w:rsid w:val="0C9E435A"/>
    <w:rsid w:val="0CA30FB8"/>
    <w:rsid w:val="0CA43CE5"/>
    <w:rsid w:val="0CB117CE"/>
    <w:rsid w:val="0CB97065"/>
    <w:rsid w:val="0CC25F19"/>
    <w:rsid w:val="0CCC0710"/>
    <w:rsid w:val="0CCC6D98"/>
    <w:rsid w:val="0CDE3470"/>
    <w:rsid w:val="0CE143B2"/>
    <w:rsid w:val="0CEB1914"/>
    <w:rsid w:val="0CEC59FC"/>
    <w:rsid w:val="0CF04ACE"/>
    <w:rsid w:val="0D04428B"/>
    <w:rsid w:val="0D0A343A"/>
    <w:rsid w:val="0D191630"/>
    <w:rsid w:val="0D2546FA"/>
    <w:rsid w:val="0D2C7836"/>
    <w:rsid w:val="0D305D1E"/>
    <w:rsid w:val="0D335069"/>
    <w:rsid w:val="0D364756"/>
    <w:rsid w:val="0D3875BE"/>
    <w:rsid w:val="0D3D7858"/>
    <w:rsid w:val="0D4C612B"/>
    <w:rsid w:val="0D4D0D34"/>
    <w:rsid w:val="0D5137F7"/>
    <w:rsid w:val="0D53257B"/>
    <w:rsid w:val="0D637D73"/>
    <w:rsid w:val="0D643474"/>
    <w:rsid w:val="0D755681"/>
    <w:rsid w:val="0D786F20"/>
    <w:rsid w:val="0D7C4200"/>
    <w:rsid w:val="0D826ACC"/>
    <w:rsid w:val="0D863B28"/>
    <w:rsid w:val="0D960D3E"/>
    <w:rsid w:val="0D984ECC"/>
    <w:rsid w:val="0D99417F"/>
    <w:rsid w:val="0DA254C0"/>
    <w:rsid w:val="0DA47D15"/>
    <w:rsid w:val="0DA675E9"/>
    <w:rsid w:val="0DA837B8"/>
    <w:rsid w:val="0DAC4716"/>
    <w:rsid w:val="0DB31787"/>
    <w:rsid w:val="0DB55A7E"/>
    <w:rsid w:val="0DB81FB0"/>
    <w:rsid w:val="0DB869B0"/>
    <w:rsid w:val="0DBF4B4E"/>
    <w:rsid w:val="0DC21F49"/>
    <w:rsid w:val="0DCD09F0"/>
    <w:rsid w:val="0DCE08EE"/>
    <w:rsid w:val="0DCE4BD6"/>
    <w:rsid w:val="0DD203DE"/>
    <w:rsid w:val="0DDE3227"/>
    <w:rsid w:val="0DE563A5"/>
    <w:rsid w:val="0DE72CCE"/>
    <w:rsid w:val="0DEB63D4"/>
    <w:rsid w:val="0DEF71E2"/>
    <w:rsid w:val="0DF30ACF"/>
    <w:rsid w:val="0DFA16E3"/>
    <w:rsid w:val="0DFF4637"/>
    <w:rsid w:val="0DFF5C3B"/>
    <w:rsid w:val="0E081147"/>
    <w:rsid w:val="0E102753"/>
    <w:rsid w:val="0E1A3B33"/>
    <w:rsid w:val="0E1D1491"/>
    <w:rsid w:val="0E252179"/>
    <w:rsid w:val="0E2823EB"/>
    <w:rsid w:val="0E296834"/>
    <w:rsid w:val="0E296B13"/>
    <w:rsid w:val="0E2F126C"/>
    <w:rsid w:val="0E3C2671"/>
    <w:rsid w:val="0E3F3599"/>
    <w:rsid w:val="0E416B70"/>
    <w:rsid w:val="0E43308A"/>
    <w:rsid w:val="0E467795"/>
    <w:rsid w:val="0E5139F9"/>
    <w:rsid w:val="0E567261"/>
    <w:rsid w:val="0E622FC2"/>
    <w:rsid w:val="0E697251"/>
    <w:rsid w:val="0E6F3E7F"/>
    <w:rsid w:val="0E7F3589"/>
    <w:rsid w:val="0E7F3BA1"/>
    <w:rsid w:val="0E807E3A"/>
    <w:rsid w:val="0E8813E4"/>
    <w:rsid w:val="0E887F44"/>
    <w:rsid w:val="0E894549"/>
    <w:rsid w:val="0E9125B0"/>
    <w:rsid w:val="0E9246B3"/>
    <w:rsid w:val="0E927E61"/>
    <w:rsid w:val="0E971CEC"/>
    <w:rsid w:val="0E9F5015"/>
    <w:rsid w:val="0EA24254"/>
    <w:rsid w:val="0EA72B92"/>
    <w:rsid w:val="0EAD7E75"/>
    <w:rsid w:val="0EB1203F"/>
    <w:rsid w:val="0EB16A5D"/>
    <w:rsid w:val="0EB45D35"/>
    <w:rsid w:val="0EC71F0D"/>
    <w:rsid w:val="0EC97C3C"/>
    <w:rsid w:val="0ECB023C"/>
    <w:rsid w:val="0ED65CAC"/>
    <w:rsid w:val="0ED87BB1"/>
    <w:rsid w:val="0EE20AF5"/>
    <w:rsid w:val="0EE71214"/>
    <w:rsid w:val="0EE7161E"/>
    <w:rsid w:val="0EE7435D"/>
    <w:rsid w:val="0EF20FBD"/>
    <w:rsid w:val="0EF54800"/>
    <w:rsid w:val="0EF83E74"/>
    <w:rsid w:val="0EF86485"/>
    <w:rsid w:val="0EFC6BE3"/>
    <w:rsid w:val="0F076759"/>
    <w:rsid w:val="0F0A3BA7"/>
    <w:rsid w:val="0F114F36"/>
    <w:rsid w:val="0F125BDF"/>
    <w:rsid w:val="0F142919"/>
    <w:rsid w:val="0F1B4006"/>
    <w:rsid w:val="0F1C245B"/>
    <w:rsid w:val="0F234C69"/>
    <w:rsid w:val="0F235324"/>
    <w:rsid w:val="0F2B3E12"/>
    <w:rsid w:val="0F3927D6"/>
    <w:rsid w:val="0F417F9D"/>
    <w:rsid w:val="0F455900"/>
    <w:rsid w:val="0F470958"/>
    <w:rsid w:val="0F4E1581"/>
    <w:rsid w:val="0F597A04"/>
    <w:rsid w:val="0F5A38D7"/>
    <w:rsid w:val="0F611DE9"/>
    <w:rsid w:val="0F6255B7"/>
    <w:rsid w:val="0F625791"/>
    <w:rsid w:val="0F673806"/>
    <w:rsid w:val="0F76123D"/>
    <w:rsid w:val="0F8B118C"/>
    <w:rsid w:val="0F934340"/>
    <w:rsid w:val="0F9A589C"/>
    <w:rsid w:val="0F9B7951"/>
    <w:rsid w:val="0FA50956"/>
    <w:rsid w:val="0FA609CC"/>
    <w:rsid w:val="0FAC3659"/>
    <w:rsid w:val="0FC60E5D"/>
    <w:rsid w:val="0FC77ADA"/>
    <w:rsid w:val="0FD173A3"/>
    <w:rsid w:val="0FD475B7"/>
    <w:rsid w:val="0FED14FF"/>
    <w:rsid w:val="0FED59A3"/>
    <w:rsid w:val="0FEE336B"/>
    <w:rsid w:val="0FF00FEF"/>
    <w:rsid w:val="0FF26075"/>
    <w:rsid w:val="0FF44180"/>
    <w:rsid w:val="0FF7237E"/>
    <w:rsid w:val="0FF860F6"/>
    <w:rsid w:val="0FFA1E6E"/>
    <w:rsid w:val="0FFB7A30"/>
    <w:rsid w:val="0FFC1427"/>
    <w:rsid w:val="100920B1"/>
    <w:rsid w:val="100B1B07"/>
    <w:rsid w:val="100C7359"/>
    <w:rsid w:val="1010343F"/>
    <w:rsid w:val="10142F30"/>
    <w:rsid w:val="10165786"/>
    <w:rsid w:val="1017737C"/>
    <w:rsid w:val="10186CD3"/>
    <w:rsid w:val="101A14F8"/>
    <w:rsid w:val="101E031E"/>
    <w:rsid w:val="10214E0C"/>
    <w:rsid w:val="102443D0"/>
    <w:rsid w:val="10245548"/>
    <w:rsid w:val="102620B7"/>
    <w:rsid w:val="10336795"/>
    <w:rsid w:val="10340523"/>
    <w:rsid w:val="10347536"/>
    <w:rsid w:val="103D0BA2"/>
    <w:rsid w:val="103E48B7"/>
    <w:rsid w:val="103F5C65"/>
    <w:rsid w:val="10414F72"/>
    <w:rsid w:val="104C1361"/>
    <w:rsid w:val="104D4694"/>
    <w:rsid w:val="10513F15"/>
    <w:rsid w:val="105416B0"/>
    <w:rsid w:val="10556DBB"/>
    <w:rsid w:val="10595FBD"/>
    <w:rsid w:val="105C0433"/>
    <w:rsid w:val="105C33D3"/>
    <w:rsid w:val="105E23FD"/>
    <w:rsid w:val="106122C9"/>
    <w:rsid w:val="1067038F"/>
    <w:rsid w:val="106F1015"/>
    <w:rsid w:val="106F63B8"/>
    <w:rsid w:val="107533FF"/>
    <w:rsid w:val="10817E99"/>
    <w:rsid w:val="10881C14"/>
    <w:rsid w:val="108F08F2"/>
    <w:rsid w:val="10953945"/>
    <w:rsid w:val="1096761C"/>
    <w:rsid w:val="109951E3"/>
    <w:rsid w:val="10A2678D"/>
    <w:rsid w:val="10A5614F"/>
    <w:rsid w:val="10AC13BA"/>
    <w:rsid w:val="10AE1D05"/>
    <w:rsid w:val="10B71725"/>
    <w:rsid w:val="10B91E62"/>
    <w:rsid w:val="10BE10ED"/>
    <w:rsid w:val="10BE1BE7"/>
    <w:rsid w:val="10C85AC8"/>
    <w:rsid w:val="10CF3F1B"/>
    <w:rsid w:val="10D31FAC"/>
    <w:rsid w:val="10D32DF6"/>
    <w:rsid w:val="10D70330"/>
    <w:rsid w:val="10D91A83"/>
    <w:rsid w:val="10D97CD5"/>
    <w:rsid w:val="10DD253A"/>
    <w:rsid w:val="10DD419A"/>
    <w:rsid w:val="10E16EA2"/>
    <w:rsid w:val="10E32902"/>
    <w:rsid w:val="10F93234"/>
    <w:rsid w:val="10FA431D"/>
    <w:rsid w:val="10FC6398"/>
    <w:rsid w:val="11003900"/>
    <w:rsid w:val="110814DB"/>
    <w:rsid w:val="110B7891"/>
    <w:rsid w:val="111C3A3A"/>
    <w:rsid w:val="111D1A3C"/>
    <w:rsid w:val="111D7BC2"/>
    <w:rsid w:val="11206FB7"/>
    <w:rsid w:val="112076B2"/>
    <w:rsid w:val="11210869"/>
    <w:rsid w:val="11287AF5"/>
    <w:rsid w:val="112D6274"/>
    <w:rsid w:val="113A2B5E"/>
    <w:rsid w:val="113C1898"/>
    <w:rsid w:val="113E3FDC"/>
    <w:rsid w:val="113F4FF3"/>
    <w:rsid w:val="114F2D0E"/>
    <w:rsid w:val="11543643"/>
    <w:rsid w:val="115B3BDC"/>
    <w:rsid w:val="115B4B8E"/>
    <w:rsid w:val="115D4462"/>
    <w:rsid w:val="116577BB"/>
    <w:rsid w:val="116D5A9A"/>
    <w:rsid w:val="116D6B65"/>
    <w:rsid w:val="116E08C0"/>
    <w:rsid w:val="1170063A"/>
    <w:rsid w:val="117143B2"/>
    <w:rsid w:val="11763776"/>
    <w:rsid w:val="1178642B"/>
    <w:rsid w:val="11813B96"/>
    <w:rsid w:val="11867876"/>
    <w:rsid w:val="118A31F7"/>
    <w:rsid w:val="118E1F67"/>
    <w:rsid w:val="119074D8"/>
    <w:rsid w:val="11924EB2"/>
    <w:rsid w:val="1194344E"/>
    <w:rsid w:val="119500A0"/>
    <w:rsid w:val="119B4D4D"/>
    <w:rsid w:val="119D0D03"/>
    <w:rsid w:val="11A16A45"/>
    <w:rsid w:val="11AE2F4A"/>
    <w:rsid w:val="11C412E0"/>
    <w:rsid w:val="11CB047A"/>
    <w:rsid w:val="11D0273B"/>
    <w:rsid w:val="11D02A87"/>
    <w:rsid w:val="11D0732A"/>
    <w:rsid w:val="11D23F92"/>
    <w:rsid w:val="11D34725"/>
    <w:rsid w:val="11D86EAE"/>
    <w:rsid w:val="11DC2C5C"/>
    <w:rsid w:val="11E1766F"/>
    <w:rsid w:val="11E22BBA"/>
    <w:rsid w:val="11E64B3D"/>
    <w:rsid w:val="11E74565"/>
    <w:rsid w:val="11E9616D"/>
    <w:rsid w:val="11EA4DE7"/>
    <w:rsid w:val="11EB41F5"/>
    <w:rsid w:val="11EE643E"/>
    <w:rsid w:val="11EE77B0"/>
    <w:rsid w:val="11EF60BB"/>
    <w:rsid w:val="11F62EE9"/>
    <w:rsid w:val="11F8645F"/>
    <w:rsid w:val="11F86D77"/>
    <w:rsid w:val="12045226"/>
    <w:rsid w:val="12095A3E"/>
    <w:rsid w:val="120D35E2"/>
    <w:rsid w:val="1212349F"/>
    <w:rsid w:val="121355DB"/>
    <w:rsid w:val="121454E1"/>
    <w:rsid w:val="1218482D"/>
    <w:rsid w:val="12210E7B"/>
    <w:rsid w:val="122338FE"/>
    <w:rsid w:val="1223727C"/>
    <w:rsid w:val="1226659C"/>
    <w:rsid w:val="122753E4"/>
    <w:rsid w:val="122B4561"/>
    <w:rsid w:val="122D0061"/>
    <w:rsid w:val="122E0BB8"/>
    <w:rsid w:val="122F4A2F"/>
    <w:rsid w:val="122F6D00"/>
    <w:rsid w:val="123155A1"/>
    <w:rsid w:val="123A3DC3"/>
    <w:rsid w:val="1245309B"/>
    <w:rsid w:val="1246311B"/>
    <w:rsid w:val="12473D7F"/>
    <w:rsid w:val="124D2729"/>
    <w:rsid w:val="124F7E6D"/>
    <w:rsid w:val="12502B3F"/>
    <w:rsid w:val="125062A1"/>
    <w:rsid w:val="125C38BD"/>
    <w:rsid w:val="12602626"/>
    <w:rsid w:val="12624652"/>
    <w:rsid w:val="12631CF8"/>
    <w:rsid w:val="126343B4"/>
    <w:rsid w:val="12635AA8"/>
    <w:rsid w:val="12664815"/>
    <w:rsid w:val="126C4B0A"/>
    <w:rsid w:val="127D6304"/>
    <w:rsid w:val="128123D2"/>
    <w:rsid w:val="12825B19"/>
    <w:rsid w:val="128C0640"/>
    <w:rsid w:val="1292709E"/>
    <w:rsid w:val="12960CDE"/>
    <w:rsid w:val="129C6349"/>
    <w:rsid w:val="129E34BA"/>
    <w:rsid w:val="12A41614"/>
    <w:rsid w:val="12AD0AE8"/>
    <w:rsid w:val="12B46304"/>
    <w:rsid w:val="12B64C5E"/>
    <w:rsid w:val="12C32D62"/>
    <w:rsid w:val="12C7072D"/>
    <w:rsid w:val="12CB4732"/>
    <w:rsid w:val="12D44BF8"/>
    <w:rsid w:val="12D5073B"/>
    <w:rsid w:val="12D75CEB"/>
    <w:rsid w:val="12D83555"/>
    <w:rsid w:val="12E43DCF"/>
    <w:rsid w:val="12E806A4"/>
    <w:rsid w:val="12EC0194"/>
    <w:rsid w:val="12ED15CB"/>
    <w:rsid w:val="12F02E71"/>
    <w:rsid w:val="12F2272F"/>
    <w:rsid w:val="12F40DF6"/>
    <w:rsid w:val="12FA4174"/>
    <w:rsid w:val="12FA57FD"/>
    <w:rsid w:val="12FD550C"/>
    <w:rsid w:val="12FE16DE"/>
    <w:rsid w:val="12FE6C66"/>
    <w:rsid w:val="130519AD"/>
    <w:rsid w:val="13076E22"/>
    <w:rsid w:val="13086650"/>
    <w:rsid w:val="130A5FB9"/>
    <w:rsid w:val="13117BFA"/>
    <w:rsid w:val="131903B2"/>
    <w:rsid w:val="131B3BB9"/>
    <w:rsid w:val="131F5B97"/>
    <w:rsid w:val="132B25B1"/>
    <w:rsid w:val="13394A5B"/>
    <w:rsid w:val="133B516B"/>
    <w:rsid w:val="133E0FD8"/>
    <w:rsid w:val="13410F31"/>
    <w:rsid w:val="13426E05"/>
    <w:rsid w:val="134372EB"/>
    <w:rsid w:val="13453400"/>
    <w:rsid w:val="134D5F2A"/>
    <w:rsid w:val="134E648D"/>
    <w:rsid w:val="134F0723"/>
    <w:rsid w:val="13672EF2"/>
    <w:rsid w:val="13695C36"/>
    <w:rsid w:val="136C704E"/>
    <w:rsid w:val="13710699"/>
    <w:rsid w:val="13733397"/>
    <w:rsid w:val="13767056"/>
    <w:rsid w:val="137C6A85"/>
    <w:rsid w:val="137D703E"/>
    <w:rsid w:val="1382238D"/>
    <w:rsid w:val="13975FCE"/>
    <w:rsid w:val="139A439A"/>
    <w:rsid w:val="139C03FB"/>
    <w:rsid w:val="13A35FA2"/>
    <w:rsid w:val="13AA5959"/>
    <w:rsid w:val="13AC16D1"/>
    <w:rsid w:val="13B50586"/>
    <w:rsid w:val="13BE2E63"/>
    <w:rsid w:val="13BE63AE"/>
    <w:rsid w:val="13BF1404"/>
    <w:rsid w:val="13C54441"/>
    <w:rsid w:val="13C82D78"/>
    <w:rsid w:val="13C87727"/>
    <w:rsid w:val="13D529D6"/>
    <w:rsid w:val="13D53B45"/>
    <w:rsid w:val="13DF6E73"/>
    <w:rsid w:val="13E1581F"/>
    <w:rsid w:val="13E175CD"/>
    <w:rsid w:val="13E62E35"/>
    <w:rsid w:val="13F1593A"/>
    <w:rsid w:val="13F310AE"/>
    <w:rsid w:val="13F75BCF"/>
    <w:rsid w:val="13FA068E"/>
    <w:rsid w:val="13FD404E"/>
    <w:rsid w:val="13FD4129"/>
    <w:rsid w:val="140339E5"/>
    <w:rsid w:val="14067033"/>
    <w:rsid w:val="14092680"/>
    <w:rsid w:val="140C53F0"/>
    <w:rsid w:val="141334FE"/>
    <w:rsid w:val="142A6E60"/>
    <w:rsid w:val="142B6A9A"/>
    <w:rsid w:val="142F527C"/>
    <w:rsid w:val="14312C07"/>
    <w:rsid w:val="1434290B"/>
    <w:rsid w:val="14357918"/>
    <w:rsid w:val="14362BD1"/>
    <w:rsid w:val="143F2545"/>
    <w:rsid w:val="143F5FAA"/>
    <w:rsid w:val="14465682"/>
    <w:rsid w:val="144B0EEA"/>
    <w:rsid w:val="144B713C"/>
    <w:rsid w:val="144D6A10"/>
    <w:rsid w:val="144F3ACE"/>
    <w:rsid w:val="14524026"/>
    <w:rsid w:val="1454727D"/>
    <w:rsid w:val="14553B17"/>
    <w:rsid w:val="145B12A4"/>
    <w:rsid w:val="145D1643"/>
    <w:rsid w:val="145E16ED"/>
    <w:rsid w:val="14643D5A"/>
    <w:rsid w:val="14644BBB"/>
    <w:rsid w:val="146E298D"/>
    <w:rsid w:val="1477078D"/>
    <w:rsid w:val="147F2942"/>
    <w:rsid w:val="1480655B"/>
    <w:rsid w:val="14812B5E"/>
    <w:rsid w:val="14814687"/>
    <w:rsid w:val="14824041"/>
    <w:rsid w:val="14830684"/>
    <w:rsid w:val="14832432"/>
    <w:rsid w:val="148461AA"/>
    <w:rsid w:val="14866E4C"/>
    <w:rsid w:val="148E6A4C"/>
    <w:rsid w:val="14900C51"/>
    <w:rsid w:val="149503B7"/>
    <w:rsid w:val="14952165"/>
    <w:rsid w:val="14961874"/>
    <w:rsid w:val="14991DEC"/>
    <w:rsid w:val="149B517D"/>
    <w:rsid w:val="149E655B"/>
    <w:rsid w:val="14A47B8A"/>
    <w:rsid w:val="14A66120"/>
    <w:rsid w:val="14AC7060"/>
    <w:rsid w:val="14B106F3"/>
    <w:rsid w:val="14B167FF"/>
    <w:rsid w:val="14B24AC5"/>
    <w:rsid w:val="14B75363"/>
    <w:rsid w:val="14B97F64"/>
    <w:rsid w:val="14BD65D4"/>
    <w:rsid w:val="14C34F24"/>
    <w:rsid w:val="14CA62B3"/>
    <w:rsid w:val="14CE3295"/>
    <w:rsid w:val="14D16651"/>
    <w:rsid w:val="14D20389"/>
    <w:rsid w:val="14D26F15"/>
    <w:rsid w:val="14D427D3"/>
    <w:rsid w:val="14D42C8D"/>
    <w:rsid w:val="14DC5FE6"/>
    <w:rsid w:val="14DE58BA"/>
    <w:rsid w:val="14DE617B"/>
    <w:rsid w:val="14DF3D48"/>
    <w:rsid w:val="14E05B4D"/>
    <w:rsid w:val="14E338A7"/>
    <w:rsid w:val="14EA24B1"/>
    <w:rsid w:val="14EA2C7F"/>
    <w:rsid w:val="14EE16F7"/>
    <w:rsid w:val="14EF1875"/>
    <w:rsid w:val="14FC3F92"/>
    <w:rsid w:val="14FE41AE"/>
    <w:rsid w:val="14FF5357"/>
    <w:rsid w:val="15127C5A"/>
    <w:rsid w:val="151C63E2"/>
    <w:rsid w:val="151E65FF"/>
    <w:rsid w:val="15202377"/>
    <w:rsid w:val="15267BD5"/>
    <w:rsid w:val="1527568C"/>
    <w:rsid w:val="152C56B4"/>
    <w:rsid w:val="1532259A"/>
    <w:rsid w:val="15334D63"/>
    <w:rsid w:val="153631E5"/>
    <w:rsid w:val="153E1664"/>
    <w:rsid w:val="15435C00"/>
    <w:rsid w:val="15451DDD"/>
    <w:rsid w:val="1546345F"/>
    <w:rsid w:val="154933A9"/>
    <w:rsid w:val="155073CC"/>
    <w:rsid w:val="1552003B"/>
    <w:rsid w:val="155C16B2"/>
    <w:rsid w:val="155E4A4F"/>
    <w:rsid w:val="15681628"/>
    <w:rsid w:val="156B33CA"/>
    <w:rsid w:val="156D5CF6"/>
    <w:rsid w:val="156E2000"/>
    <w:rsid w:val="156E30E2"/>
    <w:rsid w:val="157A747A"/>
    <w:rsid w:val="15806971"/>
    <w:rsid w:val="159259DB"/>
    <w:rsid w:val="15932B49"/>
    <w:rsid w:val="15973CBB"/>
    <w:rsid w:val="159B12DE"/>
    <w:rsid w:val="159B19FD"/>
    <w:rsid w:val="159D1D5D"/>
    <w:rsid w:val="159D5775"/>
    <w:rsid w:val="159E329B"/>
    <w:rsid w:val="15A02B70"/>
    <w:rsid w:val="15A713DA"/>
    <w:rsid w:val="15A72150"/>
    <w:rsid w:val="15AE7982"/>
    <w:rsid w:val="15B33262"/>
    <w:rsid w:val="15BD1C48"/>
    <w:rsid w:val="15BD4731"/>
    <w:rsid w:val="15BE749A"/>
    <w:rsid w:val="15C33CB3"/>
    <w:rsid w:val="15CC1BB7"/>
    <w:rsid w:val="15CC6AEE"/>
    <w:rsid w:val="15D05B4B"/>
    <w:rsid w:val="15D13671"/>
    <w:rsid w:val="15D1541F"/>
    <w:rsid w:val="15D2312F"/>
    <w:rsid w:val="15D46CBD"/>
    <w:rsid w:val="15DA1140"/>
    <w:rsid w:val="15DB268D"/>
    <w:rsid w:val="15DE18EA"/>
    <w:rsid w:val="15DF44BE"/>
    <w:rsid w:val="15E909BB"/>
    <w:rsid w:val="15EE1307"/>
    <w:rsid w:val="15F630D7"/>
    <w:rsid w:val="15F967B3"/>
    <w:rsid w:val="15FA5942"/>
    <w:rsid w:val="15FF3D3A"/>
    <w:rsid w:val="16003FC0"/>
    <w:rsid w:val="16011215"/>
    <w:rsid w:val="160457F4"/>
    <w:rsid w:val="16081C1B"/>
    <w:rsid w:val="16090D0A"/>
    <w:rsid w:val="160D0296"/>
    <w:rsid w:val="160F1472"/>
    <w:rsid w:val="16140DEE"/>
    <w:rsid w:val="16196CEE"/>
    <w:rsid w:val="161D1B33"/>
    <w:rsid w:val="1622065F"/>
    <w:rsid w:val="16227A29"/>
    <w:rsid w:val="162E6FEA"/>
    <w:rsid w:val="16306CB5"/>
    <w:rsid w:val="163634D4"/>
    <w:rsid w:val="163934C9"/>
    <w:rsid w:val="16394604"/>
    <w:rsid w:val="163B0AEA"/>
    <w:rsid w:val="163B747F"/>
    <w:rsid w:val="163B7F84"/>
    <w:rsid w:val="163E47A2"/>
    <w:rsid w:val="1642631D"/>
    <w:rsid w:val="164B51D1"/>
    <w:rsid w:val="164C2CF7"/>
    <w:rsid w:val="164F7A9C"/>
    <w:rsid w:val="16512C66"/>
    <w:rsid w:val="16534C52"/>
    <w:rsid w:val="16610EFD"/>
    <w:rsid w:val="1666781F"/>
    <w:rsid w:val="16670DD7"/>
    <w:rsid w:val="16677B31"/>
    <w:rsid w:val="16734728"/>
    <w:rsid w:val="167A5311"/>
    <w:rsid w:val="167B0147"/>
    <w:rsid w:val="167B4357"/>
    <w:rsid w:val="168411C4"/>
    <w:rsid w:val="16846935"/>
    <w:rsid w:val="168C2EEF"/>
    <w:rsid w:val="168E1562"/>
    <w:rsid w:val="16933115"/>
    <w:rsid w:val="16952937"/>
    <w:rsid w:val="16970417"/>
    <w:rsid w:val="169D3553"/>
    <w:rsid w:val="16A65CAE"/>
    <w:rsid w:val="16AE0DEC"/>
    <w:rsid w:val="16B30AE1"/>
    <w:rsid w:val="16B34B25"/>
    <w:rsid w:val="16B70AB9"/>
    <w:rsid w:val="16BA4105"/>
    <w:rsid w:val="16BD5CDA"/>
    <w:rsid w:val="16BE69CE"/>
    <w:rsid w:val="16BF4524"/>
    <w:rsid w:val="16CC39B3"/>
    <w:rsid w:val="16CE3958"/>
    <w:rsid w:val="16D03928"/>
    <w:rsid w:val="16D8458B"/>
    <w:rsid w:val="16D97DC7"/>
    <w:rsid w:val="16E3365C"/>
    <w:rsid w:val="16EC492F"/>
    <w:rsid w:val="16FF1700"/>
    <w:rsid w:val="1701083D"/>
    <w:rsid w:val="170361BD"/>
    <w:rsid w:val="17054D2D"/>
    <w:rsid w:val="17070D4E"/>
    <w:rsid w:val="170878B8"/>
    <w:rsid w:val="170A3EF4"/>
    <w:rsid w:val="170D2487"/>
    <w:rsid w:val="17125CEF"/>
    <w:rsid w:val="171409F8"/>
    <w:rsid w:val="17151105"/>
    <w:rsid w:val="171B2960"/>
    <w:rsid w:val="17211B5D"/>
    <w:rsid w:val="17285513"/>
    <w:rsid w:val="172872C1"/>
    <w:rsid w:val="172D0D7B"/>
    <w:rsid w:val="173A0E4F"/>
    <w:rsid w:val="173B5246"/>
    <w:rsid w:val="173D68BB"/>
    <w:rsid w:val="17431887"/>
    <w:rsid w:val="17481711"/>
    <w:rsid w:val="17481C73"/>
    <w:rsid w:val="174836DA"/>
    <w:rsid w:val="174F0CF1"/>
    <w:rsid w:val="175207E1"/>
    <w:rsid w:val="17684793"/>
    <w:rsid w:val="176B58AB"/>
    <w:rsid w:val="176C2290"/>
    <w:rsid w:val="176D1177"/>
    <w:rsid w:val="177845C9"/>
    <w:rsid w:val="177D585E"/>
    <w:rsid w:val="178845AC"/>
    <w:rsid w:val="178D1819"/>
    <w:rsid w:val="178F2125"/>
    <w:rsid w:val="17914E66"/>
    <w:rsid w:val="17917D74"/>
    <w:rsid w:val="1792505A"/>
    <w:rsid w:val="17950011"/>
    <w:rsid w:val="17966920"/>
    <w:rsid w:val="179761F4"/>
    <w:rsid w:val="17A10E21"/>
    <w:rsid w:val="17A82770"/>
    <w:rsid w:val="17A85737"/>
    <w:rsid w:val="17B15700"/>
    <w:rsid w:val="17B814A8"/>
    <w:rsid w:val="17BE4C81"/>
    <w:rsid w:val="17BF6981"/>
    <w:rsid w:val="17CA0378"/>
    <w:rsid w:val="17CD3D2B"/>
    <w:rsid w:val="17E170AC"/>
    <w:rsid w:val="17E23913"/>
    <w:rsid w:val="17E51656"/>
    <w:rsid w:val="17EA27C8"/>
    <w:rsid w:val="17F03046"/>
    <w:rsid w:val="17F329A6"/>
    <w:rsid w:val="17FE06E4"/>
    <w:rsid w:val="180D4E89"/>
    <w:rsid w:val="181602D3"/>
    <w:rsid w:val="18161D69"/>
    <w:rsid w:val="181A3234"/>
    <w:rsid w:val="181B0BD3"/>
    <w:rsid w:val="182C4B26"/>
    <w:rsid w:val="182D1850"/>
    <w:rsid w:val="182E4DAB"/>
    <w:rsid w:val="18300B23"/>
    <w:rsid w:val="183103F7"/>
    <w:rsid w:val="183D4058"/>
    <w:rsid w:val="184229CE"/>
    <w:rsid w:val="184C6FDF"/>
    <w:rsid w:val="1853036D"/>
    <w:rsid w:val="18561C0B"/>
    <w:rsid w:val="18577262"/>
    <w:rsid w:val="185D2F9A"/>
    <w:rsid w:val="186913B9"/>
    <w:rsid w:val="186F1A5A"/>
    <w:rsid w:val="18722EE9"/>
    <w:rsid w:val="1873638B"/>
    <w:rsid w:val="18795D58"/>
    <w:rsid w:val="18836BCC"/>
    <w:rsid w:val="189B5D97"/>
    <w:rsid w:val="18A14754"/>
    <w:rsid w:val="18A32892"/>
    <w:rsid w:val="18A3540F"/>
    <w:rsid w:val="18A70562"/>
    <w:rsid w:val="18AF6EC4"/>
    <w:rsid w:val="18B31A70"/>
    <w:rsid w:val="18BB355D"/>
    <w:rsid w:val="18BF2174"/>
    <w:rsid w:val="18BF5A03"/>
    <w:rsid w:val="18C536A3"/>
    <w:rsid w:val="18CB084B"/>
    <w:rsid w:val="18CC4843"/>
    <w:rsid w:val="18D442CB"/>
    <w:rsid w:val="18D71994"/>
    <w:rsid w:val="18D71DD8"/>
    <w:rsid w:val="18DB7BBC"/>
    <w:rsid w:val="18DF0831"/>
    <w:rsid w:val="18E216F1"/>
    <w:rsid w:val="18E322BF"/>
    <w:rsid w:val="18E6204F"/>
    <w:rsid w:val="18E77701"/>
    <w:rsid w:val="18F5280B"/>
    <w:rsid w:val="18F6353B"/>
    <w:rsid w:val="190340F9"/>
    <w:rsid w:val="190568F9"/>
    <w:rsid w:val="190569DB"/>
    <w:rsid w:val="190B40FE"/>
    <w:rsid w:val="19107413"/>
    <w:rsid w:val="19124F6A"/>
    <w:rsid w:val="191B532F"/>
    <w:rsid w:val="191D4CB5"/>
    <w:rsid w:val="19235F91"/>
    <w:rsid w:val="19242A1C"/>
    <w:rsid w:val="1926210D"/>
    <w:rsid w:val="19265A82"/>
    <w:rsid w:val="19313AE7"/>
    <w:rsid w:val="1936518C"/>
    <w:rsid w:val="193D1C1D"/>
    <w:rsid w:val="193E726F"/>
    <w:rsid w:val="194175B6"/>
    <w:rsid w:val="194C2307"/>
    <w:rsid w:val="194D37D0"/>
    <w:rsid w:val="195754C6"/>
    <w:rsid w:val="19595E57"/>
    <w:rsid w:val="19596F19"/>
    <w:rsid w:val="19597DE9"/>
    <w:rsid w:val="197174BD"/>
    <w:rsid w:val="19720CC7"/>
    <w:rsid w:val="197607B7"/>
    <w:rsid w:val="19831126"/>
    <w:rsid w:val="198765D2"/>
    <w:rsid w:val="19880B1B"/>
    <w:rsid w:val="1988673C"/>
    <w:rsid w:val="1991739F"/>
    <w:rsid w:val="199364A5"/>
    <w:rsid w:val="19A25A77"/>
    <w:rsid w:val="19A861C3"/>
    <w:rsid w:val="19AD1CFF"/>
    <w:rsid w:val="19AF1F1B"/>
    <w:rsid w:val="19B133AF"/>
    <w:rsid w:val="19B17A0A"/>
    <w:rsid w:val="19BA156E"/>
    <w:rsid w:val="19BE6530"/>
    <w:rsid w:val="19BF7DF9"/>
    <w:rsid w:val="19C73E97"/>
    <w:rsid w:val="19C92E63"/>
    <w:rsid w:val="19C960C9"/>
    <w:rsid w:val="19C968E8"/>
    <w:rsid w:val="19CE05F3"/>
    <w:rsid w:val="19CF5B13"/>
    <w:rsid w:val="19E020D4"/>
    <w:rsid w:val="19E81B41"/>
    <w:rsid w:val="19E90135"/>
    <w:rsid w:val="19E971DB"/>
    <w:rsid w:val="19EC6CCB"/>
    <w:rsid w:val="19F077E8"/>
    <w:rsid w:val="19F25842"/>
    <w:rsid w:val="19FA0027"/>
    <w:rsid w:val="19FA0392"/>
    <w:rsid w:val="19FC385E"/>
    <w:rsid w:val="19FE7678"/>
    <w:rsid w:val="1A0011D4"/>
    <w:rsid w:val="1A014D68"/>
    <w:rsid w:val="1A027FFC"/>
    <w:rsid w:val="1A037B5A"/>
    <w:rsid w:val="1A0538E9"/>
    <w:rsid w:val="1A0E09F0"/>
    <w:rsid w:val="1A122BC9"/>
    <w:rsid w:val="1A18186E"/>
    <w:rsid w:val="1A2361DE"/>
    <w:rsid w:val="1A296538"/>
    <w:rsid w:val="1A2D1CA6"/>
    <w:rsid w:val="1A3174C7"/>
    <w:rsid w:val="1A35316E"/>
    <w:rsid w:val="1A383F32"/>
    <w:rsid w:val="1A3C6868"/>
    <w:rsid w:val="1A3F504D"/>
    <w:rsid w:val="1A4077C6"/>
    <w:rsid w:val="1A424B3D"/>
    <w:rsid w:val="1A4408B5"/>
    <w:rsid w:val="1A48078E"/>
    <w:rsid w:val="1A4A7EC5"/>
    <w:rsid w:val="1A4F2DB6"/>
    <w:rsid w:val="1A50725A"/>
    <w:rsid w:val="1A5328A6"/>
    <w:rsid w:val="1A5D0811"/>
    <w:rsid w:val="1A5E4598"/>
    <w:rsid w:val="1A696AC4"/>
    <w:rsid w:val="1A6A64BE"/>
    <w:rsid w:val="1A6E2201"/>
    <w:rsid w:val="1A7353E6"/>
    <w:rsid w:val="1A741638"/>
    <w:rsid w:val="1A7867B1"/>
    <w:rsid w:val="1A7A7E33"/>
    <w:rsid w:val="1A7D3DC7"/>
    <w:rsid w:val="1A8326B7"/>
    <w:rsid w:val="1A845156"/>
    <w:rsid w:val="1A8470D5"/>
    <w:rsid w:val="1A867F89"/>
    <w:rsid w:val="1A8A0CDA"/>
    <w:rsid w:val="1A906823"/>
    <w:rsid w:val="1A9B025F"/>
    <w:rsid w:val="1A9B10DB"/>
    <w:rsid w:val="1A9F45BD"/>
    <w:rsid w:val="1AA107CB"/>
    <w:rsid w:val="1AAC1D72"/>
    <w:rsid w:val="1AAD228C"/>
    <w:rsid w:val="1AB943B7"/>
    <w:rsid w:val="1ABC2CB0"/>
    <w:rsid w:val="1AC90407"/>
    <w:rsid w:val="1ACD08AB"/>
    <w:rsid w:val="1ADB6BF8"/>
    <w:rsid w:val="1AE53362"/>
    <w:rsid w:val="1AEE0ED0"/>
    <w:rsid w:val="1B110E54"/>
    <w:rsid w:val="1B1418BE"/>
    <w:rsid w:val="1B157B5C"/>
    <w:rsid w:val="1B18370C"/>
    <w:rsid w:val="1B1F59AD"/>
    <w:rsid w:val="1B251795"/>
    <w:rsid w:val="1B261D69"/>
    <w:rsid w:val="1B293607"/>
    <w:rsid w:val="1B2E3605"/>
    <w:rsid w:val="1B300E3A"/>
    <w:rsid w:val="1B37102B"/>
    <w:rsid w:val="1B4F270F"/>
    <w:rsid w:val="1B506DE6"/>
    <w:rsid w:val="1B514272"/>
    <w:rsid w:val="1B590390"/>
    <w:rsid w:val="1B59213E"/>
    <w:rsid w:val="1B5E3125"/>
    <w:rsid w:val="1B601E4F"/>
    <w:rsid w:val="1B632FBD"/>
    <w:rsid w:val="1B6A60FA"/>
    <w:rsid w:val="1B6C11C8"/>
    <w:rsid w:val="1B6D0B86"/>
    <w:rsid w:val="1B6D1724"/>
    <w:rsid w:val="1B707488"/>
    <w:rsid w:val="1B715935"/>
    <w:rsid w:val="1B721A08"/>
    <w:rsid w:val="1B80591D"/>
    <w:rsid w:val="1B8340A7"/>
    <w:rsid w:val="1B8371BB"/>
    <w:rsid w:val="1B855224"/>
    <w:rsid w:val="1B8610A1"/>
    <w:rsid w:val="1B9262CF"/>
    <w:rsid w:val="1B930AD5"/>
    <w:rsid w:val="1B965141"/>
    <w:rsid w:val="1BA10066"/>
    <w:rsid w:val="1BA2759C"/>
    <w:rsid w:val="1BA60433"/>
    <w:rsid w:val="1BA76296"/>
    <w:rsid w:val="1BAD5FE6"/>
    <w:rsid w:val="1BB11F7A"/>
    <w:rsid w:val="1BB27AA1"/>
    <w:rsid w:val="1BB6133F"/>
    <w:rsid w:val="1BBA62E9"/>
    <w:rsid w:val="1BBB7E8F"/>
    <w:rsid w:val="1BBC26CD"/>
    <w:rsid w:val="1BC455EE"/>
    <w:rsid w:val="1BC565DC"/>
    <w:rsid w:val="1BCD1B0E"/>
    <w:rsid w:val="1BCD48DA"/>
    <w:rsid w:val="1BD96DDB"/>
    <w:rsid w:val="1BDF3A0A"/>
    <w:rsid w:val="1BE539D2"/>
    <w:rsid w:val="1BE7599C"/>
    <w:rsid w:val="1BEF424D"/>
    <w:rsid w:val="1BF87F24"/>
    <w:rsid w:val="1BF954ED"/>
    <w:rsid w:val="1BF956CF"/>
    <w:rsid w:val="1BFC2ACA"/>
    <w:rsid w:val="1BFF6B87"/>
    <w:rsid w:val="1C0025BA"/>
    <w:rsid w:val="1C035D31"/>
    <w:rsid w:val="1C07572D"/>
    <w:rsid w:val="1C0E117B"/>
    <w:rsid w:val="1C112A19"/>
    <w:rsid w:val="1C13053F"/>
    <w:rsid w:val="1C136D8A"/>
    <w:rsid w:val="1C1D316C"/>
    <w:rsid w:val="1C1D75AD"/>
    <w:rsid w:val="1C1E6BE2"/>
    <w:rsid w:val="1C21175D"/>
    <w:rsid w:val="1C252021"/>
    <w:rsid w:val="1C2A3ADB"/>
    <w:rsid w:val="1C2C7853"/>
    <w:rsid w:val="1C387FA6"/>
    <w:rsid w:val="1C3D55BC"/>
    <w:rsid w:val="1C452578"/>
    <w:rsid w:val="1C4B4B3B"/>
    <w:rsid w:val="1C4C1CA3"/>
    <w:rsid w:val="1C505B85"/>
    <w:rsid w:val="1C5155C2"/>
    <w:rsid w:val="1C5172BA"/>
    <w:rsid w:val="1C5A0D28"/>
    <w:rsid w:val="1C5B5A42"/>
    <w:rsid w:val="1C5E5533"/>
    <w:rsid w:val="1C5E7EC4"/>
    <w:rsid w:val="1C607A2E"/>
    <w:rsid w:val="1C715266"/>
    <w:rsid w:val="1C784104"/>
    <w:rsid w:val="1C784846"/>
    <w:rsid w:val="1C7A05BE"/>
    <w:rsid w:val="1C7C1FFC"/>
    <w:rsid w:val="1C7C5803"/>
    <w:rsid w:val="1C8F1B2E"/>
    <w:rsid w:val="1C954CD6"/>
    <w:rsid w:val="1C994EC8"/>
    <w:rsid w:val="1C9A4142"/>
    <w:rsid w:val="1C9E5ABA"/>
    <w:rsid w:val="1CA2734E"/>
    <w:rsid w:val="1CA44644"/>
    <w:rsid w:val="1CA73EBC"/>
    <w:rsid w:val="1CAB69CA"/>
    <w:rsid w:val="1CB4492A"/>
    <w:rsid w:val="1CBA322D"/>
    <w:rsid w:val="1CBC1281"/>
    <w:rsid w:val="1CBF19D2"/>
    <w:rsid w:val="1CC47A8B"/>
    <w:rsid w:val="1CC916A3"/>
    <w:rsid w:val="1CCC09D0"/>
    <w:rsid w:val="1CD25D87"/>
    <w:rsid w:val="1CD53A47"/>
    <w:rsid w:val="1CD6156D"/>
    <w:rsid w:val="1CDA2E0B"/>
    <w:rsid w:val="1CDD28FB"/>
    <w:rsid w:val="1CF06AD2"/>
    <w:rsid w:val="1CF06D47"/>
    <w:rsid w:val="1CF27EDB"/>
    <w:rsid w:val="1D081F61"/>
    <w:rsid w:val="1D0870CF"/>
    <w:rsid w:val="1D091942"/>
    <w:rsid w:val="1D185F8C"/>
    <w:rsid w:val="1D1D719C"/>
    <w:rsid w:val="1D1F0D32"/>
    <w:rsid w:val="1D1F6293"/>
    <w:rsid w:val="1D206B8C"/>
    <w:rsid w:val="1D293D92"/>
    <w:rsid w:val="1D2B0222"/>
    <w:rsid w:val="1D2D5293"/>
    <w:rsid w:val="1D2F2FB7"/>
    <w:rsid w:val="1D376540"/>
    <w:rsid w:val="1D443F76"/>
    <w:rsid w:val="1D4B1F5B"/>
    <w:rsid w:val="1D4F1A4B"/>
    <w:rsid w:val="1D5305B1"/>
    <w:rsid w:val="1D5A03F0"/>
    <w:rsid w:val="1D5B5B91"/>
    <w:rsid w:val="1D6A4FA4"/>
    <w:rsid w:val="1D6B462A"/>
    <w:rsid w:val="1D6F3E9B"/>
    <w:rsid w:val="1D7274E7"/>
    <w:rsid w:val="1D7457D3"/>
    <w:rsid w:val="1D7517E7"/>
    <w:rsid w:val="1D790876"/>
    <w:rsid w:val="1D7B481A"/>
    <w:rsid w:val="1D813BCE"/>
    <w:rsid w:val="1D846598"/>
    <w:rsid w:val="1D862BB4"/>
    <w:rsid w:val="1D8C3B39"/>
    <w:rsid w:val="1D8D4321"/>
    <w:rsid w:val="1D9B6A3E"/>
    <w:rsid w:val="1D9F5E03"/>
    <w:rsid w:val="1DA022A7"/>
    <w:rsid w:val="1DA4146D"/>
    <w:rsid w:val="1DA51BD7"/>
    <w:rsid w:val="1DA52F17"/>
    <w:rsid w:val="1DB34707"/>
    <w:rsid w:val="1DBA49EB"/>
    <w:rsid w:val="1DBC4C07"/>
    <w:rsid w:val="1DBC5CEB"/>
    <w:rsid w:val="1DBE7147"/>
    <w:rsid w:val="1DC13FCB"/>
    <w:rsid w:val="1DCD0BC2"/>
    <w:rsid w:val="1DD714CA"/>
    <w:rsid w:val="1DD75AD9"/>
    <w:rsid w:val="1DE1641B"/>
    <w:rsid w:val="1DEE1D7B"/>
    <w:rsid w:val="1DF0613F"/>
    <w:rsid w:val="1DF23B4F"/>
    <w:rsid w:val="1DF3687A"/>
    <w:rsid w:val="1DFA6CCA"/>
    <w:rsid w:val="1E023FDD"/>
    <w:rsid w:val="1E024D4F"/>
    <w:rsid w:val="1E0A4DB8"/>
    <w:rsid w:val="1E0D1DFA"/>
    <w:rsid w:val="1E0F36AA"/>
    <w:rsid w:val="1E0F4C28"/>
    <w:rsid w:val="1E144269"/>
    <w:rsid w:val="1E200CF1"/>
    <w:rsid w:val="1E2076B7"/>
    <w:rsid w:val="1E267F23"/>
    <w:rsid w:val="1E2A6054"/>
    <w:rsid w:val="1E2E3A39"/>
    <w:rsid w:val="1E2E4CB6"/>
    <w:rsid w:val="1E3173A3"/>
    <w:rsid w:val="1E32626A"/>
    <w:rsid w:val="1E370E0A"/>
    <w:rsid w:val="1E3D5D47"/>
    <w:rsid w:val="1E426EBA"/>
    <w:rsid w:val="1E462B8B"/>
    <w:rsid w:val="1E4B4FD8"/>
    <w:rsid w:val="1E4C5FEA"/>
    <w:rsid w:val="1E555A52"/>
    <w:rsid w:val="1E5F1377"/>
    <w:rsid w:val="1E6C3BCE"/>
    <w:rsid w:val="1E7767C7"/>
    <w:rsid w:val="1E824409"/>
    <w:rsid w:val="1E86075E"/>
    <w:rsid w:val="1E8669B1"/>
    <w:rsid w:val="1E8B5577"/>
    <w:rsid w:val="1E8C282B"/>
    <w:rsid w:val="1E8F353E"/>
    <w:rsid w:val="1E91399D"/>
    <w:rsid w:val="1E943EE3"/>
    <w:rsid w:val="1E9C02F7"/>
    <w:rsid w:val="1EA638ED"/>
    <w:rsid w:val="1EA77665"/>
    <w:rsid w:val="1EA93EBF"/>
    <w:rsid w:val="1EAD74D5"/>
    <w:rsid w:val="1EB1403F"/>
    <w:rsid w:val="1EB53569"/>
    <w:rsid w:val="1EB82905"/>
    <w:rsid w:val="1EB83620"/>
    <w:rsid w:val="1EB8717C"/>
    <w:rsid w:val="1EBD3B62"/>
    <w:rsid w:val="1EC57AEB"/>
    <w:rsid w:val="1EC93137"/>
    <w:rsid w:val="1EC9410B"/>
    <w:rsid w:val="1EDC2E88"/>
    <w:rsid w:val="1EE1179C"/>
    <w:rsid w:val="1EE214C0"/>
    <w:rsid w:val="1EE95587"/>
    <w:rsid w:val="1EEB7551"/>
    <w:rsid w:val="1EF3123C"/>
    <w:rsid w:val="1EF328AA"/>
    <w:rsid w:val="1EF55B62"/>
    <w:rsid w:val="1EF65EF6"/>
    <w:rsid w:val="1EFC27C7"/>
    <w:rsid w:val="1F073C5F"/>
    <w:rsid w:val="1F0B3750"/>
    <w:rsid w:val="1F0B7084"/>
    <w:rsid w:val="1F150481"/>
    <w:rsid w:val="1F15640C"/>
    <w:rsid w:val="1F187EDF"/>
    <w:rsid w:val="1F1B4728"/>
    <w:rsid w:val="1F1C31BC"/>
    <w:rsid w:val="1F2070D4"/>
    <w:rsid w:val="1F23673E"/>
    <w:rsid w:val="1F24386A"/>
    <w:rsid w:val="1F29007A"/>
    <w:rsid w:val="1F2C5FA4"/>
    <w:rsid w:val="1F360D7E"/>
    <w:rsid w:val="1F36422B"/>
    <w:rsid w:val="1F4A5F8A"/>
    <w:rsid w:val="1F4D0EF4"/>
    <w:rsid w:val="1F521D60"/>
    <w:rsid w:val="1F552FA7"/>
    <w:rsid w:val="1F574CD6"/>
    <w:rsid w:val="1F5C4B63"/>
    <w:rsid w:val="1F602E7C"/>
    <w:rsid w:val="1F617814"/>
    <w:rsid w:val="1F690C77"/>
    <w:rsid w:val="1F694E8B"/>
    <w:rsid w:val="1F6B2440"/>
    <w:rsid w:val="1F737547"/>
    <w:rsid w:val="1F784B5D"/>
    <w:rsid w:val="1F7E00E0"/>
    <w:rsid w:val="1F8B4261"/>
    <w:rsid w:val="1F93244C"/>
    <w:rsid w:val="1F9626BE"/>
    <w:rsid w:val="1F976D27"/>
    <w:rsid w:val="1F9B218F"/>
    <w:rsid w:val="1FA00D60"/>
    <w:rsid w:val="1FA140B4"/>
    <w:rsid w:val="1FA344E3"/>
    <w:rsid w:val="1FAD4807"/>
    <w:rsid w:val="1FB26407"/>
    <w:rsid w:val="1FB650B8"/>
    <w:rsid w:val="1FB97650"/>
    <w:rsid w:val="1FBA5176"/>
    <w:rsid w:val="1FBD6F82"/>
    <w:rsid w:val="1FC009DE"/>
    <w:rsid w:val="1FC102B2"/>
    <w:rsid w:val="1FC14DBD"/>
    <w:rsid w:val="1FC472A5"/>
    <w:rsid w:val="1FC758F5"/>
    <w:rsid w:val="1FCA53B9"/>
    <w:rsid w:val="1FCD625C"/>
    <w:rsid w:val="1FCE5246"/>
    <w:rsid w:val="1FD004A7"/>
    <w:rsid w:val="1FD2426D"/>
    <w:rsid w:val="1FD53695"/>
    <w:rsid w:val="1FD75D28"/>
    <w:rsid w:val="1FED37B9"/>
    <w:rsid w:val="1FFE2DF9"/>
    <w:rsid w:val="1FFE79E6"/>
    <w:rsid w:val="20041743"/>
    <w:rsid w:val="20081A9B"/>
    <w:rsid w:val="200D2A07"/>
    <w:rsid w:val="2012795A"/>
    <w:rsid w:val="20152650"/>
    <w:rsid w:val="2016181B"/>
    <w:rsid w:val="201B206A"/>
    <w:rsid w:val="201D512F"/>
    <w:rsid w:val="20285D1E"/>
    <w:rsid w:val="202A56CE"/>
    <w:rsid w:val="202D3B58"/>
    <w:rsid w:val="202F7912"/>
    <w:rsid w:val="20317AED"/>
    <w:rsid w:val="203572A3"/>
    <w:rsid w:val="203E1903"/>
    <w:rsid w:val="203E74FC"/>
    <w:rsid w:val="20445069"/>
    <w:rsid w:val="20445CF6"/>
    <w:rsid w:val="2045000F"/>
    <w:rsid w:val="20452D6E"/>
    <w:rsid w:val="204557E3"/>
    <w:rsid w:val="20457135"/>
    <w:rsid w:val="20463307"/>
    <w:rsid w:val="204721AA"/>
    <w:rsid w:val="20481F95"/>
    <w:rsid w:val="204A474C"/>
    <w:rsid w:val="204E22F2"/>
    <w:rsid w:val="20517888"/>
    <w:rsid w:val="205B7CB4"/>
    <w:rsid w:val="20692E24"/>
    <w:rsid w:val="206C3758"/>
    <w:rsid w:val="2076401A"/>
    <w:rsid w:val="20783067"/>
    <w:rsid w:val="207B26EE"/>
    <w:rsid w:val="207B3A1F"/>
    <w:rsid w:val="207D067D"/>
    <w:rsid w:val="207F6973"/>
    <w:rsid w:val="2080206C"/>
    <w:rsid w:val="20814CCB"/>
    <w:rsid w:val="20825957"/>
    <w:rsid w:val="208634FB"/>
    <w:rsid w:val="20897B81"/>
    <w:rsid w:val="208A0FEC"/>
    <w:rsid w:val="20930891"/>
    <w:rsid w:val="2096173F"/>
    <w:rsid w:val="20994AE8"/>
    <w:rsid w:val="209E05F3"/>
    <w:rsid w:val="20A43EB9"/>
    <w:rsid w:val="20A63400"/>
    <w:rsid w:val="20A756FA"/>
    <w:rsid w:val="20A91472"/>
    <w:rsid w:val="20AD455D"/>
    <w:rsid w:val="20AE57E6"/>
    <w:rsid w:val="20B06AF5"/>
    <w:rsid w:val="20BD2233"/>
    <w:rsid w:val="20BE3384"/>
    <w:rsid w:val="20C067BC"/>
    <w:rsid w:val="20CA13E8"/>
    <w:rsid w:val="20D33D76"/>
    <w:rsid w:val="20D83B05"/>
    <w:rsid w:val="20DB53A4"/>
    <w:rsid w:val="20DC26D0"/>
    <w:rsid w:val="20E25803"/>
    <w:rsid w:val="20E805DE"/>
    <w:rsid w:val="20E92C92"/>
    <w:rsid w:val="20E936F3"/>
    <w:rsid w:val="20E95D13"/>
    <w:rsid w:val="20E97AC1"/>
    <w:rsid w:val="20EC0B7F"/>
    <w:rsid w:val="20EE7201"/>
    <w:rsid w:val="20F33B84"/>
    <w:rsid w:val="20F37B74"/>
    <w:rsid w:val="20F52909"/>
    <w:rsid w:val="20F6042F"/>
    <w:rsid w:val="20F84942"/>
    <w:rsid w:val="20FB5A46"/>
    <w:rsid w:val="20FC5411"/>
    <w:rsid w:val="21031E9A"/>
    <w:rsid w:val="21033044"/>
    <w:rsid w:val="210406C9"/>
    <w:rsid w:val="21113620"/>
    <w:rsid w:val="21130FE1"/>
    <w:rsid w:val="21134481"/>
    <w:rsid w:val="21293051"/>
    <w:rsid w:val="21294361"/>
    <w:rsid w:val="21366A7E"/>
    <w:rsid w:val="21376B82"/>
    <w:rsid w:val="21381B3A"/>
    <w:rsid w:val="213D605E"/>
    <w:rsid w:val="213F00CE"/>
    <w:rsid w:val="214032FA"/>
    <w:rsid w:val="21417D79"/>
    <w:rsid w:val="21425423"/>
    <w:rsid w:val="21442F49"/>
    <w:rsid w:val="21457CBE"/>
    <w:rsid w:val="2147554F"/>
    <w:rsid w:val="21480DAF"/>
    <w:rsid w:val="214E3823"/>
    <w:rsid w:val="215D6B8B"/>
    <w:rsid w:val="215F4A0D"/>
    <w:rsid w:val="216B59E3"/>
    <w:rsid w:val="216F4323"/>
    <w:rsid w:val="216F733B"/>
    <w:rsid w:val="21716B8A"/>
    <w:rsid w:val="217560B0"/>
    <w:rsid w:val="21771FE5"/>
    <w:rsid w:val="2177331E"/>
    <w:rsid w:val="21817CF9"/>
    <w:rsid w:val="2188552B"/>
    <w:rsid w:val="218B501C"/>
    <w:rsid w:val="218E68BA"/>
    <w:rsid w:val="2196307A"/>
    <w:rsid w:val="219A0DBB"/>
    <w:rsid w:val="219D08AB"/>
    <w:rsid w:val="21A00408"/>
    <w:rsid w:val="21A36214"/>
    <w:rsid w:val="21A97250"/>
    <w:rsid w:val="21AB746C"/>
    <w:rsid w:val="21B53586"/>
    <w:rsid w:val="21B55BF5"/>
    <w:rsid w:val="21C00D8A"/>
    <w:rsid w:val="21C10A3D"/>
    <w:rsid w:val="21C34002"/>
    <w:rsid w:val="21C45A24"/>
    <w:rsid w:val="21C5011E"/>
    <w:rsid w:val="21C62615"/>
    <w:rsid w:val="21D60813"/>
    <w:rsid w:val="21D90BF9"/>
    <w:rsid w:val="21DC50BF"/>
    <w:rsid w:val="21E40288"/>
    <w:rsid w:val="21E604A4"/>
    <w:rsid w:val="21F14FC0"/>
    <w:rsid w:val="21F66939"/>
    <w:rsid w:val="21FC7CC7"/>
    <w:rsid w:val="220A5F40"/>
    <w:rsid w:val="2210107D"/>
    <w:rsid w:val="2217065D"/>
    <w:rsid w:val="221B1A4E"/>
    <w:rsid w:val="22310E49"/>
    <w:rsid w:val="22347461"/>
    <w:rsid w:val="22372AAE"/>
    <w:rsid w:val="223771EB"/>
    <w:rsid w:val="223823A3"/>
    <w:rsid w:val="224156DA"/>
    <w:rsid w:val="224372CA"/>
    <w:rsid w:val="22445ECF"/>
    <w:rsid w:val="22486A69"/>
    <w:rsid w:val="2261178B"/>
    <w:rsid w:val="22630B62"/>
    <w:rsid w:val="22646422"/>
    <w:rsid w:val="226513C9"/>
    <w:rsid w:val="226520FC"/>
    <w:rsid w:val="226A69DF"/>
    <w:rsid w:val="226F3030"/>
    <w:rsid w:val="22717EF7"/>
    <w:rsid w:val="227821C1"/>
    <w:rsid w:val="227A34D9"/>
    <w:rsid w:val="227E248B"/>
    <w:rsid w:val="227E5C9D"/>
    <w:rsid w:val="2299073E"/>
    <w:rsid w:val="22A22599"/>
    <w:rsid w:val="22A530BF"/>
    <w:rsid w:val="22BB723B"/>
    <w:rsid w:val="22BC3EB7"/>
    <w:rsid w:val="22BD1BBF"/>
    <w:rsid w:val="22BD45D7"/>
    <w:rsid w:val="22C60B71"/>
    <w:rsid w:val="22CF0F38"/>
    <w:rsid w:val="22D05933"/>
    <w:rsid w:val="22D16A5E"/>
    <w:rsid w:val="22DB5B2F"/>
    <w:rsid w:val="22E10830"/>
    <w:rsid w:val="22E22A19"/>
    <w:rsid w:val="22EA5D72"/>
    <w:rsid w:val="22EE7610"/>
    <w:rsid w:val="22F059E5"/>
    <w:rsid w:val="22F22FE5"/>
    <w:rsid w:val="22FC5261"/>
    <w:rsid w:val="22FD5350"/>
    <w:rsid w:val="22FD5AA5"/>
    <w:rsid w:val="23007CB8"/>
    <w:rsid w:val="2302130E"/>
    <w:rsid w:val="2305495A"/>
    <w:rsid w:val="230706D2"/>
    <w:rsid w:val="230C5CE8"/>
    <w:rsid w:val="23103A2A"/>
    <w:rsid w:val="23194D81"/>
    <w:rsid w:val="231A6657"/>
    <w:rsid w:val="232748D0"/>
    <w:rsid w:val="232C1207"/>
    <w:rsid w:val="232E7BEA"/>
    <w:rsid w:val="23353491"/>
    <w:rsid w:val="23362C9D"/>
    <w:rsid w:val="23362D65"/>
    <w:rsid w:val="23386ADD"/>
    <w:rsid w:val="23393A5D"/>
    <w:rsid w:val="233A6758"/>
    <w:rsid w:val="233B65CE"/>
    <w:rsid w:val="23411E36"/>
    <w:rsid w:val="2342795C"/>
    <w:rsid w:val="234436D4"/>
    <w:rsid w:val="23486C01"/>
    <w:rsid w:val="235233DF"/>
    <w:rsid w:val="23556570"/>
    <w:rsid w:val="2355768F"/>
    <w:rsid w:val="235A693F"/>
    <w:rsid w:val="235A7056"/>
    <w:rsid w:val="23616034"/>
    <w:rsid w:val="23621DAC"/>
    <w:rsid w:val="23672C8A"/>
    <w:rsid w:val="237613B4"/>
    <w:rsid w:val="23763EEC"/>
    <w:rsid w:val="23841D23"/>
    <w:rsid w:val="238B3F97"/>
    <w:rsid w:val="238E0DF3"/>
    <w:rsid w:val="23904D06"/>
    <w:rsid w:val="23906919"/>
    <w:rsid w:val="239C52BE"/>
    <w:rsid w:val="23A22699"/>
    <w:rsid w:val="23A300A3"/>
    <w:rsid w:val="23A6188A"/>
    <w:rsid w:val="23AE4F4C"/>
    <w:rsid w:val="23B23B5F"/>
    <w:rsid w:val="23BA3EF6"/>
    <w:rsid w:val="23C010B4"/>
    <w:rsid w:val="23C640E9"/>
    <w:rsid w:val="23C82B52"/>
    <w:rsid w:val="23CC35A5"/>
    <w:rsid w:val="23CF0442"/>
    <w:rsid w:val="23CF70FD"/>
    <w:rsid w:val="23D0028D"/>
    <w:rsid w:val="23D06D16"/>
    <w:rsid w:val="23D700A4"/>
    <w:rsid w:val="23D902C0"/>
    <w:rsid w:val="23D9206E"/>
    <w:rsid w:val="23DC5835"/>
    <w:rsid w:val="23DD0BFC"/>
    <w:rsid w:val="23DF2FA8"/>
    <w:rsid w:val="23E00EE5"/>
    <w:rsid w:val="23E34C9B"/>
    <w:rsid w:val="23F231AE"/>
    <w:rsid w:val="23F30C56"/>
    <w:rsid w:val="23F821FE"/>
    <w:rsid w:val="24042E63"/>
    <w:rsid w:val="241118C7"/>
    <w:rsid w:val="2412732E"/>
    <w:rsid w:val="24150A21"/>
    <w:rsid w:val="241646BB"/>
    <w:rsid w:val="241C63FF"/>
    <w:rsid w:val="24240BD5"/>
    <w:rsid w:val="2425221F"/>
    <w:rsid w:val="24297E89"/>
    <w:rsid w:val="242C1EE5"/>
    <w:rsid w:val="2430772D"/>
    <w:rsid w:val="243204A7"/>
    <w:rsid w:val="24335324"/>
    <w:rsid w:val="24391C07"/>
    <w:rsid w:val="243E45C7"/>
    <w:rsid w:val="243F083D"/>
    <w:rsid w:val="24424E18"/>
    <w:rsid w:val="2446776E"/>
    <w:rsid w:val="2449696F"/>
    <w:rsid w:val="2450029A"/>
    <w:rsid w:val="24523BCF"/>
    <w:rsid w:val="2455334D"/>
    <w:rsid w:val="24572F93"/>
    <w:rsid w:val="24575689"/>
    <w:rsid w:val="24577437"/>
    <w:rsid w:val="24695B13"/>
    <w:rsid w:val="246A1D00"/>
    <w:rsid w:val="24772B22"/>
    <w:rsid w:val="24773635"/>
    <w:rsid w:val="247C0C4C"/>
    <w:rsid w:val="247D0509"/>
    <w:rsid w:val="247E5135"/>
    <w:rsid w:val="2481129D"/>
    <w:rsid w:val="2485604C"/>
    <w:rsid w:val="248A0A7D"/>
    <w:rsid w:val="248A5865"/>
    <w:rsid w:val="249D1E6C"/>
    <w:rsid w:val="249D60D3"/>
    <w:rsid w:val="24A65CC9"/>
    <w:rsid w:val="24A70770"/>
    <w:rsid w:val="24A96539"/>
    <w:rsid w:val="24AD7057"/>
    <w:rsid w:val="24B85BFE"/>
    <w:rsid w:val="24BD1936"/>
    <w:rsid w:val="24C22047"/>
    <w:rsid w:val="24C4205E"/>
    <w:rsid w:val="24C46654"/>
    <w:rsid w:val="24C809DF"/>
    <w:rsid w:val="24CC3981"/>
    <w:rsid w:val="24D804D4"/>
    <w:rsid w:val="24D9609E"/>
    <w:rsid w:val="24E350A5"/>
    <w:rsid w:val="24EE1B49"/>
    <w:rsid w:val="24F057D9"/>
    <w:rsid w:val="24F86E72"/>
    <w:rsid w:val="25071B35"/>
    <w:rsid w:val="25072C0B"/>
    <w:rsid w:val="250A07C3"/>
    <w:rsid w:val="250C6474"/>
    <w:rsid w:val="25177E77"/>
    <w:rsid w:val="251A27DA"/>
    <w:rsid w:val="251F5370"/>
    <w:rsid w:val="25233112"/>
    <w:rsid w:val="252B1120"/>
    <w:rsid w:val="253C4E21"/>
    <w:rsid w:val="253D03DB"/>
    <w:rsid w:val="253D3D04"/>
    <w:rsid w:val="254764AE"/>
    <w:rsid w:val="254A073A"/>
    <w:rsid w:val="255319AC"/>
    <w:rsid w:val="255C2A9C"/>
    <w:rsid w:val="25653D07"/>
    <w:rsid w:val="25673FF0"/>
    <w:rsid w:val="25694D45"/>
    <w:rsid w:val="256E2C8A"/>
    <w:rsid w:val="25711DDF"/>
    <w:rsid w:val="25784F5C"/>
    <w:rsid w:val="25787665"/>
    <w:rsid w:val="257D2A53"/>
    <w:rsid w:val="257F3FCC"/>
    <w:rsid w:val="258129BE"/>
    <w:rsid w:val="258C1362"/>
    <w:rsid w:val="2591184A"/>
    <w:rsid w:val="25951FC5"/>
    <w:rsid w:val="25A0313D"/>
    <w:rsid w:val="25AA29D3"/>
    <w:rsid w:val="25AC2049"/>
    <w:rsid w:val="25AD2225"/>
    <w:rsid w:val="25AF7C37"/>
    <w:rsid w:val="25B04809"/>
    <w:rsid w:val="25B20291"/>
    <w:rsid w:val="25B368EF"/>
    <w:rsid w:val="25B636AB"/>
    <w:rsid w:val="25B92D29"/>
    <w:rsid w:val="25BD776E"/>
    <w:rsid w:val="25CF7214"/>
    <w:rsid w:val="25D626A7"/>
    <w:rsid w:val="25D710E1"/>
    <w:rsid w:val="25D92344"/>
    <w:rsid w:val="25E46AA9"/>
    <w:rsid w:val="25EB7883"/>
    <w:rsid w:val="25F0369F"/>
    <w:rsid w:val="25F9324C"/>
    <w:rsid w:val="25FC0296"/>
    <w:rsid w:val="26041520"/>
    <w:rsid w:val="260B04D9"/>
    <w:rsid w:val="261D1282"/>
    <w:rsid w:val="261D1FBA"/>
    <w:rsid w:val="2622551B"/>
    <w:rsid w:val="262477ED"/>
    <w:rsid w:val="26247945"/>
    <w:rsid w:val="262D044F"/>
    <w:rsid w:val="262D48F3"/>
    <w:rsid w:val="262F0073"/>
    <w:rsid w:val="26307F40"/>
    <w:rsid w:val="264834DB"/>
    <w:rsid w:val="264A573E"/>
    <w:rsid w:val="265005E2"/>
    <w:rsid w:val="265754CC"/>
    <w:rsid w:val="265B5C80"/>
    <w:rsid w:val="265C4DF4"/>
    <w:rsid w:val="26600825"/>
    <w:rsid w:val="266371B1"/>
    <w:rsid w:val="26661BB3"/>
    <w:rsid w:val="2669133F"/>
    <w:rsid w:val="266D0E35"/>
    <w:rsid w:val="26741FA5"/>
    <w:rsid w:val="267C5E66"/>
    <w:rsid w:val="26825B88"/>
    <w:rsid w:val="26851904"/>
    <w:rsid w:val="268C1088"/>
    <w:rsid w:val="268E11BD"/>
    <w:rsid w:val="268F41C1"/>
    <w:rsid w:val="26920BFA"/>
    <w:rsid w:val="26926505"/>
    <w:rsid w:val="269449D7"/>
    <w:rsid w:val="26955FF5"/>
    <w:rsid w:val="269A673C"/>
    <w:rsid w:val="26A050C5"/>
    <w:rsid w:val="26A5092E"/>
    <w:rsid w:val="26AF38E8"/>
    <w:rsid w:val="26B61F36"/>
    <w:rsid w:val="26BB44D0"/>
    <w:rsid w:val="26BD6994"/>
    <w:rsid w:val="26BE554B"/>
    <w:rsid w:val="26C8226C"/>
    <w:rsid w:val="26C827B3"/>
    <w:rsid w:val="26CA7D26"/>
    <w:rsid w:val="26CF1A96"/>
    <w:rsid w:val="26D1527F"/>
    <w:rsid w:val="26D905D7"/>
    <w:rsid w:val="26D94133"/>
    <w:rsid w:val="26DD00C8"/>
    <w:rsid w:val="26DE5BEE"/>
    <w:rsid w:val="26E038BD"/>
    <w:rsid w:val="26E050F9"/>
    <w:rsid w:val="26E26D33"/>
    <w:rsid w:val="26EA49F0"/>
    <w:rsid w:val="26EA6341"/>
    <w:rsid w:val="26FC437E"/>
    <w:rsid w:val="2702368A"/>
    <w:rsid w:val="27070CA1"/>
    <w:rsid w:val="27096C04"/>
    <w:rsid w:val="270E64D3"/>
    <w:rsid w:val="271146CB"/>
    <w:rsid w:val="27121405"/>
    <w:rsid w:val="2712523F"/>
    <w:rsid w:val="27195750"/>
    <w:rsid w:val="271F12BB"/>
    <w:rsid w:val="27206206"/>
    <w:rsid w:val="27220408"/>
    <w:rsid w:val="27263487"/>
    <w:rsid w:val="27294A71"/>
    <w:rsid w:val="27313F6F"/>
    <w:rsid w:val="27361586"/>
    <w:rsid w:val="27455C6D"/>
    <w:rsid w:val="27475258"/>
    <w:rsid w:val="27491CE2"/>
    <w:rsid w:val="27497346"/>
    <w:rsid w:val="274C00E7"/>
    <w:rsid w:val="274C0DA9"/>
    <w:rsid w:val="274E4B21"/>
    <w:rsid w:val="27526510"/>
    <w:rsid w:val="27554346"/>
    <w:rsid w:val="275C130B"/>
    <w:rsid w:val="275E4EAC"/>
    <w:rsid w:val="276240A9"/>
    <w:rsid w:val="27654FE1"/>
    <w:rsid w:val="27736336"/>
    <w:rsid w:val="277F2F2D"/>
    <w:rsid w:val="277F74D6"/>
    <w:rsid w:val="27893DAB"/>
    <w:rsid w:val="278C73F8"/>
    <w:rsid w:val="27914A0E"/>
    <w:rsid w:val="27932311"/>
    <w:rsid w:val="2799071E"/>
    <w:rsid w:val="279B2B20"/>
    <w:rsid w:val="279B763B"/>
    <w:rsid w:val="279C5947"/>
    <w:rsid w:val="279D281D"/>
    <w:rsid w:val="27BA50C6"/>
    <w:rsid w:val="27BA5D13"/>
    <w:rsid w:val="27BC31CA"/>
    <w:rsid w:val="27BC6C27"/>
    <w:rsid w:val="27C110E8"/>
    <w:rsid w:val="27C2589A"/>
    <w:rsid w:val="27C608B1"/>
    <w:rsid w:val="27CB2C5E"/>
    <w:rsid w:val="27CF033D"/>
    <w:rsid w:val="27D008CD"/>
    <w:rsid w:val="27D24728"/>
    <w:rsid w:val="27D46535"/>
    <w:rsid w:val="27D74B17"/>
    <w:rsid w:val="27DE3507"/>
    <w:rsid w:val="27E26D38"/>
    <w:rsid w:val="27E84793"/>
    <w:rsid w:val="27EB3F28"/>
    <w:rsid w:val="27ED1D5C"/>
    <w:rsid w:val="27F66921"/>
    <w:rsid w:val="27FD3317"/>
    <w:rsid w:val="280767FE"/>
    <w:rsid w:val="280B1B36"/>
    <w:rsid w:val="280E3973"/>
    <w:rsid w:val="280E5870"/>
    <w:rsid w:val="281210C5"/>
    <w:rsid w:val="281318C7"/>
    <w:rsid w:val="28173D98"/>
    <w:rsid w:val="281B6B3C"/>
    <w:rsid w:val="281E2746"/>
    <w:rsid w:val="28207523"/>
    <w:rsid w:val="28250CC6"/>
    <w:rsid w:val="28251E9F"/>
    <w:rsid w:val="2829733C"/>
    <w:rsid w:val="283A4B96"/>
    <w:rsid w:val="284B190C"/>
    <w:rsid w:val="28527737"/>
    <w:rsid w:val="2854351E"/>
    <w:rsid w:val="28546812"/>
    <w:rsid w:val="2858552C"/>
    <w:rsid w:val="285B4667"/>
    <w:rsid w:val="285C547F"/>
    <w:rsid w:val="285D1471"/>
    <w:rsid w:val="28606245"/>
    <w:rsid w:val="28643ED1"/>
    <w:rsid w:val="28645791"/>
    <w:rsid w:val="286A53B3"/>
    <w:rsid w:val="286D0FD7"/>
    <w:rsid w:val="286D7229"/>
    <w:rsid w:val="28724840"/>
    <w:rsid w:val="28795F32"/>
    <w:rsid w:val="287B37C8"/>
    <w:rsid w:val="28810F26"/>
    <w:rsid w:val="2887059C"/>
    <w:rsid w:val="288753C6"/>
    <w:rsid w:val="288A5FB2"/>
    <w:rsid w:val="288B58A3"/>
    <w:rsid w:val="28984A47"/>
    <w:rsid w:val="289C1072"/>
    <w:rsid w:val="28A138D1"/>
    <w:rsid w:val="28A26B50"/>
    <w:rsid w:val="28A30E9D"/>
    <w:rsid w:val="28A32C4B"/>
    <w:rsid w:val="28A34185"/>
    <w:rsid w:val="28A36707"/>
    <w:rsid w:val="28A40771"/>
    <w:rsid w:val="28A71382"/>
    <w:rsid w:val="28AD5B07"/>
    <w:rsid w:val="28AF35C6"/>
    <w:rsid w:val="28B06FF1"/>
    <w:rsid w:val="28B22E8E"/>
    <w:rsid w:val="28B90FF5"/>
    <w:rsid w:val="28BA7F95"/>
    <w:rsid w:val="28BC1F5F"/>
    <w:rsid w:val="28C57065"/>
    <w:rsid w:val="28C82C67"/>
    <w:rsid w:val="28CC7865"/>
    <w:rsid w:val="28D15A0A"/>
    <w:rsid w:val="28D37A3B"/>
    <w:rsid w:val="28DC43AF"/>
    <w:rsid w:val="28DD7B11"/>
    <w:rsid w:val="28E21187"/>
    <w:rsid w:val="28E95C91"/>
    <w:rsid w:val="28EC600C"/>
    <w:rsid w:val="28EF40E2"/>
    <w:rsid w:val="28F11C08"/>
    <w:rsid w:val="28F57AD2"/>
    <w:rsid w:val="28FA423F"/>
    <w:rsid w:val="28FC7098"/>
    <w:rsid w:val="28FF694C"/>
    <w:rsid w:val="2900507C"/>
    <w:rsid w:val="290260AB"/>
    <w:rsid w:val="290731DA"/>
    <w:rsid w:val="29083F0D"/>
    <w:rsid w:val="29095A85"/>
    <w:rsid w:val="290A2CCA"/>
    <w:rsid w:val="290B259E"/>
    <w:rsid w:val="290D0E0E"/>
    <w:rsid w:val="290F389D"/>
    <w:rsid w:val="2910746E"/>
    <w:rsid w:val="29171045"/>
    <w:rsid w:val="291E2AE7"/>
    <w:rsid w:val="291E6775"/>
    <w:rsid w:val="29220014"/>
    <w:rsid w:val="292673D8"/>
    <w:rsid w:val="292B0F16"/>
    <w:rsid w:val="293748C1"/>
    <w:rsid w:val="29580D07"/>
    <w:rsid w:val="295B1778"/>
    <w:rsid w:val="295C2DFA"/>
    <w:rsid w:val="295D54F0"/>
    <w:rsid w:val="295D5B93"/>
    <w:rsid w:val="295E5B6D"/>
    <w:rsid w:val="29606D8E"/>
    <w:rsid w:val="296350A7"/>
    <w:rsid w:val="29653242"/>
    <w:rsid w:val="296C5604"/>
    <w:rsid w:val="297F5EFD"/>
    <w:rsid w:val="29883BEF"/>
    <w:rsid w:val="298939FC"/>
    <w:rsid w:val="298C3CA4"/>
    <w:rsid w:val="299130E9"/>
    <w:rsid w:val="29930F11"/>
    <w:rsid w:val="2994513B"/>
    <w:rsid w:val="2996455E"/>
    <w:rsid w:val="299B1B74"/>
    <w:rsid w:val="29A26BC1"/>
    <w:rsid w:val="29A97F8A"/>
    <w:rsid w:val="29AD778D"/>
    <w:rsid w:val="29B47173"/>
    <w:rsid w:val="29BB1BAC"/>
    <w:rsid w:val="29BC50D2"/>
    <w:rsid w:val="29C2692C"/>
    <w:rsid w:val="29C410CB"/>
    <w:rsid w:val="29C43714"/>
    <w:rsid w:val="29C46D75"/>
    <w:rsid w:val="29C5731F"/>
    <w:rsid w:val="29C87D11"/>
    <w:rsid w:val="29D05CC2"/>
    <w:rsid w:val="29D15596"/>
    <w:rsid w:val="29D75CDC"/>
    <w:rsid w:val="29DE07BC"/>
    <w:rsid w:val="29DF7CB3"/>
    <w:rsid w:val="29E057D9"/>
    <w:rsid w:val="29E1421C"/>
    <w:rsid w:val="29E4176D"/>
    <w:rsid w:val="29E6570E"/>
    <w:rsid w:val="29E94B0F"/>
    <w:rsid w:val="29EA5FDC"/>
    <w:rsid w:val="29EC132F"/>
    <w:rsid w:val="29EC61E5"/>
    <w:rsid w:val="29FD1B91"/>
    <w:rsid w:val="29FD2C93"/>
    <w:rsid w:val="2A067935"/>
    <w:rsid w:val="2A0873C7"/>
    <w:rsid w:val="2A0911D4"/>
    <w:rsid w:val="2A121D90"/>
    <w:rsid w:val="2A1354E4"/>
    <w:rsid w:val="2A190AFA"/>
    <w:rsid w:val="2A1A2F1D"/>
    <w:rsid w:val="2A1A56E3"/>
    <w:rsid w:val="2A1C2CB5"/>
    <w:rsid w:val="2A3049B2"/>
    <w:rsid w:val="2A331DAD"/>
    <w:rsid w:val="2A3527AE"/>
    <w:rsid w:val="2A3D0E7D"/>
    <w:rsid w:val="2A3D6440"/>
    <w:rsid w:val="2A465570"/>
    <w:rsid w:val="2A4B5348"/>
    <w:rsid w:val="2A4B5EB3"/>
    <w:rsid w:val="2A510485"/>
    <w:rsid w:val="2A5A37DD"/>
    <w:rsid w:val="2A5F0DF4"/>
    <w:rsid w:val="2A5F5BA1"/>
    <w:rsid w:val="2A656CB8"/>
    <w:rsid w:val="2A6F660B"/>
    <w:rsid w:val="2A701253"/>
    <w:rsid w:val="2A765DEA"/>
    <w:rsid w:val="2A854FC4"/>
    <w:rsid w:val="2A872FE8"/>
    <w:rsid w:val="2A9211C9"/>
    <w:rsid w:val="2A932085"/>
    <w:rsid w:val="2A9413C9"/>
    <w:rsid w:val="2A944F41"/>
    <w:rsid w:val="2A9678FC"/>
    <w:rsid w:val="2A9D36CA"/>
    <w:rsid w:val="2A9E191C"/>
    <w:rsid w:val="2AAD3A85"/>
    <w:rsid w:val="2AB056E9"/>
    <w:rsid w:val="2AB34501"/>
    <w:rsid w:val="2AB4113F"/>
    <w:rsid w:val="2ABB0C08"/>
    <w:rsid w:val="2AC1560A"/>
    <w:rsid w:val="2ACD2675"/>
    <w:rsid w:val="2AD16F39"/>
    <w:rsid w:val="2AD27817"/>
    <w:rsid w:val="2AD46E63"/>
    <w:rsid w:val="2AD57308"/>
    <w:rsid w:val="2AD73080"/>
    <w:rsid w:val="2AD76BDC"/>
    <w:rsid w:val="2AD838DF"/>
    <w:rsid w:val="2ADC0696"/>
    <w:rsid w:val="2ADD0128"/>
    <w:rsid w:val="2ADE17B6"/>
    <w:rsid w:val="2AE06B47"/>
    <w:rsid w:val="2AEA268E"/>
    <w:rsid w:val="2AEF5813"/>
    <w:rsid w:val="2AF41446"/>
    <w:rsid w:val="2AF83194"/>
    <w:rsid w:val="2AF91248"/>
    <w:rsid w:val="2AFE498C"/>
    <w:rsid w:val="2B0261C7"/>
    <w:rsid w:val="2B04686A"/>
    <w:rsid w:val="2B1054D2"/>
    <w:rsid w:val="2B14199B"/>
    <w:rsid w:val="2B1616C0"/>
    <w:rsid w:val="2B165956"/>
    <w:rsid w:val="2B1C6CE5"/>
    <w:rsid w:val="2B1D47B6"/>
    <w:rsid w:val="2B2067D5"/>
    <w:rsid w:val="2B230073"/>
    <w:rsid w:val="2B234BA1"/>
    <w:rsid w:val="2B277B63"/>
    <w:rsid w:val="2B2C172A"/>
    <w:rsid w:val="2B2D2CA0"/>
    <w:rsid w:val="2B2E6B44"/>
    <w:rsid w:val="2B3109E2"/>
    <w:rsid w:val="2B375A80"/>
    <w:rsid w:val="2B4326B6"/>
    <w:rsid w:val="2B4B0681"/>
    <w:rsid w:val="2B536BAA"/>
    <w:rsid w:val="2B5618EA"/>
    <w:rsid w:val="2B5E554F"/>
    <w:rsid w:val="2B620B9B"/>
    <w:rsid w:val="2B655B56"/>
    <w:rsid w:val="2B6761B2"/>
    <w:rsid w:val="2B683CD8"/>
    <w:rsid w:val="2B6A60AE"/>
    <w:rsid w:val="2B747BBA"/>
    <w:rsid w:val="2B7D004C"/>
    <w:rsid w:val="2B801021"/>
    <w:rsid w:val="2B8A1EA0"/>
    <w:rsid w:val="2B8E7BE2"/>
    <w:rsid w:val="2B957FA6"/>
    <w:rsid w:val="2B9608D4"/>
    <w:rsid w:val="2B976789"/>
    <w:rsid w:val="2B9B40AD"/>
    <w:rsid w:val="2B9E5305"/>
    <w:rsid w:val="2B9F0531"/>
    <w:rsid w:val="2B9F27E9"/>
    <w:rsid w:val="2B9F77CC"/>
    <w:rsid w:val="2BA47406"/>
    <w:rsid w:val="2BAE0029"/>
    <w:rsid w:val="2BAE3DE1"/>
    <w:rsid w:val="2BAE73DD"/>
    <w:rsid w:val="2BB12FF2"/>
    <w:rsid w:val="2BB15A04"/>
    <w:rsid w:val="2BB60EE7"/>
    <w:rsid w:val="2BBF508D"/>
    <w:rsid w:val="2BC3094D"/>
    <w:rsid w:val="2BD004E1"/>
    <w:rsid w:val="2BD425DB"/>
    <w:rsid w:val="2BDD46C6"/>
    <w:rsid w:val="2BE22220"/>
    <w:rsid w:val="2BEF61A7"/>
    <w:rsid w:val="2BF37A45"/>
    <w:rsid w:val="2BFD6B16"/>
    <w:rsid w:val="2C014CC7"/>
    <w:rsid w:val="2C064ECB"/>
    <w:rsid w:val="2C0E487F"/>
    <w:rsid w:val="2C104E0B"/>
    <w:rsid w:val="2C131E96"/>
    <w:rsid w:val="2C155C0E"/>
    <w:rsid w:val="2C157E00"/>
    <w:rsid w:val="2C1802EC"/>
    <w:rsid w:val="2C1B0FB3"/>
    <w:rsid w:val="2C1F083A"/>
    <w:rsid w:val="2C1F1B03"/>
    <w:rsid w:val="2C230890"/>
    <w:rsid w:val="2C275E71"/>
    <w:rsid w:val="2C29790B"/>
    <w:rsid w:val="2C2C11A9"/>
    <w:rsid w:val="2C2C6236"/>
    <w:rsid w:val="2C33078A"/>
    <w:rsid w:val="2C35094F"/>
    <w:rsid w:val="2C387B4E"/>
    <w:rsid w:val="2C390A42"/>
    <w:rsid w:val="2C461F72"/>
    <w:rsid w:val="2C471B3F"/>
    <w:rsid w:val="2C4732BE"/>
    <w:rsid w:val="2C4B7881"/>
    <w:rsid w:val="2C537074"/>
    <w:rsid w:val="2C5449D0"/>
    <w:rsid w:val="2C54680A"/>
    <w:rsid w:val="2C5524AE"/>
    <w:rsid w:val="2C5A208D"/>
    <w:rsid w:val="2C5F332D"/>
    <w:rsid w:val="2C5F6C41"/>
    <w:rsid w:val="2C603C73"/>
    <w:rsid w:val="2C696B54"/>
    <w:rsid w:val="2C6B4044"/>
    <w:rsid w:val="2C705659"/>
    <w:rsid w:val="2C78619D"/>
    <w:rsid w:val="2C7D2489"/>
    <w:rsid w:val="2C854E8D"/>
    <w:rsid w:val="2C8B2374"/>
    <w:rsid w:val="2C8E776E"/>
    <w:rsid w:val="2C901738"/>
    <w:rsid w:val="2C985B8A"/>
    <w:rsid w:val="2C9A4C4D"/>
    <w:rsid w:val="2C9C00DD"/>
    <w:rsid w:val="2C9C632F"/>
    <w:rsid w:val="2C9D59ED"/>
    <w:rsid w:val="2CA3146B"/>
    <w:rsid w:val="2CA62D0A"/>
    <w:rsid w:val="2CA90A4C"/>
    <w:rsid w:val="2CBB50A2"/>
    <w:rsid w:val="2CBC077F"/>
    <w:rsid w:val="2CC1332A"/>
    <w:rsid w:val="2CC460EE"/>
    <w:rsid w:val="2CC55886"/>
    <w:rsid w:val="2CC94C4A"/>
    <w:rsid w:val="2CCB451E"/>
    <w:rsid w:val="2CCD4076"/>
    <w:rsid w:val="2CD31625"/>
    <w:rsid w:val="2CD60A6C"/>
    <w:rsid w:val="2CDB5B13"/>
    <w:rsid w:val="2CDC2BCF"/>
    <w:rsid w:val="2CDC7EC4"/>
    <w:rsid w:val="2CE13E0E"/>
    <w:rsid w:val="2CE14B69"/>
    <w:rsid w:val="2CE76B12"/>
    <w:rsid w:val="2CEB03C6"/>
    <w:rsid w:val="2CF55A3F"/>
    <w:rsid w:val="2CF81889"/>
    <w:rsid w:val="2CFD3A0F"/>
    <w:rsid w:val="2D034EA5"/>
    <w:rsid w:val="2D1057CD"/>
    <w:rsid w:val="2D11564B"/>
    <w:rsid w:val="2D157E8F"/>
    <w:rsid w:val="2D167AFE"/>
    <w:rsid w:val="2D2307FE"/>
    <w:rsid w:val="2D2325AC"/>
    <w:rsid w:val="2D26209C"/>
    <w:rsid w:val="2D2B7629"/>
    <w:rsid w:val="2D2F7EFE"/>
    <w:rsid w:val="2D307726"/>
    <w:rsid w:val="2D3227EF"/>
    <w:rsid w:val="2D3B5B48"/>
    <w:rsid w:val="2D3E1194"/>
    <w:rsid w:val="2D430360"/>
    <w:rsid w:val="2D4542D1"/>
    <w:rsid w:val="2D464494"/>
    <w:rsid w:val="2D4704EB"/>
    <w:rsid w:val="2D4A5F45"/>
    <w:rsid w:val="2D4B5BDA"/>
    <w:rsid w:val="2D4D587B"/>
    <w:rsid w:val="2D525F67"/>
    <w:rsid w:val="2D5573EF"/>
    <w:rsid w:val="2D5663E5"/>
    <w:rsid w:val="2D5704A8"/>
    <w:rsid w:val="2D574004"/>
    <w:rsid w:val="2D5A7975"/>
    <w:rsid w:val="2D5B79F0"/>
    <w:rsid w:val="2D5C59D6"/>
    <w:rsid w:val="2D60110A"/>
    <w:rsid w:val="2D67693D"/>
    <w:rsid w:val="2D727090"/>
    <w:rsid w:val="2D7746A6"/>
    <w:rsid w:val="2D852054"/>
    <w:rsid w:val="2D872595"/>
    <w:rsid w:val="2D9066E8"/>
    <w:rsid w:val="2D9D3677"/>
    <w:rsid w:val="2DA239F0"/>
    <w:rsid w:val="2DAB444D"/>
    <w:rsid w:val="2DAC0314"/>
    <w:rsid w:val="2DAC1DFB"/>
    <w:rsid w:val="2DAD00C8"/>
    <w:rsid w:val="2DB245D8"/>
    <w:rsid w:val="2DB62ACB"/>
    <w:rsid w:val="2DB6793F"/>
    <w:rsid w:val="2DB96B52"/>
    <w:rsid w:val="2DBB4593"/>
    <w:rsid w:val="2DC0323D"/>
    <w:rsid w:val="2DC0604D"/>
    <w:rsid w:val="2DC378EB"/>
    <w:rsid w:val="2DC45B3D"/>
    <w:rsid w:val="2DC515B0"/>
    <w:rsid w:val="2DC57396"/>
    <w:rsid w:val="2DC63FF0"/>
    <w:rsid w:val="2DC729FE"/>
    <w:rsid w:val="2DC77DCA"/>
    <w:rsid w:val="2DCD403A"/>
    <w:rsid w:val="2DCD7871"/>
    <w:rsid w:val="2DD218DC"/>
    <w:rsid w:val="2DDE2CF3"/>
    <w:rsid w:val="2DE63220"/>
    <w:rsid w:val="2DE81100"/>
    <w:rsid w:val="2DEA387E"/>
    <w:rsid w:val="2DF552BE"/>
    <w:rsid w:val="2DFB0D3B"/>
    <w:rsid w:val="2DFD2DFD"/>
    <w:rsid w:val="2DFE297D"/>
    <w:rsid w:val="2E0208DD"/>
    <w:rsid w:val="2E0221C2"/>
    <w:rsid w:val="2E073CE1"/>
    <w:rsid w:val="2E0C6AD8"/>
    <w:rsid w:val="2E0E2DE1"/>
    <w:rsid w:val="2E112405"/>
    <w:rsid w:val="2E114AFB"/>
    <w:rsid w:val="2E1344DC"/>
    <w:rsid w:val="2E1F2D74"/>
    <w:rsid w:val="2E20085E"/>
    <w:rsid w:val="2E206AEC"/>
    <w:rsid w:val="2E234885"/>
    <w:rsid w:val="2E286A42"/>
    <w:rsid w:val="2E3D76E0"/>
    <w:rsid w:val="2E3E740B"/>
    <w:rsid w:val="2E400777"/>
    <w:rsid w:val="2E426A62"/>
    <w:rsid w:val="2E4E0CE7"/>
    <w:rsid w:val="2E4E18AB"/>
    <w:rsid w:val="2E5311BD"/>
    <w:rsid w:val="2E55192F"/>
    <w:rsid w:val="2E5A3DAC"/>
    <w:rsid w:val="2E6021BF"/>
    <w:rsid w:val="2E607A11"/>
    <w:rsid w:val="2E6720C5"/>
    <w:rsid w:val="2E69625B"/>
    <w:rsid w:val="2E6F4259"/>
    <w:rsid w:val="2E7133BC"/>
    <w:rsid w:val="2E731311"/>
    <w:rsid w:val="2E731DD1"/>
    <w:rsid w:val="2E7A26A0"/>
    <w:rsid w:val="2E7D18A1"/>
    <w:rsid w:val="2E7E255B"/>
    <w:rsid w:val="2E7F3812"/>
    <w:rsid w:val="2E853986"/>
    <w:rsid w:val="2E8B0409"/>
    <w:rsid w:val="2E8B665B"/>
    <w:rsid w:val="2E903C71"/>
    <w:rsid w:val="2E920787"/>
    <w:rsid w:val="2E9A7907"/>
    <w:rsid w:val="2E9E2638"/>
    <w:rsid w:val="2EA446A8"/>
    <w:rsid w:val="2EAA1167"/>
    <w:rsid w:val="2EB01C1E"/>
    <w:rsid w:val="2EB46A04"/>
    <w:rsid w:val="2EB711FE"/>
    <w:rsid w:val="2EBD433B"/>
    <w:rsid w:val="2EC41B6D"/>
    <w:rsid w:val="2ECD362D"/>
    <w:rsid w:val="2ECE6548"/>
    <w:rsid w:val="2ED27D65"/>
    <w:rsid w:val="2EDF4FB3"/>
    <w:rsid w:val="2EE20771"/>
    <w:rsid w:val="2EE45D81"/>
    <w:rsid w:val="2EE6563F"/>
    <w:rsid w:val="2EE962FC"/>
    <w:rsid w:val="2EED0359"/>
    <w:rsid w:val="2EED4C20"/>
    <w:rsid w:val="2EF064BE"/>
    <w:rsid w:val="2EF22236"/>
    <w:rsid w:val="2EFA7BD7"/>
    <w:rsid w:val="2EFC4E63"/>
    <w:rsid w:val="2EFD2AFC"/>
    <w:rsid w:val="2EFF2EDF"/>
    <w:rsid w:val="2F0106CB"/>
    <w:rsid w:val="2F014B01"/>
    <w:rsid w:val="2F0247C0"/>
    <w:rsid w:val="2F027615"/>
    <w:rsid w:val="2F034443"/>
    <w:rsid w:val="2F055055"/>
    <w:rsid w:val="2F097B3E"/>
    <w:rsid w:val="2F0A1F46"/>
    <w:rsid w:val="2F0B32F8"/>
    <w:rsid w:val="2F11754B"/>
    <w:rsid w:val="2F141D40"/>
    <w:rsid w:val="2F175A12"/>
    <w:rsid w:val="2F191A56"/>
    <w:rsid w:val="2F195A15"/>
    <w:rsid w:val="2F204B31"/>
    <w:rsid w:val="2F21503B"/>
    <w:rsid w:val="2F257C3B"/>
    <w:rsid w:val="2F2C3498"/>
    <w:rsid w:val="2F2D07B2"/>
    <w:rsid w:val="2F35554E"/>
    <w:rsid w:val="2F363DB4"/>
    <w:rsid w:val="2F3E0970"/>
    <w:rsid w:val="2F446CE9"/>
    <w:rsid w:val="2F473A87"/>
    <w:rsid w:val="2F4B5DEA"/>
    <w:rsid w:val="2F533148"/>
    <w:rsid w:val="2F5375B5"/>
    <w:rsid w:val="2F5423FB"/>
    <w:rsid w:val="2F553234"/>
    <w:rsid w:val="2F561E0E"/>
    <w:rsid w:val="2F5C7FF7"/>
    <w:rsid w:val="2F6A03D2"/>
    <w:rsid w:val="2F6A44C2"/>
    <w:rsid w:val="2F723377"/>
    <w:rsid w:val="2F776BDF"/>
    <w:rsid w:val="2F787751"/>
    <w:rsid w:val="2F787D25"/>
    <w:rsid w:val="2F797A5E"/>
    <w:rsid w:val="2F7D09D9"/>
    <w:rsid w:val="2F807842"/>
    <w:rsid w:val="2F8A246F"/>
    <w:rsid w:val="2F9036CE"/>
    <w:rsid w:val="2F915CE5"/>
    <w:rsid w:val="2F9316C0"/>
    <w:rsid w:val="2F962126"/>
    <w:rsid w:val="2F9966D9"/>
    <w:rsid w:val="2F9B3854"/>
    <w:rsid w:val="2F9B3896"/>
    <w:rsid w:val="2F9E1DDD"/>
    <w:rsid w:val="2F9F4850"/>
    <w:rsid w:val="2FA26362"/>
    <w:rsid w:val="2FA63021"/>
    <w:rsid w:val="2FA8482C"/>
    <w:rsid w:val="2FB62D97"/>
    <w:rsid w:val="2FBA48F0"/>
    <w:rsid w:val="2FBC0128"/>
    <w:rsid w:val="2FC10CAA"/>
    <w:rsid w:val="2FC242FE"/>
    <w:rsid w:val="2FC37796"/>
    <w:rsid w:val="2FC472C6"/>
    <w:rsid w:val="2FD054DB"/>
    <w:rsid w:val="2FD271D9"/>
    <w:rsid w:val="2FD42EE9"/>
    <w:rsid w:val="2FD46D46"/>
    <w:rsid w:val="2FD808A9"/>
    <w:rsid w:val="2FD952C9"/>
    <w:rsid w:val="2FE37DD1"/>
    <w:rsid w:val="2FED0C50"/>
    <w:rsid w:val="2FF3245E"/>
    <w:rsid w:val="2FF41FDE"/>
    <w:rsid w:val="2FF81E0E"/>
    <w:rsid w:val="2FFB2DCC"/>
    <w:rsid w:val="2FFD65A9"/>
    <w:rsid w:val="3005687C"/>
    <w:rsid w:val="30091E78"/>
    <w:rsid w:val="300E12F2"/>
    <w:rsid w:val="301A2DFD"/>
    <w:rsid w:val="301B6D6D"/>
    <w:rsid w:val="301C6CAC"/>
    <w:rsid w:val="301E0747"/>
    <w:rsid w:val="30224D9D"/>
    <w:rsid w:val="30275F10"/>
    <w:rsid w:val="30316D8E"/>
    <w:rsid w:val="30336FAA"/>
    <w:rsid w:val="303650C3"/>
    <w:rsid w:val="30367A6B"/>
    <w:rsid w:val="303A5707"/>
    <w:rsid w:val="30403A98"/>
    <w:rsid w:val="30450A8C"/>
    <w:rsid w:val="304765B2"/>
    <w:rsid w:val="304F5466"/>
    <w:rsid w:val="30504D60"/>
    <w:rsid w:val="305553AF"/>
    <w:rsid w:val="30563550"/>
    <w:rsid w:val="30581350"/>
    <w:rsid w:val="305F7D9F"/>
    <w:rsid w:val="30656A38"/>
    <w:rsid w:val="30662EDC"/>
    <w:rsid w:val="306849AB"/>
    <w:rsid w:val="307153DD"/>
    <w:rsid w:val="30792F42"/>
    <w:rsid w:val="30991074"/>
    <w:rsid w:val="30AE4883"/>
    <w:rsid w:val="30B23945"/>
    <w:rsid w:val="30B31E99"/>
    <w:rsid w:val="30B742E7"/>
    <w:rsid w:val="30C17AAE"/>
    <w:rsid w:val="30C35DBF"/>
    <w:rsid w:val="30C9346B"/>
    <w:rsid w:val="30CB2D3F"/>
    <w:rsid w:val="30CC6F7E"/>
    <w:rsid w:val="30CE0A81"/>
    <w:rsid w:val="30D23F36"/>
    <w:rsid w:val="30D75B88"/>
    <w:rsid w:val="30DD197C"/>
    <w:rsid w:val="30DD6F16"/>
    <w:rsid w:val="30DF77C7"/>
    <w:rsid w:val="30E74F58"/>
    <w:rsid w:val="30E958BB"/>
    <w:rsid w:val="30EC0F07"/>
    <w:rsid w:val="30EE2ED1"/>
    <w:rsid w:val="30EE3F00"/>
    <w:rsid w:val="30EF1D20"/>
    <w:rsid w:val="30F304E8"/>
    <w:rsid w:val="30F779FC"/>
    <w:rsid w:val="30FA12BF"/>
    <w:rsid w:val="310570DC"/>
    <w:rsid w:val="310B3A83"/>
    <w:rsid w:val="310D15A9"/>
    <w:rsid w:val="310E5321"/>
    <w:rsid w:val="31102E48"/>
    <w:rsid w:val="31175F84"/>
    <w:rsid w:val="31244B45"/>
    <w:rsid w:val="312B7C81"/>
    <w:rsid w:val="312E5247"/>
    <w:rsid w:val="31326AF4"/>
    <w:rsid w:val="3134032E"/>
    <w:rsid w:val="31363E4E"/>
    <w:rsid w:val="3138414C"/>
    <w:rsid w:val="313B179E"/>
    <w:rsid w:val="314407FC"/>
    <w:rsid w:val="31496EEC"/>
    <w:rsid w:val="314A7BDF"/>
    <w:rsid w:val="314D409C"/>
    <w:rsid w:val="314F750B"/>
    <w:rsid w:val="315159AC"/>
    <w:rsid w:val="315245A8"/>
    <w:rsid w:val="3153463F"/>
    <w:rsid w:val="31566970"/>
    <w:rsid w:val="31580624"/>
    <w:rsid w:val="315B522B"/>
    <w:rsid w:val="315B5C24"/>
    <w:rsid w:val="315E7B1E"/>
    <w:rsid w:val="3168239A"/>
    <w:rsid w:val="317A00BB"/>
    <w:rsid w:val="317D7EBB"/>
    <w:rsid w:val="31876369"/>
    <w:rsid w:val="318D450C"/>
    <w:rsid w:val="31903F88"/>
    <w:rsid w:val="319132F6"/>
    <w:rsid w:val="319420BE"/>
    <w:rsid w:val="319B2682"/>
    <w:rsid w:val="319C3ECF"/>
    <w:rsid w:val="319F0024"/>
    <w:rsid w:val="31A812D2"/>
    <w:rsid w:val="31AB2DAB"/>
    <w:rsid w:val="31AC1DEB"/>
    <w:rsid w:val="31B25476"/>
    <w:rsid w:val="31B71515"/>
    <w:rsid w:val="31B959C7"/>
    <w:rsid w:val="31BD550A"/>
    <w:rsid w:val="31BF118C"/>
    <w:rsid w:val="31C3435E"/>
    <w:rsid w:val="31C559E0"/>
    <w:rsid w:val="31CC3212"/>
    <w:rsid w:val="31CF465E"/>
    <w:rsid w:val="31CF6C2F"/>
    <w:rsid w:val="31D65860"/>
    <w:rsid w:val="31DE2F46"/>
    <w:rsid w:val="31DE6A36"/>
    <w:rsid w:val="31DF2946"/>
    <w:rsid w:val="31E07961"/>
    <w:rsid w:val="31E153D6"/>
    <w:rsid w:val="31E626CB"/>
    <w:rsid w:val="31E77E49"/>
    <w:rsid w:val="31ED3189"/>
    <w:rsid w:val="31EE10DC"/>
    <w:rsid w:val="31F17700"/>
    <w:rsid w:val="31F27808"/>
    <w:rsid w:val="31F449E0"/>
    <w:rsid w:val="31F81AD3"/>
    <w:rsid w:val="320471EC"/>
    <w:rsid w:val="32110C25"/>
    <w:rsid w:val="321142D8"/>
    <w:rsid w:val="321B644E"/>
    <w:rsid w:val="3221513D"/>
    <w:rsid w:val="32240CF8"/>
    <w:rsid w:val="322F3DB8"/>
    <w:rsid w:val="322F554F"/>
    <w:rsid w:val="32317484"/>
    <w:rsid w:val="32362272"/>
    <w:rsid w:val="323647E0"/>
    <w:rsid w:val="323808A8"/>
    <w:rsid w:val="323B3FCC"/>
    <w:rsid w:val="32431AD0"/>
    <w:rsid w:val="32530340"/>
    <w:rsid w:val="325A3421"/>
    <w:rsid w:val="32607DFF"/>
    <w:rsid w:val="326501D5"/>
    <w:rsid w:val="326E03CD"/>
    <w:rsid w:val="32716E51"/>
    <w:rsid w:val="32737B32"/>
    <w:rsid w:val="32747406"/>
    <w:rsid w:val="327614B6"/>
    <w:rsid w:val="32793FAC"/>
    <w:rsid w:val="3282040F"/>
    <w:rsid w:val="328A6C2A"/>
    <w:rsid w:val="328E2CF1"/>
    <w:rsid w:val="32922593"/>
    <w:rsid w:val="32945358"/>
    <w:rsid w:val="32977498"/>
    <w:rsid w:val="329830F5"/>
    <w:rsid w:val="32987720"/>
    <w:rsid w:val="32A11B7A"/>
    <w:rsid w:val="32A32A78"/>
    <w:rsid w:val="32A55B5B"/>
    <w:rsid w:val="32AB22E8"/>
    <w:rsid w:val="32B04DB2"/>
    <w:rsid w:val="32B207B9"/>
    <w:rsid w:val="32C038F7"/>
    <w:rsid w:val="32C569FF"/>
    <w:rsid w:val="32C75788"/>
    <w:rsid w:val="32CE4D68"/>
    <w:rsid w:val="32CF2B72"/>
    <w:rsid w:val="32D03638"/>
    <w:rsid w:val="32D147E3"/>
    <w:rsid w:val="32D50524"/>
    <w:rsid w:val="32DB1233"/>
    <w:rsid w:val="32DE46DD"/>
    <w:rsid w:val="32E20814"/>
    <w:rsid w:val="32E427DE"/>
    <w:rsid w:val="32E53A10"/>
    <w:rsid w:val="32E5532C"/>
    <w:rsid w:val="32EC5A11"/>
    <w:rsid w:val="32F50547"/>
    <w:rsid w:val="32FA3431"/>
    <w:rsid w:val="330322D6"/>
    <w:rsid w:val="3306616E"/>
    <w:rsid w:val="330662B0"/>
    <w:rsid w:val="330A641A"/>
    <w:rsid w:val="332350B4"/>
    <w:rsid w:val="333A389D"/>
    <w:rsid w:val="33480F8C"/>
    <w:rsid w:val="334B0167"/>
    <w:rsid w:val="335253F3"/>
    <w:rsid w:val="33545A64"/>
    <w:rsid w:val="335A2AA0"/>
    <w:rsid w:val="336054FE"/>
    <w:rsid w:val="33673093"/>
    <w:rsid w:val="336F3663"/>
    <w:rsid w:val="337554A3"/>
    <w:rsid w:val="337B0E24"/>
    <w:rsid w:val="337C2D44"/>
    <w:rsid w:val="338401D6"/>
    <w:rsid w:val="33862191"/>
    <w:rsid w:val="338C030E"/>
    <w:rsid w:val="33924593"/>
    <w:rsid w:val="33925D96"/>
    <w:rsid w:val="33950AA1"/>
    <w:rsid w:val="33984492"/>
    <w:rsid w:val="339A4C4A"/>
    <w:rsid w:val="339A6BE6"/>
    <w:rsid w:val="33A45AC9"/>
    <w:rsid w:val="33A51F6D"/>
    <w:rsid w:val="33A65CE5"/>
    <w:rsid w:val="33AE557F"/>
    <w:rsid w:val="33B053AF"/>
    <w:rsid w:val="33B421B0"/>
    <w:rsid w:val="33B43F5E"/>
    <w:rsid w:val="33B724AA"/>
    <w:rsid w:val="33B7681F"/>
    <w:rsid w:val="33C0222F"/>
    <w:rsid w:val="33C61EE3"/>
    <w:rsid w:val="33CA0C54"/>
    <w:rsid w:val="33CA4D76"/>
    <w:rsid w:val="33CF5015"/>
    <w:rsid w:val="33D041B0"/>
    <w:rsid w:val="33D068BE"/>
    <w:rsid w:val="33D23701"/>
    <w:rsid w:val="33D34C0B"/>
    <w:rsid w:val="33D62126"/>
    <w:rsid w:val="33D95773"/>
    <w:rsid w:val="33E011C1"/>
    <w:rsid w:val="33E0347F"/>
    <w:rsid w:val="33E16D1D"/>
    <w:rsid w:val="33E27F6A"/>
    <w:rsid w:val="33F95E15"/>
    <w:rsid w:val="33FB466D"/>
    <w:rsid w:val="33FC48D7"/>
    <w:rsid w:val="34013C3D"/>
    <w:rsid w:val="34040D62"/>
    <w:rsid w:val="34076784"/>
    <w:rsid w:val="34094833"/>
    <w:rsid w:val="340E0074"/>
    <w:rsid w:val="340E112B"/>
    <w:rsid w:val="34162F23"/>
    <w:rsid w:val="34182E2D"/>
    <w:rsid w:val="341A3E87"/>
    <w:rsid w:val="34210CAE"/>
    <w:rsid w:val="342B1D46"/>
    <w:rsid w:val="342F5CDB"/>
    <w:rsid w:val="34363F73"/>
    <w:rsid w:val="344008D1"/>
    <w:rsid w:val="344572AC"/>
    <w:rsid w:val="34495444"/>
    <w:rsid w:val="345E1E65"/>
    <w:rsid w:val="345E211C"/>
    <w:rsid w:val="34655258"/>
    <w:rsid w:val="3465632F"/>
    <w:rsid w:val="34666BD6"/>
    <w:rsid w:val="348002E4"/>
    <w:rsid w:val="34802092"/>
    <w:rsid w:val="34802708"/>
    <w:rsid w:val="34847DD4"/>
    <w:rsid w:val="3485461B"/>
    <w:rsid w:val="349079A6"/>
    <w:rsid w:val="34925255"/>
    <w:rsid w:val="34963664"/>
    <w:rsid w:val="349721D9"/>
    <w:rsid w:val="349A5FEE"/>
    <w:rsid w:val="349D69F2"/>
    <w:rsid w:val="349E5D58"/>
    <w:rsid w:val="34A2025B"/>
    <w:rsid w:val="34A47F83"/>
    <w:rsid w:val="34AA710F"/>
    <w:rsid w:val="34AC2916"/>
    <w:rsid w:val="34B14638"/>
    <w:rsid w:val="34BE489F"/>
    <w:rsid w:val="34C5219B"/>
    <w:rsid w:val="34CA36DC"/>
    <w:rsid w:val="34CA77B1"/>
    <w:rsid w:val="34D10B40"/>
    <w:rsid w:val="34D20A5B"/>
    <w:rsid w:val="34D661A3"/>
    <w:rsid w:val="34D7676C"/>
    <w:rsid w:val="34D81ECE"/>
    <w:rsid w:val="34DA5C46"/>
    <w:rsid w:val="34DD60AF"/>
    <w:rsid w:val="34DE4287"/>
    <w:rsid w:val="34DF500B"/>
    <w:rsid w:val="34E63ED8"/>
    <w:rsid w:val="34EB2CDD"/>
    <w:rsid w:val="34EC2EB9"/>
    <w:rsid w:val="34EE299B"/>
    <w:rsid w:val="34EE524E"/>
    <w:rsid w:val="34EE74E4"/>
    <w:rsid w:val="3504664D"/>
    <w:rsid w:val="350F40EB"/>
    <w:rsid w:val="351143F2"/>
    <w:rsid w:val="35117CA8"/>
    <w:rsid w:val="35142EDA"/>
    <w:rsid w:val="35156C7E"/>
    <w:rsid w:val="351E091F"/>
    <w:rsid w:val="351F0FAC"/>
    <w:rsid w:val="35210197"/>
    <w:rsid w:val="35264011"/>
    <w:rsid w:val="35284C04"/>
    <w:rsid w:val="352A4256"/>
    <w:rsid w:val="35334E0D"/>
    <w:rsid w:val="353510CF"/>
    <w:rsid w:val="353D61D5"/>
    <w:rsid w:val="3542559A"/>
    <w:rsid w:val="35431424"/>
    <w:rsid w:val="35470C60"/>
    <w:rsid w:val="35474AB0"/>
    <w:rsid w:val="3547515D"/>
    <w:rsid w:val="35480CF6"/>
    <w:rsid w:val="354E3E1E"/>
    <w:rsid w:val="355125EB"/>
    <w:rsid w:val="35530F91"/>
    <w:rsid w:val="355A362C"/>
    <w:rsid w:val="355D069A"/>
    <w:rsid w:val="35646B82"/>
    <w:rsid w:val="356B50D9"/>
    <w:rsid w:val="356C58AD"/>
    <w:rsid w:val="357065AB"/>
    <w:rsid w:val="35774AB9"/>
    <w:rsid w:val="357A2DF7"/>
    <w:rsid w:val="357E2A76"/>
    <w:rsid w:val="358054A4"/>
    <w:rsid w:val="358335C2"/>
    <w:rsid w:val="35843E04"/>
    <w:rsid w:val="35856DCE"/>
    <w:rsid w:val="3587366D"/>
    <w:rsid w:val="358E6184"/>
    <w:rsid w:val="35A16F73"/>
    <w:rsid w:val="35A3641B"/>
    <w:rsid w:val="35A41DB0"/>
    <w:rsid w:val="35A46254"/>
    <w:rsid w:val="35A470AE"/>
    <w:rsid w:val="35A818A1"/>
    <w:rsid w:val="35B277CF"/>
    <w:rsid w:val="35B33B03"/>
    <w:rsid w:val="35BA15D4"/>
    <w:rsid w:val="35BA5E1A"/>
    <w:rsid w:val="35BE16F5"/>
    <w:rsid w:val="35C366DA"/>
    <w:rsid w:val="35C45969"/>
    <w:rsid w:val="35C84690"/>
    <w:rsid w:val="35CA7988"/>
    <w:rsid w:val="35E47D46"/>
    <w:rsid w:val="35EA79A6"/>
    <w:rsid w:val="35ED6B48"/>
    <w:rsid w:val="35F45E8B"/>
    <w:rsid w:val="35FB5B03"/>
    <w:rsid w:val="35FC14BD"/>
    <w:rsid w:val="35FE7713"/>
    <w:rsid w:val="360D7950"/>
    <w:rsid w:val="36241293"/>
    <w:rsid w:val="36257395"/>
    <w:rsid w:val="36265440"/>
    <w:rsid w:val="3635536D"/>
    <w:rsid w:val="363807BF"/>
    <w:rsid w:val="363870C8"/>
    <w:rsid w:val="363B637D"/>
    <w:rsid w:val="363C1B5F"/>
    <w:rsid w:val="36435E6F"/>
    <w:rsid w:val="364610BA"/>
    <w:rsid w:val="36583083"/>
    <w:rsid w:val="365A33B7"/>
    <w:rsid w:val="366C2B55"/>
    <w:rsid w:val="366D23E9"/>
    <w:rsid w:val="366E276C"/>
    <w:rsid w:val="36703A01"/>
    <w:rsid w:val="367223C9"/>
    <w:rsid w:val="36755FDE"/>
    <w:rsid w:val="36780F74"/>
    <w:rsid w:val="3679323D"/>
    <w:rsid w:val="36832A4B"/>
    <w:rsid w:val="368340BC"/>
    <w:rsid w:val="3687595A"/>
    <w:rsid w:val="36881445"/>
    <w:rsid w:val="368A292D"/>
    <w:rsid w:val="368A594B"/>
    <w:rsid w:val="368C1783"/>
    <w:rsid w:val="368F7238"/>
    <w:rsid w:val="36932551"/>
    <w:rsid w:val="369D6FED"/>
    <w:rsid w:val="36AA4451"/>
    <w:rsid w:val="36AA7426"/>
    <w:rsid w:val="36AD7768"/>
    <w:rsid w:val="36B008D8"/>
    <w:rsid w:val="36B10C29"/>
    <w:rsid w:val="36BA6444"/>
    <w:rsid w:val="36BC2851"/>
    <w:rsid w:val="36C92F24"/>
    <w:rsid w:val="36CC15BF"/>
    <w:rsid w:val="36D956AC"/>
    <w:rsid w:val="36D96DD9"/>
    <w:rsid w:val="36DC30B5"/>
    <w:rsid w:val="36DE12F2"/>
    <w:rsid w:val="36E36908"/>
    <w:rsid w:val="36E66C40"/>
    <w:rsid w:val="36E7464B"/>
    <w:rsid w:val="36ED5F79"/>
    <w:rsid w:val="36EE3C2B"/>
    <w:rsid w:val="36F10990"/>
    <w:rsid w:val="36F63B37"/>
    <w:rsid w:val="3700570C"/>
    <w:rsid w:val="370D26A3"/>
    <w:rsid w:val="37111DEF"/>
    <w:rsid w:val="37154136"/>
    <w:rsid w:val="371C38A7"/>
    <w:rsid w:val="371D62BE"/>
    <w:rsid w:val="371F48A9"/>
    <w:rsid w:val="37201095"/>
    <w:rsid w:val="372235BD"/>
    <w:rsid w:val="37227431"/>
    <w:rsid w:val="37252C7D"/>
    <w:rsid w:val="3729791C"/>
    <w:rsid w:val="372A370D"/>
    <w:rsid w:val="372B1BF8"/>
    <w:rsid w:val="373309DC"/>
    <w:rsid w:val="373C4996"/>
    <w:rsid w:val="37403D5B"/>
    <w:rsid w:val="37465815"/>
    <w:rsid w:val="37492C0F"/>
    <w:rsid w:val="37520247"/>
    <w:rsid w:val="37557806"/>
    <w:rsid w:val="375665FE"/>
    <w:rsid w:val="375B08D5"/>
    <w:rsid w:val="375B2943"/>
    <w:rsid w:val="376215F9"/>
    <w:rsid w:val="37621F23"/>
    <w:rsid w:val="376712E7"/>
    <w:rsid w:val="376C68FE"/>
    <w:rsid w:val="376E70A4"/>
    <w:rsid w:val="377719EF"/>
    <w:rsid w:val="37774177"/>
    <w:rsid w:val="378679C0"/>
    <w:rsid w:val="37885B03"/>
    <w:rsid w:val="37887BDC"/>
    <w:rsid w:val="378D618D"/>
    <w:rsid w:val="378E4AC6"/>
    <w:rsid w:val="379245B6"/>
    <w:rsid w:val="379540A7"/>
    <w:rsid w:val="37977E1F"/>
    <w:rsid w:val="379A16BD"/>
    <w:rsid w:val="37A3555E"/>
    <w:rsid w:val="37A434A3"/>
    <w:rsid w:val="37A920BC"/>
    <w:rsid w:val="37AB6A50"/>
    <w:rsid w:val="37B01116"/>
    <w:rsid w:val="37C4498C"/>
    <w:rsid w:val="37C5495D"/>
    <w:rsid w:val="37D642D5"/>
    <w:rsid w:val="37E341DA"/>
    <w:rsid w:val="37E43C38"/>
    <w:rsid w:val="37E61FC2"/>
    <w:rsid w:val="37E92CFD"/>
    <w:rsid w:val="37EC5F7B"/>
    <w:rsid w:val="37F0142D"/>
    <w:rsid w:val="37F0694A"/>
    <w:rsid w:val="37F14165"/>
    <w:rsid w:val="37F30DCD"/>
    <w:rsid w:val="37F61858"/>
    <w:rsid w:val="37FE1C4C"/>
    <w:rsid w:val="38027162"/>
    <w:rsid w:val="38037262"/>
    <w:rsid w:val="380600E0"/>
    <w:rsid w:val="38097BC6"/>
    <w:rsid w:val="380C7EA0"/>
    <w:rsid w:val="380D00E1"/>
    <w:rsid w:val="380D1E8F"/>
    <w:rsid w:val="381257AF"/>
    <w:rsid w:val="381450F7"/>
    <w:rsid w:val="38170F36"/>
    <w:rsid w:val="381750B3"/>
    <w:rsid w:val="3824244F"/>
    <w:rsid w:val="38276324"/>
    <w:rsid w:val="382947EF"/>
    <w:rsid w:val="382C4A0B"/>
    <w:rsid w:val="38312021"/>
    <w:rsid w:val="3837600C"/>
    <w:rsid w:val="38441E4A"/>
    <w:rsid w:val="38514AF8"/>
    <w:rsid w:val="38581D94"/>
    <w:rsid w:val="385B0E4C"/>
    <w:rsid w:val="385C4BC4"/>
    <w:rsid w:val="38635F53"/>
    <w:rsid w:val="38646DDA"/>
    <w:rsid w:val="38657F1D"/>
    <w:rsid w:val="386C12AB"/>
    <w:rsid w:val="38703520"/>
    <w:rsid w:val="3872263A"/>
    <w:rsid w:val="387442BD"/>
    <w:rsid w:val="387A5AF6"/>
    <w:rsid w:val="387A74C6"/>
    <w:rsid w:val="38824FEC"/>
    <w:rsid w:val="388365F5"/>
    <w:rsid w:val="388A1731"/>
    <w:rsid w:val="388B08B2"/>
    <w:rsid w:val="388C01E2"/>
    <w:rsid w:val="388D1222"/>
    <w:rsid w:val="389B74EC"/>
    <w:rsid w:val="389E342F"/>
    <w:rsid w:val="389F5805"/>
    <w:rsid w:val="38A2163C"/>
    <w:rsid w:val="38A228AC"/>
    <w:rsid w:val="38A44724"/>
    <w:rsid w:val="38B10CD7"/>
    <w:rsid w:val="38B371E2"/>
    <w:rsid w:val="38B95B73"/>
    <w:rsid w:val="38BC484B"/>
    <w:rsid w:val="38BC78D1"/>
    <w:rsid w:val="38BF1A11"/>
    <w:rsid w:val="38C01848"/>
    <w:rsid w:val="38C21810"/>
    <w:rsid w:val="38C430B9"/>
    <w:rsid w:val="38C727A6"/>
    <w:rsid w:val="38D8647F"/>
    <w:rsid w:val="38DD576E"/>
    <w:rsid w:val="38E26DA6"/>
    <w:rsid w:val="38E35FF9"/>
    <w:rsid w:val="38E758FC"/>
    <w:rsid w:val="38EB0233"/>
    <w:rsid w:val="38ED6A84"/>
    <w:rsid w:val="38F51C6A"/>
    <w:rsid w:val="390037A2"/>
    <w:rsid w:val="390115DC"/>
    <w:rsid w:val="39111C5F"/>
    <w:rsid w:val="39142431"/>
    <w:rsid w:val="39186D3D"/>
    <w:rsid w:val="39204A69"/>
    <w:rsid w:val="392755EE"/>
    <w:rsid w:val="392C7748"/>
    <w:rsid w:val="39391637"/>
    <w:rsid w:val="393A4F06"/>
    <w:rsid w:val="393A67E2"/>
    <w:rsid w:val="394A2C6F"/>
    <w:rsid w:val="394B064D"/>
    <w:rsid w:val="394B5125"/>
    <w:rsid w:val="3962620A"/>
    <w:rsid w:val="39627FB8"/>
    <w:rsid w:val="39640917"/>
    <w:rsid w:val="39651C68"/>
    <w:rsid w:val="39673821"/>
    <w:rsid w:val="396C6F56"/>
    <w:rsid w:val="397273BD"/>
    <w:rsid w:val="398828FC"/>
    <w:rsid w:val="398B750F"/>
    <w:rsid w:val="39916AF0"/>
    <w:rsid w:val="39985DC1"/>
    <w:rsid w:val="399E7355"/>
    <w:rsid w:val="39AA03A6"/>
    <w:rsid w:val="39AE31FE"/>
    <w:rsid w:val="39B13948"/>
    <w:rsid w:val="39B843F8"/>
    <w:rsid w:val="39BA4298"/>
    <w:rsid w:val="39BB523D"/>
    <w:rsid w:val="39BD24A1"/>
    <w:rsid w:val="39BE5B37"/>
    <w:rsid w:val="39C30CBF"/>
    <w:rsid w:val="39C84BD3"/>
    <w:rsid w:val="39CD7B28"/>
    <w:rsid w:val="39D07618"/>
    <w:rsid w:val="39D23088"/>
    <w:rsid w:val="39D23C11"/>
    <w:rsid w:val="39D37108"/>
    <w:rsid w:val="39D63BC2"/>
    <w:rsid w:val="39DC0F86"/>
    <w:rsid w:val="39E869B1"/>
    <w:rsid w:val="39E92488"/>
    <w:rsid w:val="39EC3D26"/>
    <w:rsid w:val="39ED1F78"/>
    <w:rsid w:val="39F03816"/>
    <w:rsid w:val="39F24786"/>
    <w:rsid w:val="39F350B4"/>
    <w:rsid w:val="39F8091D"/>
    <w:rsid w:val="39F96B6F"/>
    <w:rsid w:val="39FD5F33"/>
    <w:rsid w:val="3A0B4AF4"/>
    <w:rsid w:val="3A0D1341"/>
    <w:rsid w:val="3A17042E"/>
    <w:rsid w:val="3A19697C"/>
    <w:rsid w:val="3A241712"/>
    <w:rsid w:val="3A275664"/>
    <w:rsid w:val="3A296A5E"/>
    <w:rsid w:val="3A39340F"/>
    <w:rsid w:val="3A396F6B"/>
    <w:rsid w:val="3A3A5C00"/>
    <w:rsid w:val="3A3C2633"/>
    <w:rsid w:val="3A3E7C39"/>
    <w:rsid w:val="3A483652"/>
    <w:rsid w:val="3A4B6EC2"/>
    <w:rsid w:val="3A555D6F"/>
    <w:rsid w:val="3A672285"/>
    <w:rsid w:val="3A685AA2"/>
    <w:rsid w:val="3A6C34FD"/>
    <w:rsid w:val="3A6D2B4C"/>
    <w:rsid w:val="3A72247D"/>
    <w:rsid w:val="3A73258B"/>
    <w:rsid w:val="3A74058B"/>
    <w:rsid w:val="3A740FA3"/>
    <w:rsid w:val="3A744447"/>
    <w:rsid w:val="3A766411"/>
    <w:rsid w:val="3A773F37"/>
    <w:rsid w:val="3A7C32FC"/>
    <w:rsid w:val="3A835C8F"/>
    <w:rsid w:val="3A856654"/>
    <w:rsid w:val="3A900B55"/>
    <w:rsid w:val="3A94332A"/>
    <w:rsid w:val="3A96111B"/>
    <w:rsid w:val="3A96260F"/>
    <w:rsid w:val="3A9836A3"/>
    <w:rsid w:val="3A9A69CA"/>
    <w:rsid w:val="3AA0577F"/>
    <w:rsid w:val="3AA862F3"/>
    <w:rsid w:val="3AA8663F"/>
    <w:rsid w:val="3AA92B72"/>
    <w:rsid w:val="3AB7338B"/>
    <w:rsid w:val="3AB86D63"/>
    <w:rsid w:val="3AB900AC"/>
    <w:rsid w:val="3ABA6EB7"/>
    <w:rsid w:val="3AC32E01"/>
    <w:rsid w:val="3AC54CA3"/>
    <w:rsid w:val="3AD06FC2"/>
    <w:rsid w:val="3AD54DCB"/>
    <w:rsid w:val="3AD9074E"/>
    <w:rsid w:val="3ADE7B13"/>
    <w:rsid w:val="3ADF71D3"/>
    <w:rsid w:val="3AED2D29"/>
    <w:rsid w:val="3AFC1592"/>
    <w:rsid w:val="3B051373"/>
    <w:rsid w:val="3B077069"/>
    <w:rsid w:val="3B0A473E"/>
    <w:rsid w:val="3B0B3494"/>
    <w:rsid w:val="3B0B50DD"/>
    <w:rsid w:val="3B10512C"/>
    <w:rsid w:val="3B156DF1"/>
    <w:rsid w:val="3B174F09"/>
    <w:rsid w:val="3B190B4B"/>
    <w:rsid w:val="3B274878"/>
    <w:rsid w:val="3B3132FD"/>
    <w:rsid w:val="3B35720A"/>
    <w:rsid w:val="3B3F2CA7"/>
    <w:rsid w:val="3B421FAF"/>
    <w:rsid w:val="3B424B80"/>
    <w:rsid w:val="3B4267A7"/>
    <w:rsid w:val="3B4303D2"/>
    <w:rsid w:val="3B467602"/>
    <w:rsid w:val="3B48382E"/>
    <w:rsid w:val="3B5953EB"/>
    <w:rsid w:val="3B5B48B2"/>
    <w:rsid w:val="3B707C26"/>
    <w:rsid w:val="3B742767"/>
    <w:rsid w:val="3B794422"/>
    <w:rsid w:val="3B8561E0"/>
    <w:rsid w:val="3B8D4E6B"/>
    <w:rsid w:val="3B934DA1"/>
    <w:rsid w:val="3B980671"/>
    <w:rsid w:val="3B9C1C00"/>
    <w:rsid w:val="3B9D6010"/>
    <w:rsid w:val="3BB23E5F"/>
    <w:rsid w:val="3BBA40DC"/>
    <w:rsid w:val="3BBD5869"/>
    <w:rsid w:val="3BC1190E"/>
    <w:rsid w:val="3BC44F5A"/>
    <w:rsid w:val="3BC7691B"/>
    <w:rsid w:val="3BD63FE6"/>
    <w:rsid w:val="3BDA4E51"/>
    <w:rsid w:val="3BDB2906"/>
    <w:rsid w:val="3BDC3DCD"/>
    <w:rsid w:val="3BE57EB5"/>
    <w:rsid w:val="3BEC3676"/>
    <w:rsid w:val="3BEE0229"/>
    <w:rsid w:val="3BEF6D9B"/>
    <w:rsid w:val="3BEF7DD6"/>
    <w:rsid w:val="3BF50A91"/>
    <w:rsid w:val="3BF66E77"/>
    <w:rsid w:val="3BF82EB3"/>
    <w:rsid w:val="3C0165D0"/>
    <w:rsid w:val="3C07775B"/>
    <w:rsid w:val="3C0D1A01"/>
    <w:rsid w:val="3C156456"/>
    <w:rsid w:val="3C1832DF"/>
    <w:rsid w:val="3C1D7D04"/>
    <w:rsid w:val="3C213BF5"/>
    <w:rsid w:val="3C235333"/>
    <w:rsid w:val="3C24099A"/>
    <w:rsid w:val="3C2A2ADB"/>
    <w:rsid w:val="3C2F4ACA"/>
    <w:rsid w:val="3C335C3C"/>
    <w:rsid w:val="3C353F33"/>
    <w:rsid w:val="3C3976F6"/>
    <w:rsid w:val="3C3A7F27"/>
    <w:rsid w:val="3C3B3F8A"/>
    <w:rsid w:val="3C493B58"/>
    <w:rsid w:val="3C517860"/>
    <w:rsid w:val="3C5C33E5"/>
    <w:rsid w:val="3C5D3C4F"/>
    <w:rsid w:val="3C5D666B"/>
    <w:rsid w:val="3C5D7CBE"/>
    <w:rsid w:val="3C5F0E2E"/>
    <w:rsid w:val="3C5F3DC8"/>
    <w:rsid w:val="3C682428"/>
    <w:rsid w:val="3C68483E"/>
    <w:rsid w:val="3C746DFB"/>
    <w:rsid w:val="3C776471"/>
    <w:rsid w:val="3C814BF9"/>
    <w:rsid w:val="3C890DD4"/>
    <w:rsid w:val="3C8E046F"/>
    <w:rsid w:val="3C92713B"/>
    <w:rsid w:val="3C9C7931"/>
    <w:rsid w:val="3C9E65CD"/>
    <w:rsid w:val="3CA37266"/>
    <w:rsid w:val="3CA7031E"/>
    <w:rsid w:val="3CAD5647"/>
    <w:rsid w:val="3CB46D7D"/>
    <w:rsid w:val="3CB805C4"/>
    <w:rsid w:val="3CC001B9"/>
    <w:rsid w:val="3CC2593E"/>
    <w:rsid w:val="3CCF0F6E"/>
    <w:rsid w:val="3CD13DD3"/>
    <w:rsid w:val="3CD72A6B"/>
    <w:rsid w:val="3CDA3B31"/>
    <w:rsid w:val="3CDC7007"/>
    <w:rsid w:val="3CDD5A81"/>
    <w:rsid w:val="3CE04D3A"/>
    <w:rsid w:val="3CE1643B"/>
    <w:rsid w:val="3CE31410"/>
    <w:rsid w:val="3CE358B4"/>
    <w:rsid w:val="3CE55646"/>
    <w:rsid w:val="3CE82ECA"/>
    <w:rsid w:val="3CEA279F"/>
    <w:rsid w:val="3CF179E8"/>
    <w:rsid w:val="3CF33D49"/>
    <w:rsid w:val="3CF7310E"/>
    <w:rsid w:val="3D1230BD"/>
    <w:rsid w:val="3D136EFB"/>
    <w:rsid w:val="3D154912"/>
    <w:rsid w:val="3D165E8C"/>
    <w:rsid w:val="3D193084"/>
    <w:rsid w:val="3D1A5448"/>
    <w:rsid w:val="3D1B607F"/>
    <w:rsid w:val="3D2031C7"/>
    <w:rsid w:val="3D223D21"/>
    <w:rsid w:val="3D2513C4"/>
    <w:rsid w:val="3D2832C7"/>
    <w:rsid w:val="3D2D7B8E"/>
    <w:rsid w:val="3D2F0740"/>
    <w:rsid w:val="3D2F0AF9"/>
    <w:rsid w:val="3D34687C"/>
    <w:rsid w:val="3D3659E4"/>
    <w:rsid w:val="3D404AB5"/>
    <w:rsid w:val="3D464B66"/>
    <w:rsid w:val="3D474095"/>
    <w:rsid w:val="3D485717"/>
    <w:rsid w:val="3D516CC2"/>
    <w:rsid w:val="3D532A3A"/>
    <w:rsid w:val="3D581DFE"/>
    <w:rsid w:val="3D5B544A"/>
    <w:rsid w:val="3D5F13DF"/>
    <w:rsid w:val="3D605AF2"/>
    <w:rsid w:val="3D6267D9"/>
    <w:rsid w:val="3D6E7981"/>
    <w:rsid w:val="3D6F2940"/>
    <w:rsid w:val="3D702415"/>
    <w:rsid w:val="3D717ADB"/>
    <w:rsid w:val="3D7442A2"/>
    <w:rsid w:val="3D7A7FC6"/>
    <w:rsid w:val="3D8438F5"/>
    <w:rsid w:val="3D864BBD"/>
    <w:rsid w:val="3D891FB8"/>
    <w:rsid w:val="3D8960ED"/>
    <w:rsid w:val="3D8C006D"/>
    <w:rsid w:val="3D954E00"/>
    <w:rsid w:val="3D98044D"/>
    <w:rsid w:val="3D9A71DB"/>
    <w:rsid w:val="3D9B7F3D"/>
    <w:rsid w:val="3DA43295"/>
    <w:rsid w:val="3DAE1A1E"/>
    <w:rsid w:val="3DAE7C70"/>
    <w:rsid w:val="3DB159B2"/>
    <w:rsid w:val="3DB272D8"/>
    <w:rsid w:val="3DB46808"/>
    <w:rsid w:val="3DBC182E"/>
    <w:rsid w:val="3DBF1E7D"/>
    <w:rsid w:val="3DCE20C0"/>
    <w:rsid w:val="3DCE24ED"/>
    <w:rsid w:val="3DDB4952"/>
    <w:rsid w:val="3DDF2B68"/>
    <w:rsid w:val="3DE312D8"/>
    <w:rsid w:val="3DE50366"/>
    <w:rsid w:val="3DE82198"/>
    <w:rsid w:val="3DF2491B"/>
    <w:rsid w:val="3DF8538F"/>
    <w:rsid w:val="3DFB432B"/>
    <w:rsid w:val="3DFE0BF8"/>
    <w:rsid w:val="3DFF127E"/>
    <w:rsid w:val="3E014244"/>
    <w:rsid w:val="3E05072E"/>
    <w:rsid w:val="3E0B2D85"/>
    <w:rsid w:val="3E0F01BB"/>
    <w:rsid w:val="3E126451"/>
    <w:rsid w:val="3E16206F"/>
    <w:rsid w:val="3E1C5380"/>
    <w:rsid w:val="3E2241BA"/>
    <w:rsid w:val="3E2324C9"/>
    <w:rsid w:val="3E247F32"/>
    <w:rsid w:val="3E276254"/>
    <w:rsid w:val="3E277A87"/>
    <w:rsid w:val="3E2B7513"/>
    <w:rsid w:val="3E2B7626"/>
    <w:rsid w:val="3E344619"/>
    <w:rsid w:val="3E3D2293"/>
    <w:rsid w:val="3E406979"/>
    <w:rsid w:val="3E416329"/>
    <w:rsid w:val="3E455D4F"/>
    <w:rsid w:val="3E4D29DB"/>
    <w:rsid w:val="3E506F79"/>
    <w:rsid w:val="3E5838DD"/>
    <w:rsid w:val="3E5C4AA2"/>
    <w:rsid w:val="3E5E1696"/>
    <w:rsid w:val="3E600908"/>
    <w:rsid w:val="3E602718"/>
    <w:rsid w:val="3E611186"/>
    <w:rsid w:val="3E614CE2"/>
    <w:rsid w:val="3E703177"/>
    <w:rsid w:val="3E725142"/>
    <w:rsid w:val="3E726EC9"/>
    <w:rsid w:val="3E75078E"/>
    <w:rsid w:val="3E79027E"/>
    <w:rsid w:val="3E831D52"/>
    <w:rsid w:val="3E883E5D"/>
    <w:rsid w:val="3E8A6064"/>
    <w:rsid w:val="3E8B7FB1"/>
    <w:rsid w:val="3E8E326B"/>
    <w:rsid w:val="3E951889"/>
    <w:rsid w:val="3E9629CF"/>
    <w:rsid w:val="3E9740E5"/>
    <w:rsid w:val="3E9C5D1B"/>
    <w:rsid w:val="3EA0134A"/>
    <w:rsid w:val="3EA543F5"/>
    <w:rsid w:val="3EAA15F6"/>
    <w:rsid w:val="3EAE0324"/>
    <w:rsid w:val="3EB017C6"/>
    <w:rsid w:val="3EB2553E"/>
    <w:rsid w:val="3EB72B54"/>
    <w:rsid w:val="3EBF3F2C"/>
    <w:rsid w:val="3EBF7C5B"/>
    <w:rsid w:val="3EC11C25"/>
    <w:rsid w:val="3EC14B85"/>
    <w:rsid w:val="3EC17BD0"/>
    <w:rsid w:val="3EC201C7"/>
    <w:rsid w:val="3EC3206C"/>
    <w:rsid w:val="3EC568D3"/>
    <w:rsid w:val="3ECC7844"/>
    <w:rsid w:val="3ECD00BE"/>
    <w:rsid w:val="3ECF0111"/>
    <w:rsid w:val="3EDF07E5"/>
    <w:rsid w:val="3EE91D44"/>
    <w:rsid w:val="3EED1E62"/>
    <w:rsid w:val="3EEE2F1C"/>
    <w:rsid w:val="3EF23B8C"/>
    <w:rsid w:val="3EF8449E"/>
    <w:rsid w:val="3EFC7DAE"/>
    <w:rsid w:val="3F010273"/>
    <w:rsid w:val="3F051B12"/>
    <w:rsid w:val="3F073ADC"/>
    <w:rsid w:val="3F081602"/>
    <w:rsid w:val="3F096D0B"/>
    <w:rsid w:val="3F0A7128"/>
    <w:rsid w:val="3F0B7179"/>
    <w:rsid w:val="3F151574"/>
    <w:rsid w:val="3F163D1F"/>
    <w:rsid w:val="3F1E4289"/>
    <w:rsid w:val="3F251D7D"/>
    <w:rsid w:val="3F2E1312"/>
    <w:rsid w:val="3F3C6367"/>
    <w:rsid w:val="3F42218F"/>
    <w:rsid w:val="3F4563B2"/>
    <w:rsid w:val="3F4A628E"/>
    <w:rsid w:val="3F4E5D6E"/>
    <w:rsid w:val="3F514B2D"/>
    <w:rsid w:val="3F557260"/>
    <w:rsid w:val="3F583A76"/>
    <w:rsid w:val="3F5D1B7A"/>
    <w:rsid w:val="3F5F03B4"/>
    <w:rsid w:val="3F5F0F5A"/>
    <w:rsid w:val="3F6046C3"/>
    <w:rsid w:val="3F60523E"/>
    <w:rsid w:val="3F632CDC"/>
    <w:rsid w:val="3F667372"/>
    <w:rsid w:val="3F6727CC"/>
    <w:rsid w:val="3F6D115F"/>
    <w:rsid w:val="3F7160E6"/>
    <w:rsid w:val="3F724CCD"/>
    <w:rsid w:val="3F744EE9"/>
    <w:rsid w:val="3F7942AE"/>
    <w:rsid w:val="3F7C5873"/>
    <w:rsid w:val="3F8B74A4"/>
    <w:rsid w:val="3F8C5D8F"/>
    <w:rsid w:val="3F9133A5"/>
    <w:rsid w:val="3F917849"/>
    <w:rsid w:val="3F93128E"/>
    <w:rsid w:val="3F9335C1"/>
    <w:rsid w:val="3F980BD8"/>
    <w:rsid w:val="3F984120"/>
    <w:rsid w:val="3F9B7174"/>
    <w:rsid w:val="3F9D1D4A"/>
    <w:rsid w:val="3F9E111C"/>
    <w:rsid w:val="3FA532F5"/>
    <w:rsid w:val="3FA540B0"/>
    <w:rsid w:val="3FA541A9"/>
    <w:rsid w:val="3FB53538"/>
    <w:rsid w:val="3FB776F5"/>
    <w:rsid w:val="3FC21D14"/>
    <w:rsid w:val="3FC419CD"/>
    <w:rsid w:val="3FC47F75"/>
    <w:rsid w:val="3FDC0668"/>
    <w:rsid w:val="3FE51D81"/>
    <w:rsid w:val="3FEB776D"/>
    <w:rsid w:val="3FEE76F8"/>
    <w:rsid w:val="400310D8"/>
    <w:rsid w:val="40041DC9"/>
    <w:rsid w:val="40044F66"/>
    <w:rsid w:val="40086AA5"/>
    <w:rsid w:val="40095632"/>
    <w:rsid w:val="400B22C6"/>
    <w:rsid w:val="400E0E9A"/>
    <w:rsid w:val="400E2C48"/>
    <w:rsid w:val="4014562F"/>
    <w:rsid w:val="401D24AF"/>
    <w:rsid w:val="402C78D5"/>
    <w:rsid w:val="402F01D3"/>
    <w:rsid w:val="40307BC9"/>
    <w:rsid w:val="40354106"/>
    <w:rsid w:val="40356427"/>
    <w:rsid w:val="403A0A27"/>
    <w:rsid w:val="403D28E3"/>
    <w:rsid w:val="403F5E49"/>
    <w:rsid w:val="40414DCB"/>
    <w:rsid w:val="40430493"/>
    <w:rsid w:val="4044721B"/>
    <w:rsid w:val="4048768D"/>
    <w:rsid w:val="404A3D54"/>
    <w:rsid w:val="40564EE7"/>
    <w:rsid w:val="405E5CCB"/>
    <w:rsid w:val="406E3D2B"/>
    <w:rsid w:val="40714172"/>
    <w:rsid w:val="40714F85"/>
    <w:rsid w:val="407231D7"/>
    <w:rsid w:val="407F661D"/>
    <w:rsid w:val="40817B15"/>
    <w:rsid w:val="408245ED"/>
    <w:rsid w:val="40864295"/>
    <w:rsid w:val="408A49C4"/>
    <w:rsid w:val="40926379"/>
    <w:rsid w:val="409C64A6"/>
    <w:rsid w:val="409F45CB"/>
    <w:rsid w:val="40A9429D"/>
    <w:rsid w:val="40AA200A"/>
    <w:rsid w:val="40AC5688"/>
    <w:rsid w:val="40AC7A1C"/>
    <w:rsid w:val="40AF442B"/>
    <w:rsid w:val="40B86E7B"/>
    <w:rsid w:val="40B90E06"/>
    <w:rsid w:val="40B94B83"/>
    <w:rsid w:val="40BE466E"/>
    <w:rsid w:val="40C039E2"/>
    <w:rsid w:val="40C12C2D"/>
    <w:rsid w:val="40C15F0C"/>
    <w:rsid w:val="40C319E2"/>
    <w:rsid w:val="40CD00BD"/>
    <w:rsid w:val="40CD4ED1"/>
    <w:rsid w:val="40D12495"/>
    <w:rsid w:val="40DC0019"/>
    <w:rsid w:val="40E04D91"/>
    <w:rsid w:val="40E31DD5"/>
    <w:rsid w:val="40E85247"/>
    <w:rsid w:val="40E90FBF"/>
    <w:rsid w:val="40EC27D7"/>
    <w:rsid w:val="40EC51B4"/>
    <w:rsid w:val="40EF2A79"/>
    <w:rsid w:val="40EF45C3"/>
    <w:rsid w:val="40FD3F31"/>
    <w:rsid w:val="410C127B"/>
    <w:rsid w:val="41196606"/>
    <w:rsid w:val="411B6F89"/>
    <w:rsid w:val="411C6A34"/>
    <w:rsid w:val="411E6EBB"/>
    <w:rsid w:val="41242B9C"/>
    <w:rsid w:val="412A1D04"/>
    <w:rsid w:val="413466DE"/>
    <w:rsid w:val="413B5CBF"/>
    <w:rsid w:val="413C00DB"/>
    <w:rsid w:val="41474664"/>
    <w:rsid w:val="41523008"/>
    <w:rsid w:val="415437EE"/>
    <w:rsid w:val="41546B10"/>
    <w:rsid w:val="41562AF9"/>
    <w:rsid w:val="415840B6"/>
    <w:rsid w:val="415A6A30"/>
    <w:rsid w:val="415A7CD3"/>
    <w:rsid w:val="41616C71"/>
    <w:rsid w:val="4162149D"/>
    <w:rsid w:val="416723E8"/>
    <w:rsid w:val="41676221"/>
    <w:rsid w:val="416C40CA"/>
    <w:rsid w:val="41730DE6"/>
    <w:rsid w:val="41765BEF"/>
    <w:rsid w:val="417702CE"/>
    <w:rsid w:val="41790595"/>
    <w:rsid w:val="418238EE"/>
    <w:rsid w:val="41910459"/>
    <w:rsid w:val="419158DF"/>
    <w:rsid w:val="419867DB"/>
    <w:rsid w:val="419D4283"/>
    <w:rsid w:val="41A20564"/>
    <w:rsid w:val="41A51BAC"/>
    <w:rsid w:val="41A93680"/>
    <w:rsid w:val="41B17F29"/>
    <w:rsid w:val="41B501A4"/>
    <w:rsid w:val="41B87567"/>
    <w:rsid w:val="41BE2340"/>
    <w:rsid w:val="41BE55D1"/>
    <w:rsid w:val="41BF3BD9"/>
    <w:rsid w:val="41BF4A91"/>
    <w:rsid w:val="41CB3D94"/>
    <w:rsid w:val="41CE45CF"/>
    <w:rsid w:val="41D13099"/>
    <w:rsid w:val="41D162A9"/>
    <w:rsid w:val="41D614EA"/>
    <w:rsid w:val="41DA0F81"/>
    <w:rsid w:val="41DC36BB"/>
    <w:rsid w:val="41E9396D"/>
    <w:rsid w:val="41E9571B"/>
    <w:rsid w:val="41EB7DC9"/>
    <w:rsid w:val="41F51BC5"/>
    <w:rsid w:val="41F540C0"/>
    <w:rsid w:val="41F8770C"/>
    <w:rsid w:val="41FA3484"/>
    <w:rsid w:val="41FB0356"/>
    <w:rsid w:val="42022339"/>
    <w:rsid w:val="4203620C"/>
    <w:rsid w:val="42127409"/>
    <w:rsid w:val="42132FE7"/>
    <w:rsid w:val="421B648D"/>
    <w:rsid w:val="422045FD"/>
    <w:rsid w:val="4220623E"/>
    <w:rsid w:val="4226071D"/>
    <w:rsid w:val="4227255A"/>
    <w:rsid w:val="422A4836"/>
    <w:rsid w:val="42330CE7"/>
    <w:rsid w:val="423821FE"/>
    <w:rsid w:val="423F2846"/>
    <w:rsid w:val="4254392F"/>
    <w:rsid w:val="425B7473"/>
    <w:rsid w:val="425B768F"/>
    <w:rsid w:val="426042E3"/>
    <w:rsid w:val="42604346"/>
    <w:rsid w:val="42671CB3"/>
    <w:rsid w:val="426834DB"/>
    <w:rsid w:val="4286740D"/>
    <w:rsid w:val="42892644"/>
    <w:rsid w:val="428A7B32"/>
    <w:rsid w:val="428F7734"/>
    <w:rsid w:val="42925DB2"/>
    <w:rsid w:val="429A7093"/>
    <w:rsid w:val="429F227D"/>
    <w:rsid w:val="42A76B06"/>
    <w:rsid w:val="42A93909"/>
    <w:rsid w:val="42AD52B2"/>
    <w:rsid w:val="42B32AAD"/>
    <w:rsid w:val="42B71734"/>
    <w:rsid w:val="42B86941"/>
    <w:rsid w:val="42B90671"/>
    <w:rsid w:val="42BC698B"/>
    <w:rsid w:val="42BF195C"/>
    <w:rsid w:val="42C03359"/>
    <w:rsid w:val="42D02437"/>
    <w:rsid w:val="42D737C5"/>
    <w:rsid w:val="42DA32B5"/>
    <w:rsid w:val="42DC7863"/>
    <w:rsid w:val="42E42D48"/>
    <w:rsid w:val="42F52379"/>
    <w:rsid w:val="42F56341"/>
    <w:rsid w:val="42FC76D0"/>
    <w:rsid w:val="43147BDF"/>
    <w:rsid w:val="431920F3"/>
    <w:rsid w:val="431A3863"/>
    <w:rsid w:val="4322216B"/>
    <w:rsid w:val="43223EC8"/>
    <w:rsid w:val="4329362C"/>
    <w:rsid w:val="432B58BF"/>
    <w:rsid w:val="433160C7"/>
    <w:rsid w:val="43317379"/>
    <w:rsid w:val="43410F50"/>
    <w:rsid w:val="4341198E"/>
    <w:rsid w:val="43452E25"/>
    <w:rsid w:val="434E1DB1"/>
    <w:rsid w:val="435117C9"/>
    <w:rsid w:val="43536554"/>
    <w:rsid w:val="43537B5E"/>
    <w:rsid w:val="43556CA5"/>
    <w:rsid w:val="4356618F"/>
    <w:rsid w:val="43566DE0"/>
    <w:rsid w:val="43644539"/>
    <w:rsid w:val="43654948"/>
    <w:rsid w:val="436C76AE"/>
    <w:rsid w:val="436E72E2"/>
    <w:rsid w:val="43710B5F"/>
    <w:rsid w:val="437E00E5"/>
    <w:rsid w:val="437F411E"/>
    <w:rsid w:val="43853221"/>
    <w:rsid w:val="43864C8C"/>
    <w:rsid w:val="438A541B"/>
    <w:rsid w:val="438F7452"/>
    <w:rsid w:val="43903286"/>
    <w:rsid w:val="43972F54"/>
    <w:rsid w:val="43A32A80"/>
    <w:rsid w:val="43A45232"/>
    <w:rsid w:val="43AA0EDA"/>
    <w:rsid w:val="43AA2D86"/>
    <w:rsid w:val="43AD1BA2"/>
    <w:rsid w:val="43B458B4"/>
    <w:rsid w:val="43B8224D"/>
    <w:rsid w:val="43B90147"/>
    <w:rsid w:val="43BA62BC"/>
    <w:rsid w:val="43BB4E95"/>
    <w:rsid w:val="43C3749F"/>
    <w:rsid w:val="43C43746"/>
    <w:rsid w:val="43C95804"/>
    <w:rsid w:val="43CA332A"/>
    <w:rsid w:val="43CC3AB9"/>
    <w:rsid w:val="43CC5E30"/>
    <w:rsid w:val="43CE2E1A"/>
    <w:rsid w:val="43D16C6D"/>
    <w:rsid w:val="43D86203"/>
    <w:rsid w:val="43DA6CD7"/>
    <w:rsid w:val="43E16008"/>
    <w:rsid w:val="43E85F2B"/>
    <w:rsid w:val="43F30C80"/>
    <w:rsid w:val="43F45810"/>
    <w:rsid w:val="43F477B8"/>
    <w:rsid w:val="43F6778C"/>
    <w:rsid w:val="43F87D0D"/>
    <w:rsid w:val="43F955DA"/>
    <w:rsid w:val="43F95D63"/>
    <w:rsid w:val="440452E5"/>
    <w:rsid w:val="440933B5"/>
    <w:rsid w:val="440D60D4"/>
    <w:rsid w:val="440F2C27"/>
    <w:rsid w:val="441E60D2"/>
    <w:rsid w:val="441E7550"/>
    <w:rsid w:val="443F79A1"/>
    <w:rsid w:val="44410337"/>
    <w:rsid w:val="4442268F"/>
    <w:rsid w:val="444924A1"/>
    <w:rsid w:val="444C0775"/>
    <w:rsid w:val="44531571"/>
    <w:rsid w:val="44594178"/>
    <w:rsid w:val="44694339"/>
    <w:rsid w:val="446B0669"/>
    <w:rsid w:val="446B68BB"/>
    <w:rsid w:val="44727C49"/>
    <w:rsid w:val="4476222D"/>
    <w:rsid w:val="44776BD6"/>
    <w:rsid w:val="447A5F85"/>
    <w:rsid w:val="44801914"/>
    <w:rsid w:val="44855C27"/>
    <w:rsid w:val="4489222E"/>
    <w:rsid w:val="448E321B"/>
    <w:rsid w:val="448E6105"/>
    <w:rsid w:val="4491249F"/>
    <w:rsid w:val="44917E58"/>
    <w:rsid w:val="449A7A08"/>
    <w:rsid w:val="449F498C"/>
    <w:rsid w:val="44A45929"/>
    <w:rsid w:val="44A92F3F"/>
    <w:rsid w:val="44B6218E"/>
    <w:rsid w:val="44B71B00"/>
    <w:rsid w:val="44B777F5"/>
    <w:rsid w:val="44BB29C9"/>
    <w:rsid w:val="44BF44BF"/>
    <w:rsid w:val="44CC3666"/>
    <w:rsid w:val="44CE66F8"/>
    <w:rsid w:val="44DB522B"/>
    <w:rsid w:val="44DB7DE3"/>
    <w:rsid w:val="44E126D9"/>
    <w:rsid w:val="44EB7ADD"/>
    <w:rsid w:val="44F06DC0"/>
    <w:rsid w:val="44F10492"/>
    <w:rsid w:val="44F3240C"/>
    <w:rsid w:val="44F370A9"/>
    <w:rsid w:val="44F4450E"/>
    <w:rsid w:val="44F468B0"/>
    <w:rsid w:val="44F6398F"/>
    <w:rsid w:val="44FC5BF6"/>
    <w:rsid w:val="44FC7513"/>
    <w:rsid w:val="44FD328B"/>
    <w:rsid w:val="45013167"/>
    <w:rsid w:val="45045908"/>
    <w:rsid w:val="450B1B4F"/>
    <w:rsid w:val="45101210"/>
    <w:rsid w:val="45105126"/>
    <w:rsid w:val="45121B01"/>
    <w:rsid w:val="45124F88"/>
    <w:rsid w:val="45154A79"/>
    <w:rsid w:val="451E1B7F"/>
    <w:rsid w:val="451F4814"/>
    <w:rsid w:val="45274E6C"/>
    <w:rsid w:val="45322415"/>
    <w:rsid w:val="45343151"/>
    <w:rsid w:val="453D27DA"/>
    <w:rsid w:val="453F6E28"/>
    <w:rsid w:val="454C15FC"/>
    <w:rsid w:val="45524B64"/>
    <w:rsid w:val="45543180"/>
    <w:rsid w:val="45565EE6"/>
    <w:rsid w:val="45566CB6"/>
    <w:rsid w:val="45612761"/>
    <w:rsid w:val="456841C6"/>
    <w:rsid w:val="456926CF"/>
    <w:rsid w:val="456B4699"/>
    <w:rsid w:val="456D298D"/>
    <w:rsid w:val="456F4189"/>
    <w:rsid w:val="456F5F37"/>
    <w:rsid w:val="45715A81"/>
    <w:rsid w:val="457E43CC"/>
    <w:rsid w:val="45886FF9"/>
    <w:rsid w:val="458A4B1F"/>
    <w:rsid w:val="458F0387"/>
    <w:rsid w:val="458F3DA1"/>
    <w:rsid w:val="45912351"/>
    <w:rsid w:val="45941FB1"/>
    <w:rsid w:val="459519EC"/>
    <w:rsid w:val="45957044"/>
    <w:rsid w:val="45962409"/>
    <w:rsid w:val="45965BB9"/>
    <w:rsid w:val="4597548E"/>
    <w:rsid w:val="45981F3C"/>
    <w:rsid w:val="45991206"/>
    <w:rsid w:val="45996EA1"/>
    <w:rsid w:val="459B015E"/>
    <w:rsid w:val="459E4A6E"/>
    <w:rsid w:val="459F0DE5"/>
    <w:rsid w:val="45A03F59"/>
    <w:rsid w:val="45A831F7"/>
    <w:rsid w:val="45AD2F03"/>
    <w:rsid w:val="45B34405"/>
    <w:rsid w:val="45B93656"/>
    <w:rsid w:val="45C07A37"/>
    <w:rsid w:val="45CD7101"/>
    <w:rsid w:val="45CE00DD"/>
    <w:rsid w:val="45CF69D6"/>
    <w:rsid w:val="45D0214D"/>
    <w:rsid w:val="45D160A9"/>
    <w:rsid w:val="45D872AB"/>
    <w:rsid w:val="45D87924"/>
    <w:rsid w:val="45E32B60"/>
    <w:rsid w:val="45EE1552"/>
    <w:rsid w:val="45F96148"/>
    <w:rsid w:val="46056014"/>
    <w:rsid w:val="460743C1"/>
    <w:rsid w:val="460A1A15"/>
    <w:rsid w:val="461D64FB"/>
    <w:rsid w:val="461E3766"/>
    <w:rsid w:val="46357180"/>
    <w:rsid w:val="463648E9"/>
    <w:rsid w:val="463A4797"/>
    <w:rsid w:val="464253F9"/>
    <w:rsid w:val="46491939"/>
    <w:rsid w:val="46535859"/>
    <w:rsid w:val="465845FA"/>
    <w:rsid w:val="465A4D0A"/>
    <w:rsid w:val="46607F75"/>
    <w:rsid w:val="466247F2"/>
    <w:rsid w:val="46696E2A"/>
    <w:rsid w:val="46713F31"/>
    <w:rsid w:val="468679DC"/>
    <w:rsid w:val="46873754"/>
    <w:rsid w:val="46875502"/>
    <w:rsid w:val="468A6DA0"/>
    <w:rsid w:val="468C0D6B"/>
    <w:rsid w:val="468C48C7"/>
    <w:rsid w:val="46911C8D"/>
    <w:rsid w:val="469203F9"/>
    <w:rsid w:val="46A165C4"/>
    <w:rsid w:val="46A51334"/>
    <w:rsid w:val="46A9225B"/>
    <w:rsid w:val="46AC4F69"/>
    <w:rsid w:val="46B2205A"/>
    <w:rsid w:val="46BC781A"/>
    <w:rsid w:val="46C477C3"/>
    <w:rsid w:val="46C6602A"/>
    <w:rsid w:val="46C71DA3"/>
    <w:rsid w:val="46C92EF6"/>
    <w:rsid w:val="46CA5F1E"/>
    <w:rsid w:val="46CE23DF"/>
    <w:rsid w:val="46CE3131"/>
    <w:rsid w:val="46CE7B4A"/>
    <w:rsid w:val="46D70238"/>
    <w:rsid w:val="46E62384"/>
    <w:rsid w:val="46E717E5"/>
    <w:rsid w:val="46E7395C"/>
    <w:rsid w:val="46F879B8"/>
    <w:rsid w:val="47037071"/>
    <w:rsid w:val="47060B1D"/>
    <w:rsid w:val="4707219F"/>
    <w:rsid w:val="470A7741"/>
    <w:rsid w:val="470B5075"/>
    <w:rsid w:val="470B6133"/>
    <w:rsid w:val="470C0085"/>
    <w:rsid w:val="47166879"/>
    <w:rsid w:val="47173339"/>
    <w:rsid w:val="471741F3"/>
    <w:rsid w:val="47186BFB"/>
    <w:rsid w:val="471A1424"/>
    <w:rsid w:val="471A1ED2"/>
    <w:rsid w:val="47200B2E"/>
    <w:rsid w:val="47207C7B"/>
    <w:rsid w:val="47232053"/>
    <w:rsid w:val="472E6063"/>
    <w:rsid w:val="472F1E22"/>
    <w:rsid w:val="47316912"/>
    <w:rsid w:val="47321912"/>
    <w:rsid w:val="4732546E"/>
    <w:rsid w:val="473731F8"/>
    <w:rsid w:val="473E2065"/>
    <w:rsid w:val="474433F3"/>
    <w:rsid w:val="47504DA7"/>
    <w:rsid w:val="47531FBE"/>
    <w:rsid w:val="475950F1"/>
    <w:rsid w:val="47595427"/>
    <w:rsid w:val="475A0F43"/>
    <w:rsid w:val="47685B93"/>
    <w:rsid w:val="476D294A"/>
    <w:rsid w:val="47705F96"/>
    <w:rsid w:val="477261B2"/>
    <w:rsid w:val="477E6905"/>
    <w:rsid w:val="47824633"/>
    <w:rsid w:val="478B1B1F"/>
    <w:rsid w:val="47906312"/>
    <w:rsid w:val="479A532E"/>
    <w:rsid w:val="479F00DF"/>
    <w:rsid w:val="47A12458"/>
    <w:rsid w:val="47AE3AD2"/>
    <w:rsid w:val="47AE7E19"/>
    <w:rsid w:val="47B17848"/>
    <w:rsid w:val="47B33460"/>
    <w:rsid w:val="47B70069"/>
    <w:rsid w:val="47B71E17"/>
    <w:rsid w:val="47C40234"/>
    <w:rsid w:val="47C46F79"/>
    <w:rsid w:val="47D1249A"/>
    <w:rsid w:val="47D14E3C"/>
    <w:rsid w:val="47D408E5"/>
    <w:rsid w:val="47D5010B"/>
    <w:rsid w:val="47E66258"/>
    <w:rsid w:val="47E74104"/>
    <w:rsid w:val="47E8201B"/>
    <w:rsid w:val="47EB0505"/>
    <w:rsid w:val="47EE3066"/>
    <w:rsid w:val="47EE3A5A"/>
    <w:rsid w:val="47F73984"/>
    <w:rsid w:val="47F830A4"/>
    <w:rsid w:val="47F941DE"/>
    <w:rsid w:val="47FF4413"/>
    <w:rsid w:val="48013092"/>
    <w:rsid w:val="48054931"/>
    <w:rsid w:val="48064139"/>
    <w:rsid w:val="480756FB"/>
    <w:rsid w:val="480F3A01"/>
    <w:rsid w:val="481438CD"/>
    <w:rsid w:val="48151DFF"/>
    <w:rsid w:val="48230E62"/>
    <w:rsid w:val="48254FD3"/>
    <w:rsid w:val="482A25E9"/>
    <w:rsid w:val="482C6958"/>
    <w:rsid w:val="48383643"/>
    <w:rsid w:val="483B2A48"/>
    <w:rsid w:val="483E07DE"/>
    <w:rsid w:val="484315B6"/>
    <w:rsid w:val="484359E3"/>
    <w:rsid w:val="48463DC2"/>
    <w:rsid w:val="484752C1"/>
    <w:rsid w:val="48482514"/>
    <w:rsid w:val="484A1B4B"/>
    <w:rsid w:val="4856758B"/>
    <w:rsid w:val="485737AE"/>
    <w:rsid w:val="48604DA3"/>
    <w:rsid w:val="486050DE"/>
    <w:rsid w:val="486176F0"/>
    <w:rsid w:val="4867383D"/>
    <w:rsid w:val="48691363"/>
    <w:rsid w:val="48701EA5"/>
    <w:rsid w:val="487A6E4A"/>
    <w:rsid w:val="487B2E45"/>
    <w:rsid w:val="487F6A9B"/>
    <w:rsid w:val="488F57D0"/>
    <w:rsid w:val="48947BBD"/>
    <w:rsid w:val="489850F6"/>
    <w:rsid w:val="48A013CA"/>
    <w:rsid w:val="48A25E13"/>
    <w:rsid w:val="48AE6D76"/>
    <w:rsid w:val="48AF018B"/>
    <w:rsid w:val="48B523EF"/>
    <w:rsid w:val="48B819A3"/>
    <w:rsid w:val="48B87AB8"/>
    <w:rsid w:val="48BB132D"/>
    <w:rsid w:val="48BC31D4"/>
    <w:rsid w:val="48BC6774"/>
    <w:rsid w:val="48BF3E0A"/>
    <w:rsid w:val="48BF488B"/>
    <w:rsid w:val="48BF5427"/>
    <w:rsid w:val="48C2431F"/>
    <w:rsid w:val="48C77E38"/>
    <w:rsid w:val="48C857EC"/>
    <w:rsid w:val="48CA52B0"/>
    <w:rsid w:val="48CB4577"/>
    <w:rsid w:val="48CC36A0"/>
    <w:rsid w:val="48CD641C"/>
    <w:rsid w:val="48CD674E"/>
    <w:rsid w:val="48D30779"/>
    <w:rsid w:val="48DB1977"/>
    <w:rsid w:val="48DD3AFF"/>
    <w:rsid w:val="48DD7B03"/>
    <w:rsid w:val="48E22EC4"/>
    <w:rsid w:val="48E445F1"/>
    <w:rsid w:val="48E52CE0"/>
    <w:rsid w:val="48E62612"/>
    <w:rsid w:val="48E629B4"/>
    <w:rsid w:val="48EA5BC1"/>
    <w:rsid w:val="48F0429F"/>
    <w:rsid w:val="48F212BE"/>
    <w:rsid w:val="48F22724"/>
    <w:rsid w:val="48F35B3F"/>
    <w:rsid w:val="48F42E29"/>
    <w:rsid w:val="48F6071D"/>
    <w:rsid w:val="48FF3FE4"/>
    <w:rsid w:val="49025314"/>
    <w:rsid w:val="49061651"/>
    <w:rsid w:val="490648C8"/>
    <w:rsid w:val="49080B7C"/>
    <w:rsid w:val="490A15DF"/>
    <w:rsid w:val="490F1EEF"/>
    <w:rsid w:val="4910042B"/>
    <w:rsid w:val="49105147"/>
    <w:rsid w:val="49106FAA"/>
    <w:rsid w:val="49180A9B"/>
    <w:rsid w:val="491C2C2F"/>
    <w:rsid w:val="491D3EFC"/>
    <w:rsid w:val="49276855"/>
    <w:rsid w:val="49285EBE"/>
    <w:rsid w:val="4933200E"/>
    <w:rsid w:val="493556E9"/>
    <w:rsid w:val="49382AE4"/>
    <w:rsid w:val="49423962"/>
    <w:rsid w:val="49482783"/>
    <w:rsid w:val="494E2307"/>
    <w:rsid w:val="494F3168"/>
    <w:rsid w:val="49554BE1"/>
    <w:rsid w:val="49580552"/>
    <w:rsid w:val="495F388A"/>
    <w:rsid w:val="49680B13"/>
    <w:rsid w:val="496A2D5C"/>
    <w:rsid w:val="496A6BED"/>
    <w:rsid w:val="49710949"/>
    <w:rsid w:val="49731BCB"/>
    <w:rsid w:val="497467A8"/>
    <w:rsid w:val="497D1516"/>
    <w:rsid w:val="49811526"/>
    <w:rsid w:val="49843E14"/>
    <w:rsid w:val="49843F7B"/>
    <w:rsid w:val="49867CF3"/>
    <w:rsid w:val="4988541D"/>
    <w:rsid w:val="498B70B7"/>
    <w:rsid w:val="49940662"/>
    <w:rsid w:val="49951CE4"/>
    <w:rsid w:val="49A628EB"/>
    <w:rsid w:val="49A81A17"/>
    <w:rsid w:val="49AA0075"/>
    <w:rsid w:val="49B37092"/>
    <w:rsid w:val="49BD4354"/>
    <w:rsid w:val="49C65640"/>
    <w:rsid w:val="49D071C0"/>
    <w:rsid w:val="49D14436"/>
    <w:rsid w:val="49D56585"/>
    <w:rsid w:val="49D96075"/>
    <w:rsid w:val="49D97E23"/>
    <w:rsid w:val="49E30CA1"/>
    <w:rsid w:val="49E52C6C"/>
    <w:rsid w:val="49E62540"/>
    <w:rsid w:val="49E901DB"/>
    <w:rsid w:val="49EB2377"/>
    <w:rsid w:val="49EC7A1D"/>
    <w:rsid w:val="49F27137"/>
    <w:rsid w:val="49F570D9"/>
    <w:rsid w:val="49F66C27"/>
    <w:rsid w:val="4A0062BB"/>
    <w:rsid w:val="4A121587"/>
    <w:rsid w:val="4A143551"/>
    <w:rsid w:val="4A162E25"/>
    <w:rsid w:val="4A196E79"/>
    <w:rsid w:val="4A1A750F"/>
    <w:rsid w:val="4A1B4C40"/>
    <w:rsid w:val="4A235A4E"/>
    <w:rsid w:val="4A24383D"/>
    <w:rsid w:val="4A3140D8"/>
    <w:rsid w:val="4A3459D1"/>
    <w:rsid w:val="4A3E432B"/>
    <w:rsid w:val="4A482FDB"/>
    <w:rsid w:val="4A4A0D22"/>
    <w:rsid w:val="4A535A86"/>
    <w:rsid w:val="4A54703F"/>
    <w:rsid w:val="4A5804B6"/>
    <w:rsid w:val="4A5B3A9F"/>
    <w:rsid w:val="4A5E2A1E"/>
    <w:rsid w:val="4A631061"/>
    <w:rsid w:val="4A6412DF"/>
    <w:rsid w:val="4A677F4D"/>
    <w:rsid w:val="4A6A1FC2"/>
    <w:rsid w:val="4A6D7FA4"/>
    <w:rsid w:val="4A724E87"/>
    <w:rsid w:val="4A765388"/>
    <w:rsid w:val="4A7A514A"/>
    <w:rsid w:val="4A7E09CA"/>
    <w:rsid w:val="4A7E6C1C"/>
    <w:rsid w:val="4A934E3E"/>
    <w:rsid w:val="4A950653"/>
    <w:rsid w:val="4AA22ACC"/>
    <w:rsid w:val="4AA448D5"/>
    <w:rsid w:val="4AA93C99"/>
    <w:rsid w:val="4AAA60D5"/>
    <w:rsid w:val="4AB47F01"/>
    <w:rsid w:val="4AB810A7"/>
    <w:rsid w:val="4AB84FEA"/>
    <w:rsid w:val="4ABA448F"/>
    <w:rsid w:val="4ABC61FC"/>
    <w:rsid w:val="4AC26B09"/>
    <w:rsid w:val="4AC34A65"/>
    <w:rsid w:val="4AC46D25"/>
    <w:rsid w:val="4AC565F9"/>
    <w:rsid w:val="4ACA61C7"/>
    <w:rsid w:val="4AD07993"/>
    <w:rsid w:val="4AD55B10"/>
    <w:rsid w:val="4AE66C9B"/>
    <w:rsid w:val="4AE9776E"/>
    <w:rsid w:val="4AED4846"/>
    <w:rsid w:val="4AEE2A22"/>
    <w:rsid w:val="4AEE3DA2"/>
    <w:rsid w:val="4AEF09B8"/>
    <w:rsid w:val="4AF74ADD"/>
    <w:rsid w:val="4AFA62A3"/>
    <w:rsid w:val="4B03598E"/>
    <w:rsid w:val="4B0949E0"/>
    <w:rsid w:val="4B17768C"/>
    <w:rsid w:val="4B1923E5"/>
    <w:rsid w:val="4B1B7074"/>
    <w:rsid w:val="4B3454E4"/>
    <w:rsid w:val="4B390CF8"/>
    <w:rsid w:val="4B3C29B6"/>
    <w:rsid w:val="4B3F79B7"/>
    <w:rsid w:val="4B413ED2"/>
    <w:rsid w:val="4B423440"/>
    <w:rsid w:val="4B5005B9"/>
    <w:rsid w:val="4B5217BF"/>
    <w:rsid w:val="4B555C31"/>
    <w:rsid w:val="4B5861CE"/>
    <w:rsid w:val="4B5C51AF"/>
    <w:rsid w:val="4B5D4A84"/>
    <w:rsid w:val="4B6202EC"/>
    <w:rsid w:val="4B6542D8"/>
    <w:rsid w:val="4B682440"/>
    <w:rsid w:val="4B6A1BE3"/>
    <w:rsid w:val="4B6B71A0"/>
    <w:rsid w:val="4B7C13AE"/>
    <w:rsid w:val="4B7E7695"/>
    <w:rsid w:val="4B7F18BB"/>
    <w:rsid w:val="4B882F10"/>
    <w:rsid w:val="4B8926B1"/>
    <w:rsid w:val="4B8D20F8"/>
    <w:rsid w:val="4B8D4CE9"/>
    <w:rsid w:val="4BA72512"/>
    <w:rsid w:val="4BAC7EBB"/>
    <w:rsid w:val="4BAD77B9"/>
    <w:rsid w:val="4BB02E05"/>
    <w:rsid w:val="4BB31D91"/>
    <w:rsid w:val="4BB5041C"/>
    <w:rsid w:val="4BB92210"/>
    <w:rsid w:val="4BB943B0"/>
    <w:rsid w:val="4BBC5AC7"/>
    <w:rsid w:val="4BC3109F"/>
    <w:rsid w:val="4BC36FDC"/>
    <w:rsid w:val="4BC44E0D"/>
    <w:rsid w:val="4BC52D55"/>
    <w:rsid w:val="4BC66ACD"/>
    <w:rsid w:val="4BD034A7"/>
    <w:rsid w:val="4BD048BE"/>
    <w:rsid w:val="4BD07907"/>
    <w:rsid w:val="4BD72A88"/>
    <w:rsid w:val="4BE74BEC"/>
    <w:rsid w:val="4BE965B6"/>
    <w:rsid w:val="4BF37E67"/>
    <w:rsid w:val="4BF43ADF"/>
    <w:rsid w:val="4BF5144B"/>
    <w:rsid w:val="4BF61160"/>
    <w:rsid w:val="4BFF0BB9"/>
    <w:rsid w:val="4C047AC6"/>
    <w:rsid w:val="4C080E93"/>
    <w:rsid w:val="4C0A4DFC"/>
    <w:rsid w:val="4C0B2731"/>
    <w:rsid w:val="4C136DB7"/>
    <w:rsid w:val="4C156BCA"/>
    <w:rsid w:val="4C161CC3"/>
    <w:rsid w:val="4C1710D6"/>
    <w:rsid w:val="4C2150DB"/>
    <w:rsid w:val="4C297B4D"/>
    <w:rsid w:val="4C2B3759"/>
    <w:rsid w:val="4C336C95"/>
    <w:rsid w:val="4C343C1D"/>
    <w:rsid w:val="4C371F14"/>
    <w:rsid w:val="4C51283A"/>
    <w:rsid w:val="4C581C45"/>
    <w:rsid w:val="4C583BC9"/>
    <w:rsid w:val="4C5E0AB3"/>
    <w:rsid w:val="4C623ADB"/>
    <w:rsid w:val="4C67001D"/>
    <w:rsid w:val="4C6961C6"/>
    <w:rsid w:val="4C6D5A2A"/>
    <w:rsid w:val="4C767B34"/>
    <w:rsid w:val="4C7A1154"/>
    <w:rsid w:val="4C7B3413"/>
    <w:rsid w:val="4C7B5E4D"/>
    <w:rsid w:val="4C7D362F"/>
    <w:rsid w:val="4C7E1155"/>
    <w:rsid w:val="4C7E3A45"/>
    <w:rsid w:val="4C7E73A7"/>
    <w:rsid w:val="4C804ECE"/>
    <w:rsid w:val="4C813585"/>
    <w:rsid w:val="4C8554DD"/>
    <w:rsid w:val="4C88285A"/>
    <w:rsid w:val="4C8F5111"/>
    <w:rsid w:val="4C942475"/>
    <w:rsid w:val="4C96024D"/>
    <w:rsid w:val="4C9C159D"/>
    <w:rsid w:val="4C9E5AA1"/>
    <w:rsid w:val="4C9F4AA0"/>
    <w:rsid w:val="4CA02851"/>
    <w:rsid w:val="4CA2142F"/>
    <w:rsid w:val="4CAE158F"/>
    <w:rsid w:val="4CAF7561"/>
    <w:rsid w:val="4CB6655C"/>
    <w:rsid w:val="4CB73E4F"/>
    <w:rsid w:val="4CBB4158"/>
    <w:rsid w:val="4CC329A2"/>
    <w:rsid w:val="4CC72AFC"/>
    <w:rsid w:val="4CCE2CFE"/>
    <w:rsid w:val="4CDA2572"/>
    <w:rsid w:val="4CE44D9F"/>
    <w:rsid w:val="4CE711A6"/>
    <w:rsid w:val="4CEA5226"/>
    <w:rsid w:val="4CEE62DB"/>
    <w:rsid w:val="4CF17B79"/>
    <w:rsid w:val="4D016156"/>
    <w:rsid w:val="4D0258E3"/>
    <w:rsid w:val="4D07739D"/>
    <w:rsid w:val="4D0C6761"/>
    <w:rsid w:val="4D0D0E37"/>
    <w:rsid w:val="4D0D695E"/>
    <w:rsid w:val="4D113D78"/>
    <w:rsid w:val="4D14442F"/>
    <w:rsid w:val="4D16603F"/>
    <w:rsid w:val="4D1D16ED"/>
    <w:rsid w:val="4D3F4746"/>
    <w:rsid w:val="4D4B227E"/>
    <w:rsid w:val="4D4D338A"/>
    <w:rsid w:val="4D4E6D7A"/>
    <w:rsid w:val="4D551EB6"/>
    <w:rsid w:val="4D5C1497"/>
    <w:rsid w:val="4D5E4583"/>
    <w:rsid w:val="4D6B3488"/>
    <w:rsid w:val="4D720CBA"/>
    <w:rsid w:val="4D721F65"/>
    <w:rsid w:val="4D783DF7"/>
    <w:rsid w:val="4D7A21FD"/>
    <w:rsid w:val="4D7C5695"/>
    <w:rsid w:val="4D82460E"/>
    <w:rsid w:val="4D83169B"/>
    <w:rsid w:val="4D841D87"/>
    <w:rsid w:val="4D862170"/>
    <w:rsid w:val="4D891B60"/>
    <w:rsid w:val="4D8D78A2"/>
    <w:rsid w:val="4D9146B3"/>
    <w:rsid w:val="4D9549A9"/>
    <w:rsid w:val="4D97249F"/>
    <w:rsid w:val="4D9B0602"/>
    <w:rsid w:val="4DA35BE5"/>
    <w:rsid w:val="4DA92202"/>
    <w:rsid w:val="4DAA371F"/>
    <w:rsid w:val="4DAC62C6"/>
    <w:rsid w:val="4DBB187B"/>
    <w:rsid w:val="4DBB3CB6"/>
    <w:rsid w:val="4DC05D44"/>
    <w:rsid w:val="4DC4703C"/>
    <w:rsid w:val="4DCE5621"/>
    <w:rsid w:val="4DD02B79"/>
    <w:rsid w:val="4DD3727F"/>
    <w:rsid w:val="4DDE3611"/>
    <w:rsid w:val="4DDE36D5"/>
    <w:rsid w:val="4DDE46EF"/>
    <w:rsid w:val="4DDE7B20"/>
    <w:rsid w:val="4DE60362"/>
    <w:rsid w:val="4DE80F7C"/>
    <w:rsid w:val="4DF27608"/>
    <w:rsid w:val="4DF60D20"/>
    <w:rsid w:val="4E0321F6"/>
    <w:rsid w:val="4E035DB6"/>
    <w:rsid w:val="4E0840B5"/>
    <w:rsid w:val="4E0D7ED6"/>
    <w:rsid w:val="4E103923"/>
    <w:rsid w:val="4E121D51"/>
    <w:rsid w:val="4E131F3A"/>
    <w:rsid w:val="4E1C7C1C"/>
    <w:rsid w:val="4E1E7219"/>
    <w:rsid w:val="4E1F4272"/>
    <w:rsid w:val="4E203A5E"/>
    <w:rsid w:val="4E207E07"/>
    <w:rsid w:val="4E241749"/>
    <w:rsid w:val="4E255D2C"/>
    <w:rsid w:val="4E29093D"/>
    <w:rsid w:val="4E2F3073"/>
    <w:rsid w:val="4E30671C"/>
    <w:rsid w:val="4E331A18"/>
    <w:rsid w:val="4E375A60"/>
    <w:rsid w:val="4E4A5793"/>
    <w:rsid w:val="4E537920"/>
    <w:rsid w:val="4E555954"/>
    <w:rsid w:val="4E56050F"/>
    <w:rsid w:val="4E562A63"/>
    <w:rsid w:val="4E5C487A"/>
    <w:rsid w:val="4E5E2FEC"/>
    <w:rsid w:val="4E610CE5"/>
    <w:rsid w:val="4E630603"/>
    <w:rsid w:val="4E6E1ED3"/>
    <w:rsid w:val="4E721B60"/>
    <w:rsid w:val="4E734F8F"/>
    <w:rsid w:val="4E740A62"/>
    <w:rsid w:val="4E772300"/>
    <w:rsid w:val="4E7B5A76"/>
    <w:rsid w:val="4E807407"/>
    <w:rsid w:val="4E821769"/>
    <w:rsid w:val="4E83273B"/>
    <w:rsid w:val="4E864C08"/>
    <w:rsid w:val="4E8B6898"/>
    <w:rsid w:val="4E8D38D2"/>
    <w:rsid w:val="4E922C96"/>
    <w:rsid w:val="4E931D00"/>
    <w:rsid w:val="4E9327BD"/>
    <w:rsid w:val="4E9764FE"/>
    <w:rsid w:val="4E977381"/>
    <w:rsid w:val="4EA67795"/>
    <w:rsid w:val="4EAB0FC3"/>
    <w:rsid w:val="4EAD0B75"/>
    <w:rsid w:val="4EAF48AA"/>
    <w:rsid w:val="4EB6433D"/>
    <w:rsid w:val="4EB90223"/>
    <w:rsid w:val="4EC015B1"/>
    <w:rsid w:val="4EC12182"/>
    <w:rsid w:val="4EC2658F"/>
    <w:rsid w:val="4EC549CB"/>
    <w:rsid w:val="4EC54E1A"/>
    <w:rsid w:val="4ECC264C"/>
    <w:rsid w:val="4ED432AF"/>
    <w:rsid w:val="4EDA5E36"/>
    <w:rsid w:val="4EE22C77"/>
    <w:rsid w:val="4EE402AC"/>
    <w:rsid w:val="4EE5726A"/>
    <w:rsid w:val="4EEA322C"/>
    <w:rsid w:val="4EEE723C"/>
    <w:rsid w:val="4EF320A0"/>
    <w:rsid w:val="4EFD443D"/>
    <w:rsid w:val="4F073684"/>
    <w:rsid w:val="4F087956"/>
    <w:rsid w:val="4F094A9E"/>
    <w:rsid w:val="4F1212A3"/>
    <w:rsid w:val="4F1301E4"/>
    <w:rsid w:val="4F157190"/>
    <w:rsid w:val="4F1D57EB"/>
    <w:rsid w:val="4F1E402F"/>
    <w:rsid w:val="4F20384C"/>
    <w:rsid w:val="4F290E4B"/>
    <w:rsid w:val="4F2A39EC"/>
    <w:rsid w:val="4F311B14"/>
    <w:rsid w:val="4F321354"/>
    <w:rsid w:val="4F327331"/>
    <w:rsid w:val="4F346C2B"/>
    <w:rsid w:val="4F381A8F"/>
    <w:rsid w:val="4F3B50DC"/>
    <w:rsid w:val="4F3F41B7"/>
    <w:rsid w:val="4F4915A7"/>
    <w:rsid w:val="4F5368C9"/>
    <w:rsid w:val="4F56013C"/>
    <w:rsid w:val="4F5979CB"/>
    <w:rsid w:val="4F5F49C4"/>
    <w:rsid w:val="4F624D5E"/>
    <w:rsid w:val="4F6D42C7"/>
    <w:rsid w:val="4F6E541A"/>
    <w:rsid w:val="4F7200CA"/>
    <w:rsid w:val="4F744081"/>
    <w:rsid w:val="4F766114"/>
    <w:rsid w:val="4F7C39A7"/>
    <w:rsid w:val="4F7F76BE"/>
    <w:rsid w:val="4F806F93"/>
    <w:rsid w:val="4F8E136D"/>
    <w:rsid w:val="4F910A86"/>
    <w:rsid w:val="4F920444"/>
    <w:rsid w:val="4F9A042C"/>
    <w:rsid w:val="4F9D043D"/>
    <w:rsid w:val="4FA05C21"/>
    <w:rsid w:val="4FA51312"/>
    <w:rsid w:val="4FA5687D"/>
    <w:rsid w:val="4FAA2D7A"/>
    <w:rsid w:val="4FB07878"/>
    <w:rsid w:val="4FB47FD6"/>
    <w:rsid w:val="4FBA5581"/>
    <w:rsid w:val="4FBA60A3"/>
    <w:rsid w:val="4FBC0F82"/>
    <w:rsid w:val="4FC3320E"/>
    <w:rsid w:val="4FC864A4"/>
    <w:rsid w:val="4FC9420B"/>
    <w:rsid w:val="4FCB0034"/>
    <w:rsid w:val="4FCE7CFE"/>
    <w:rsid w:val="4FD41C65"/>
    <w:rsid w:val="4FD80B7D"/>
    <w:rsid w:val="4FDE13FD"/>
    <w:rsid w:val="4FE5239D"/>
    <w:rsid w:val="4FEA269F"/>
    <w:rsid w:val="4FF0487B"/>
    <w:rsid w:val="4FF1171E"/>
    <w:rsid w:val="4FF25FC4"/>
    <w:rsid w:val="4FF260E2"/>
    <w:rsid w:val="4FF77EAB"/>
    <w:rsid w:val="4FFA4AE4"/>
    <w:rsid w:val="50016325"/>
    <w:rsid w:val="500278C3"/>
    <w:rsid w:val="500314EC"/>
    <w:rsid w:val="50034A70"/>
    <w:rsid w:val="5004520D"/>
    <w:rsid w:val="500F0A42"/>
    <w:rsid w:val="50130483"/>
    <w:rsid w:val="50157ED0"/>
    <w:rsid w:val="501955F2"/>
    <w:rsid w:val="501A1195"/>
    <w:rsid w:val="50226D5F"/>
    <w:rsid w:val="502A714C"/>
    <w:rsid w:val="502B33A2"/>
    <w:rsid w:val="502F0840"/>
    <w:rsid w:val="50324731"/>
    <w:rsid w:val="50354221"/>
    <w:rsid w:val="50357D7D"/>
    <w:rsid w:val="50377F99"/>
    <w:rsid w:val="503D5502"/>
    <w:rsid w:val="5044508F"/>
    <w:rsid w:val="50457302"/>
    <w:rsid w:val="50521378"/>
    <w:rsid w:val="505722FA"/>
    <w:rsid w:val="50584E9C"/>
    <w:rsid w:val="506348EA"/>
    <w:rsid w:val="50663568"/>
    <w:rsid w:val="50665C75"/>
    <w:rsid w:val="506B19F1"/>
    <w:rsid w:val="50700DB5"/>
    <w:rsid w:val="507A400F"/>
    <w:rsid w:val="50811214"/>
    <w:rsid w:val="50852AB2"/>
    <w:rsid w:val="508710FB"/>
    <w:rsid w:val="509306CE"/>
    <w:rsid w:val="5099655E"/>
    <w:rsid w:val="50A02428"/>
    <w:rsid w:val="50A310A9"/>
    <w:rsid w:val="50A62359"/>
    <w:rsid w:val="50B82E88"/>
    <w:rsid w:val="50B96C00"/>
    <w:rsid w:val="50C80BF1"/>
    <w:rsid w:val="50CA2BBB"/>
    <w:rsid w:val="50CC3A85"/>
    <w:rsid w:val="50CF3D2E"/>
    <w:rsid w:val="50D457E8"/>
    <w:rsid w:val="50D70E34"/>
    <w:rsid w:val="50E82ABB"/>
    <w:rsid w:val="50F051B9"/>
    <w:rsid w:val="50F33EC0"/>
    <w:rsid w:val="50F43794"/>
    <w:rsid w:val="50F7102F"/>
    <w:rsid w:val="50F934A0"/>
    <w:rsid w:val="50FF48D0"/>
    <w:rsid w:val="511010BC"/>
    <w:rsid w:val="5116195C"/>
    <w:rsid w:val="511F5F83"/>
    <w:rsid w:val="51204589"/>
    <w:rsid w:val="51260B6A"/>
    <w:rsid w:val="51344377"/>
    <w:rsid w:val="513D3504"/>
    <w:rsid w:val="5141004C"/>
    <w:rsid w:val="51422751"/>
    <w:rsid w:val="514566E6"/>
    <w:rsid w:val="514B3F6A"/>
    <w:rsid w:val="514D1206"/>
    <w:rsid w:val="5150517C"/>
    <w:rsid w:val="51514CAB"/>
    <w:rsid w:val="515626A1"/>
    <w:rsid w:val="515669E7"/>
    <w:rsid w:val="51624B84"/>
    <w:rsid w:val="5167040A"/>
    <w:rsid w:val="516715AA"/>
    <w:rsid w:val="516A4ADC"/>
    <w:rsid w:val="516E1798"/>
    <w:rsid w:val="5172656E"/>
    <w:rsid w:val="51730B5D"/>
    <w:rsid w:val="517C2BAC"/>
    <w:rsid w:val="51880507"/>
    <w:rsid w:val="518813FC"/>
    <w:rsid w:val="51891E5D"/>
    <w:rsid w:val="518E1E3B"/>
    <w:rsid w:val="519061B9"/>
    <w:rsid w:val="519F2884"/>
    <w:rsid w:val="51A62D85"/>
    <w:rsid w:val="51AA5240"/>
    <w:rsid w:val="51B855E6"/>
    <w:rsid w:val="51B92CCF"/>
    <w:rsid w:val="51BA263B"/>
    <w:rsid w:val="51C4447B"/>
    <w:rsid w:val="51C92E73"/>
    <w:rsid w:val="51CC64BF"/>
    <w:rsid w:val="51DA64ED"/>
    <w:rsid w:val="51DB7F4F"/>
    <w:rsid w:val="51DD247A"/>
    <w:rsid w:val="51E27A91"/>
    <w:rsid w:val="51E8486B"/>
    <w:rsid w:val="51E859D5"/>
    <w:rsid w:val="51EC090F"/>
    <w:rsid w:val="51EF6702"/>
    <w:rsid w:val="51F21DCD"/>
    <w:rsid w:val="51F67DA1"/>
    <w:rsid w:val="51FD0BB6"/>
    <w:rsid w:val="520A6C76"/>
    <w:rsid w:val="520B3EC2"/>
    <w:rsid w:val="520C5713"/>
    <w:rsid w:val="52140592"/>
    <w:rsid w:val="521C611E"/>
    <w:rsid w:val="521F0CE5"/>
    <w:rsid w:val="5224454D"/>
    <w:rsid w:val="5227192A"/>
    <w:rsid w:val="522D3402"/>
    <w:rsid w:val="522D51B0"/>
    <w:rsid w:val="52320A18"/>
    <w:rsid w:val="5238328E"/>
    <w:rsid w:val="52391DB4"/>
    <w:rsid w:val="523A78CD"/>
    <w:rsid w:val="523B771C"/>
    <w:rsid w:val="523F4EE3"/>
    <w:rsid w:val="524032B0"/>
    <w:rsid w:val="524546A2"/>
    <w:rsid w:val="5247354A"/>
    <w:rsid w:val="526A11AC"/>
    <w:rsid w:val="526B7928"/>
    <w:rsid w:val="526D6907"/>
    <w:rsid w:val="526E739B"/>
    <w:rsid w:val="526F4B59"/>
    <w:rsid w:val="52766056"/>
    <w:rsid w:val="527C6137"/>
    <w:rsid w:val="527C758B"/>
    <w:rsid w:val="527E556C"/>
    <w:rsid w:val="5283289F"/>
    <w:rsid w:val="528F5E6A"/>
    <w:rsid w:val="5294522F"/>
    <w:rsid w:val="5297279D"/>
    <w:rsid w:val="52985654"/>
    <w:rsid w:val="529C40E3"/>
    <w:rsid w:val="529D6CCD"/>
    <w:rsid w:val="529F5982"/>
    <w:rsid w:val="52A1231C"/>
    <w:rsid w:val="52AD718C"/>
    <w:rsid w:val="52B96A43"/>
    <w:rsid w:val="52BB0A0D"/>
    <w:rsid w:val="52C02D79"/>
    <w:rsid w:val="52C250C7"/>
    <w:rsid w:val="52CE17AF"/>
    <w:rsid w:val="52D41ACF"/>
    <w:rsid w:val="52D65C0F"/>
    <w:rsid w:val="52E431D7"/>
    <w:rsid w:val="52E502A3"/>
    <w:rsid w:val="52E63A37"/>
    <w:rsid w:val="52E76EBB"/>
    <w:rsid w:val="52EB483D"/>
    <w:rsid w:val="52ED6537"/>
    <w:rsid w:val="52EF3D6F"/>
    <w:rsid w:val="52F061DD"/>
    <w:rsid w:val="52F537F4"/>
    <w:rsid w:val="52F932E4"/>
    <w:rsid w:val="52FA615D"/>
    <w:rsid w:val="52FE35FA"/>
    <w:rsid w:val="52FE39F6"/>
    <w:rsid w:val="5300759F"/>
    <w:rsid w:val="530321A3"/>
    <w:rsid w:val="53043CC0"/>
    <w:rsid w:val="530A48DD"/>
    <w:rsid w:val="531A55EE"/>
    <w:rsid w:val="531B5D60"/>
    <w:rsid w:val="531C00D0"/>
    <w:rsid w:val="53206076"/>
    <w:rsid w:val="53227B62"/>
    <w:rsid w:val="53271025"/>
    <w:rsid w:val="53313D67"/>
    <w:rsid w:val="53353F57"/>
    <w:rsid w:val="53364538"/>
    <w:rsid w:val="53380FA9"/>
    <w:rsid w:val="533A4B08"/>
    <w:rsid w:val="53486019"/>
    <w:rsid w:val="53493C3B"/>
    <w:rsid w:val="5349426B"/>
    <w:rsid w:val="534D3D67"/>
    <w:rsid w:val="535022B4"/>
    <w:rsid w:val="535075B2"/>
    <w:rsid w:val="53535B7E"/>
    <w:rsid w:val="53536636"/>
    <w:rsid w:val="535A55E1"/>
    <w:rsid w:val="535C1828"/>
    <w:rsid w:val="535C4651"/>
    <w:rsid w:val="53603363"/>
    <w:rsid w:val="536203AC"/>
    <w:rsid w:val="536567ED"/>
    <w:rsid w:val="536A41E2"/>
    <w:rsid w:val="536C0605"/>
    <w:rsid w:val="536C1D08"/>
    <w:rsid w:val="536E636E"/>
    <w:rsid w:val="536F35A6"/>
    <w:rsid w:val="537036FD"/>
    <w:rsid w:val="5370740E"/>
    <w:rsid w:val="53715570"/>
    <w:rsid w:val="53794684"/>
    <w:rsid w:val="537B019D"/>
    <w:rsid w:val="537C0DFA"/>
    <w:rsid w:val="537C1E10"/>
    <w:rsid w:val="537C7C86"/>
    <w:rsid w:val="537D1A12"/>
    <w:rsid w:val="537D2167"/>
    <w:rsid w:val="53896B1D"/>
    <w:rsid w:val="539354E6"/>
    <w:rsid w:val="5397766A"/>
    <w:rsid w:val="53A471F4"/>
    <w:rsid w:val="53B042EA"/>
    <w:rsid w:val="53B631FA"/>
    <w:rsid w:val="53C11F3C"/>
    <w:rsid w:val="53C33A31"/>
    <w:rsid w:val="53D37FD9"/>
    <w:rsid w:val="53D77DB9"/>
    <w:rsid w:val="53E144A4"/>
    <w:rsid w:val="53E2599D"/>
    <w:rsid w:val="53E66FFE"/>
    <w:rsid w:val="53EB7D0C"/>
    <w:rsid w:val="53F81956"/>
    <w:rsid w:val="53FA5565"/>
    <w:rsid w:val="54103A28"/>
    <w:rsid w:val="541C1A6F"/>
    <w:rsid w:val="541D1254"/>
    <w:rsid w:val="54206BAB"/>
    <w:rsid w:val="54222492"/>
    <w:rsid w:val="542757CF"/>
    <w:rsid w:val="54284497"/>
    <w:rsid w:val="542919A7"/>
    <w:rsid w:val="542B571F"/>
    <w:rsid w:val="542C6F5C"/>
    <w:rsid w:val="542D3B70"/>
    <w:rsid w:val="543433F6"/>
    <w:rsid w:val="5439699D"/>
    <w:rsid w:val="543A32AD"/>
    <w:rsid w:val="5445347D"/>
    <w:rsid w:val="5445601B"/>
    <w:rsid w:val="544764A5"/>
    <w:rsid w:val="54486516"/>
    <w:rsid w:val="544D0810"/>
    <w:rsid w:val="545110D1"/>
    <w:rsid w:val="54525277"/>
    <w:rsid w:val="545709BF"/>
    <w:rsid w:val="54624EB9"/>
    <w:rsid w:val="54625C3B"/>
    <w:rsid w:val="546572A4"/>
    <w:rsid w:val="54661FA6"/>
    <w:rsid w:val="54680721"/>
    <w:rsid w:val="546926EB"/>
    <w:rsid w:val="54692B85"/>
    <w:rsid w:val="546B4888"/>
    <w:rsid w:val="546C31A2"/>
    <w:rsid w:val="54760726"/>
    <w:rsid w:val="54780C2F"/>
    <w:rsid w:val="54840279"/>
    <w:rsid w:val="548573BB"/>
    <w:rsid w:val="54877909"/>
    <w:rsid w:val="548E627B"/>
    <w:rsid w:val="548F2152"/>
    <w:rsid w:val="549332C4"/>
    <w:rsid w:val="54957CEE"/>
    <w:rsid w:val="549A0AF6"/>
    <w:rsid w:val="54A01FF8"/>
    <w:rsid w:val="54A53D7C"/>
    <w:rsid w:val="54A767F3"/>
    <w:rsid w:val="54AA6B53"/>
    <w:rsid w:val="54AD082A"/>
    <w:rsid w:val="54BC6CBF"/>
    <w:rsid w:val="54C14E3F"/>
    <w:rsid w:val="54C6369A"/>
    <w:rsid w:val="54C644FD"/>
    <w:rsid w:val="54C806BA"/>
    <w:rsid w:val="54CC7AC8"/>
    <w:rsid w:val="54CF07A0"/>
    <w:rsid w:val="54D2203E"/>
    <w:rsid w:val="54D47B64"/>
    <w:rsid w:val="54D70AA1"/>
    <w:rsid w:val="54D7298C"/>
    <w:rsid w:val="54D827E0"/>
    <w:rsid w:val="54D922A9"/>
    <w:rsid w:val="54DA272A"/>
    <w:rsid w:val="54DB06F3"/>
    <w:rsid w:val="54EA382C"/>
    <w:rsid w:val="54EA7EC3"/>
    <w:rsid w:val="54F00716"/>
    <w:rsid w:val="54F1026B"/>
    <w:rsid w:val="54F1103D"/>
    <w:rsid w:val="54F25C8B"/>
    <w:rsid w:val="54FE4633"/>
    <w:rsid w:val="55045144"/>
    <w:rsid w:val="55055F70"/>
    <w:rsid w:val="550D751A"/>
    <w:rsid w:val="551417DF"/>
    <w:rsid w:val="552D3BE0"/>
    <w:rsid w:val="552F56E3"/>
    <w:rsid w:val="5532240D"/>
    <w:rsid w:val="553739C0"/>
    <w:rsid w:val="553959E9"/>
    <w:rsid w:val="553A7A4C"/>
    <w:rsid w:val="55421934"/>
    <w:rsid w:val="5543118E"/>
    <w:rsid w:val="55450A62"/>
    <w:rsid w:val="554F0D30"/>
    <w:rsid w:val="554F1507"/>
    <w:rsid w:val="555111B5"/>
    <w:rsid w:val="55560EC1"/>
    <w:rsid w:val="55582538"/>
    <w:rsid w:val="55583898"/>
    <w:rsid w:val="555F65A5"/>
    <w:rsid w:val="5564034E"/>
    <w:rsid w:val="5565489D"/>
    <w:rsid w:val="556644E1"/>
    <w:rsid w:val="55696696"/>
    <w:rsid w:val="556A56B6"/>
    <w:rsid w:val="556D1D67"/>
    <w:rsid w:val="556E5D90"/>
    <w:rsid w:val="556F0014"/>
    <w:rsid w:val="557B0BC6"/>
    <w:rsid w:val="557E6181"/>
    <w:rsid w:val="558318CB"/>
    <w:rsid w:val="5588094F"/>
    <w:rsid w:val="55937A20"/>
    <w:rsid w:val="5595582F"/>
    <w:rsid w:val="5596142A"/>
    <w:rsid w:val="559C40DA"/>
    <w:rsid w:val="55A02195"/>
    <w:rsid w:val="55A41C2D"/>
    <w:rsid w:val="55A75279"/>
    <w:rsid w:val="55A81B76"/>
    <w:rsid w:val="55AF771D"/>
    <w:rsid w:val="55B00195"/>
    <w:rsid w:val="55B31E70"/>
    <w:rsid w:val="55B94FAC"/>
    <w:rsid w:val="55BF3799"/>
    <w:rsid w:val="55C36183"/>
    <w:rsid w:val="55C73193"/>
    <w:rsid w:val="55C91693"/>
    <w:rsid w:val="55C961B4"/>
    <w:rsid w:val="55D10548"/>
    <w:rsid w:val="55D2625E"/>
    <w:rsid w:val="55D74AC1"/>
    <w:rsid w:val="55DA38A0"/>
    <w:rsid w:val="55DB13C7"/>
    <w:rsid w:val="55DB3175"/>
    <w:rsid w:val="55DE7EA3"/>
    <w:rsid w:val="55F14746"/>
    <w:rsid w:val="55F20450"/>
    <w:rsid w:val="55F221C8"/>
    <w:rsid w:val="55F2604B"/>
    <w:rsid w:val="55F7482D"/>
    <w:rsid w:val="55F74830"/>
    <w:rsid w:val="55F934FA"/>
    <w:rsid w:val="55FD3BFE"/>
    <w:rsid w:val="56026953"/>
    <w:rsid w:val="560468F6"/>
    <w:rsid w:val="56144780"/>
    <w:rsid w:val="561F15E3"/>
    <w:rsid w:val="5622420A"/>
    <w:rsid w:val="56261D2F"/>
    <w:rsid w:val="562D6668"/>
    <w:rsid w:val="5637264E"/>
    <w:rsid w:val="563945B3"/>
    <w:rsid w:val="563F0D72"/>
    <w:rsid w:val="5640152C"/>
    <w:rsid w:val="56440098"/>
    <w:rsid w:val="56444AB4"/>
    <w:rsid w:val="56452BCB"/>
    <w:rsid w:val="565133D1"/>
    <w:rsid w:val="565371AF"/>
    <w:rsid w:val="565E57F8"/>
    <w:rsid w:val="566025B8"/>
    <w:rsid w:val="56603417"/>
    <w:rsid w:val="566748DD"/>
    <w:rsid w:val="56755377"/>
    <w:rsid w:val="56837A94"/>
    <w:rsid w:val="568560D6"/>
    <w:rsid w:val="568602D2"/>
    <w:rsid w:val="56867584"/>
    <w:rsid w:val="568836AC"/>
    <w:rsid w:val="56921A85"/>
    <w:rsid w:val="569C2AFB"/>
    <w:rsid w:val="56A95021"/>
    <w:rsid w:val="56AB17FD"/>
    <w:rsid w:val="56AB6D07"/>
    <w:rsid w:val="56AD2D63"/>
    <w:rsid w:val="56B17D0D"/>
    <w:rsid w:val="56BF4844"/>
    <w:rsid w:val="56D402F0"/>
    <w:rsid w:val="56D54068"/>
    <w:rsid w:val="56D57853"/>
    <w:rsid w:val="56D94391"/>
    <w:rsid w:val="56DC71A4"/>
    <w:rsid w:val="56E01FD3"/>
    <w:rsid w:val="56E16357"/>
    <w:rsid w:val="56E541F9"/>
    <w:rsid w:val="56F83D23"/>
    <w:rsid w:val="56FB1D20"/>
    <w:rsid w:val="56FD6278"/>
    <w:rsid w:val="57041072"/>
    <w:rsid w:val="570A3D11"/>
    <w:rsid w:val="570C4656"/>
    <w:rsid w:val="570C5D6D"/>
    <w:rsid w:val="570F30D6"/>
    <w:rsid w:val="57154464"/>
    <w:rsid w:val="57174680"/>
    <w:rsid w:val="571C1C97"/>
    <w:rsid w:val="572B3ADE"/>
    <w:rsid w:val="572D7D3B"/>
    <w:rsid w:val="57325016"/>
    <w:rsid w:val="57347A2F"/>
    <w:rsid w:val="5735698D"/>
    <w:rsid w:val="57393E1A"/>
    <w:rsid w:val="57396B47"/>
    <w:rsid w:val="573F1A51"/>
    <w:rsid w:val="574714D9"/>
    <w:rsid w:val="57481DED"/>
    <w:rsid w:val="574B60D8"/>
    <w:rsid w:val="574E4D83"/>
    <w:rsid w:val="575256B8"/>
    <w:rsid w:val="575718DC"/>
    <w:rsid w:val="57647D46"/>
    <w:rsid w:val="57650F48"/>
    <w:rsid w:val="57694C35"/>
    <w:rsid w:val="576A7087"/>
    <w:rsid w:val="5770468E"/>
    <w:rsid w:val="5774402B"/>
    <w:rsid w:val="577E200A"/>
    <w:rsid w:val="577F4CE4"/>
    <w:rsid w:val="57814294"/>
    <w:rsid w:val="578574B0"/>
    <w:rsid w:val="579212BC"/>
    <w:rsid w:val="5793540B"/>
    <w:rsid w:val="579D29FC"/>
    <w:rsid w:val="57A05711"/>
    <w:rsid w:val="57A16CEB"/>
    <w:rsid w:val="57A9177C"/>
    <w:rsid w:val="57AB105E"/>
    <w:rsid w:val="57B27F05"/>
    <w:rsid w:val="57B507CF"/>
    <w:rsid w:val="57B679F5"/>
    <w:rsid w:val="57B87ECB"/>
    <w:rsid w:val="57BE68AA"/>
    <w:rsid w:val="57BE74C0"/>
    <w:rsid w:val="57C00175"/>
    <w:rsid w:val="57C33EC0"/>
    <w:rsid w:val="57CD4D3F"/>
    <w:rsid w:val="57CF21EA"/>
    <w:rsid w:val="57D8796C"/>
    <w:rsid w:val="57DB5B54"/>
    <w:rsid w:val="57DF13CA"/>
    <w:rsid w:val="57E15E8A"/>
    <w:rsid w:val="57E427B4"/>
    <w:rsid w:val="58005114"/>
    <w:rsid w:val="58037EB2"/>
    <w:rsid w:val="580A7D41"/>
    <w:rsid w:val="580C3AB9"/>
    <w:rsid w:val="580F252A"/>
    <w:rsid w:val="581110D0"/>
    <w:rsid w:val="5811760C"/>
    <w:rsid w:val="58136BF6"/>
    <w:rsid w:val="5814047B"/>
    <w:rsid w:val="58170A85"/>
    <w:rsid w:val="581D5CC6"/>
    <w:rsid w:val="582363EF"/>
    <w:rsid w:val="582818A8"/>
    <w:rsid w:val="582F7230"/>
    <w:rsid w:val="5830221D"/>
    <w:rsid w:val="583143A2"/>
    <w:rsid w:val="583161A3"/>
    <w:rsid w:val="58331046"/>
    <w:rsid w:val="58331AC3"/>
    <w:rsid w:val="58337D56"/>
    <w:rsid w:val="58354DBE"/>
    <w:rsid w:val="583B614D"/>
    <w:rsid w:val="583E2172"/>
    <w:rsid w:val="584274DB"/>
    <w:rsid w:val="5847689F"/>
    <w:rsid w:val="58496ABB"/>
    <w:rsid w:val="584A3CB1"/>
    <w:rsid w:val="584B5252"/>
    <w:rsid w:val="5853793A"/>
    <w:rsid w:val="585A103B"/>
    <w:rsid w:val="585A69C8"/>
    <w:rsid w:val="586236D9"/>
    <w:rsid w:val="586466E1"/>
    <w:rsid w:val="586618D3"/>
    <w:rsid w:val="586B4C84"/>
    <w:rsid w:val="586B6A54"/>
    <w:rsid w:val="586E207E"/>
    <w:rsid w:val="5872489A"/>
    <w:rsid w:val="58746BD9"/>
    <w:rsid w:val="587C3218"/>
    <w:rsid w:val="587F24DD"/>
    <w:rsid w:val="58823992"/>
    <w:rsid w:val="58841452"/>
    <w:rsid w:val="588E2720"/>
    <w:rsid w:val="589046EA"/>
    <w:rsid w:val="589232A5"/>
    <w:rsid w:val="58935F89"/>
    <w:rsid w:val="58977827"/>
    <w:rsid w:val="589B4229"/>
    <w:rsid w:val="58AD53C5"/>
    <w:rsid w:val="58B303D9"/>
    <w:rsid w:val="58B531C5"/>
    <w:rsid w:val="58BC5126"/>
    <w:rsid w:val="58BD6086"/>
    <w:rsid w:val="58C67691"/>
    <w:rsid w:val="58DB6D15"/>
    <w:rsid w:val="58E14F46"/>
    <w:rsid w:val="58E52356"/>
    <w:rsid w:val="58E81E30"/>
    <w:rsid w:val="58F9290B"/>
    <w:rsid w:val="58FD3402"/>
    <w:rsid w:val="58FF22DB"/>
    <w:rsid w:val="5903310E"/>
    <w:rsid w:val="590777C4"/>
    <w:rsid w:val="59082070"/>
    <w:rsid w:val="590824D3"/>
    <w:rsid w:val="590A2C81"/>
    <w:rsid w:val="590B7C9C"/>
    <w:rsid w:val="5915074C"/>
    <w:rsid w:val="591521C8"/>
    <w:rsid w:val="59195665"/>
    <w:rsid w:val="591A49CA"/>
    <w:rsid w:val="59246BE1"/>
    <w:rsid w:val="5925362F"/>
    <w:rsid w:val="59257140"/>
    <w:rsid w:val="592738E1"/>
    <w:rsid w:val="59305585"/>
    <w:rsid w:val="5932754F"/>
    <w:rsid w:val="59361550"/>
    <w:rsid w:val="59383D9F"/>
    <w:rsid w:val="5947124D"/>
    <w:rsid w:val="594869A2"/>
    <w:rsid w:val="59505C28"/>
    <w:rsid w:val="595417B1"/>
    <w:rsid w:val="59545718"/>
    <w:rsid w:val="595C637A"/>
    <w:rsid w:val="59611F42"/>
    <w:rsid w:val="59637259"/>
    <w:rsid w:val="59653481"/>
    <w:rsid w:val="59657925"/>
    <w:rsid w:val="59693390"/>
    <w:rsid w:val="59710F0D"/>
    <w:rsid w:val="5973527B"/>
    <w:rsid w:val="59753252"/>
    <w:rsid w:val="59786A09"/>
    <w:rsid w:val="597914B4"/>
    <w:rsid w:val="597E0EA0"/>
    <w:rsid w:val="5980290A"/>
    <w:rsid w:val="598633F7"/>
    <w:rsid w:val="598729A5"/>
    <w:rsid w:val="598A2EE8"/>
    <w:rsid w:val="598A35B0"/>
    <w:rsid w:val="598B27B6"/>
    <w:rsid w:val="599124C8"/>
    <w:rsid w:val="59945B14"/>
    <w:rsid w:val="599B3347"/>
    <w:rsid w:val="59A01D23"/>
    <w:rsid w:val="59A12B57"/>
    <w:rsid w:val="59A87D08"/>
    <w:rsid w:val="59B17140"/>
    <w:rsid w:val="59B42B48"/>
    <w:rsid w:val="59B43525"/>
    <w:rsid w:val="59B611D6"/>
    <w:rsid w:val="59B6676B"/>
    <w:rsid w:val="59B678AD"/>
    <w:rsid w:val="59B77A55"/>
    <w:rsid w:val="59BA0642"/>
    <w:rsid w:val="59BA76B2"/>
    <w:rsid w:val="59C33FA5"/>
    <w:rsid w:val="59C356A8"/>
    <w:rsid w:val="59C363FA"/>
    <w:rsid w:val="59C61D34"/>
    <w:rsid w:val="59CE248B"/>
    <w:rsid w:val="59CF1242"/>
    <w:rsid w:val="59D46859"/>
    <w:rsid w:val="59E51689"/>
    <w:rsid w:val="59F94AC0"/>
    <w:rsid w:val="59FE6DC7"/>
    <w:rsid w:val="5A013D74"/>
    <w:rsid w:val="5A0709DC"/>
    <w:rsid w:val="5A0802B0"/>
    <w:rsid w:val="5A095765"/>
    <w:rsid w:val="5A0B6471"/>
    <w:rsid w:val="5A0C1B4F"/>
    <w:rsid w:val="5A0F5342"/>
    <w:rsid w:val="5A0F6902"/>
    <w:rsid w:val="5A0F707A"/>
    <w:rsid w:val="5A0F7891"/>
    <w:rsid w:val="5A137B38"/>
    <w:rsid w:val="5A1B4488"/>
    <w:rsid w:val="5A1E1882"/>
    <w:rsid w:val="5A221372"/>
    <w:rsid w:val="5A3022F6"/>
    <w:rsid w:val="5A35111C"/>
    <w:rsid w:val="5A357F97"/>
    <w:rsid w:val="5A3B5FA0"/>
    <w:rsid w:val="5A427B73"/>
    <w:rsid w:val="5A460D26"/>
    <w:rsid w:val="5A461F0B"/>
    <w:rsid w:val="5A47702B"/>
    <w:rsid w:val="5A4F5EDF"/>
    <w:rsid w:val="5A5217AD"/>
    <w:rsid w:val="5A6808A2"/>
    <w:rsid w:val="5A7029DE"/>
    <w:rsid w:val="5A73314A"/>
    <w:rsid w:val="5A764DB1"/>
    <w:rsid w:val="5A79768C"/>
    <w:rsid w:val="5A7D778E"/>
    <w:rsid w:val="5A7E7640"/>
    <w:rsid w:val="5A830771"/>
    <w:rsid w:val="5A86329E"/>
    <w:rsid w:val="5A8A4D39"/>
    <w:rsid w:val="5A8D5B3C"/>
    <w:rsid w:val="5A8E4C59"/>
    <w:rsid w:val="5A900A91"/>
    <w:rsid w:val="5A911684"/>
    <w:rsid w:val="5A955FE8"/>
    <w:rsid w:val="5A971D60"/>
    <w:rsid w:val="5A987886"/>
    <w:rsid w:val="5AA71877"/>
    <w:rsid w:val="5AAB2214"/>
    <w:rsid w:val="5AAC5656"/>
    <w:rsid w:val="5AAC58EC"/>
    <w:rsid w:val="5AAE0E58"/>
    <w:rsid w:val="5AAE2C06"/>
    <w:rsid w:val="5AB61502"/>
    <w:rsid w:val="5AB660D5"/>
    <w:rsid w:val="5AD572B3"/>
    <w:rsid w:val="5ADC3C17"/>
    <w:rsid w:val="5ADC59C5"/>
    <w:rsid w:val="5ADF6FCD"/>
    <w:rsid w:val="5AE0045E"/>
    <w:rsid w:val="5AE55A3B"/>
    <w:rsid w:val="5AE76118"/>
    <w:rsid w:val="5AE95361"/>
    <w:rsid w:val="5AEA5C0E"/>
    <w:rsid w:val="5AEB6539"/>
    <w:rsid w:val="5AF34ABD"/>
    <w:rsid w:val="5AFF3461"/>
    <w:rsid w:val="5AFF7905"/>
    <w:rsid w:val="5B085277"/>
    <w:rsid w:val="5B0E7B10"/>
    <w:rsid w:val="5B101A24"/>
    <w:rsid w:val="5B1213E7"/>
    <w:rsid w:val="5B14445E"/>
    <w:rsid w:val="5B162D21"/>
    <w:rsid w:val="5B1A0180"/>
    <w:rsid w:val="5B1E7D8B"/>
    <w:rsid w:val="5B325DCD"/>
    <w:rsid w:val="5B34012D"/>
    <w:rsid w:val="5B4041A6"/>
    <w:rsid w:val="5B44356A"/>
    <w:rsid w:val="5B466CB4"/>
    <w:rsid w:val="5B4B77BA"/>
    <w:rsid w:val="5B4F263B"/>
    <w:rsid w:val="5B52424E"/>
    <w:rsid w:val="5B547C51"/>
    <w:rsid w:val="5B5E462C"/>
    <w:rsid w:val="5B607464"/>
    <w:rsid w:val="5B6836FC"/>
    <w:rsid w:val="5B687259"/>
    <w:rsid w:val="5B6A2FD1"/>
    <w:rsid w:val="5B743E4F"/>
    <w:rsid w:val="5B7976B8"/>
    <w:rsid w:val="5B7A10F7"/>
    <w:rsid w:val="5B8B5DF2"/>
    <w:rsid w:val="5B9067AF"/>
    <w:rsid w:val="5B935248"/>
    <w:rsid w:val="5B94004E"/>
    <w:rsid w:val="5B940A7D"/>
    <w:rsid w:val="5B962018"/>
    <w:rsid w:val="5B977B3E"/>
    <w:rsid w:val="5B9938B6"/>
    <w:rsid w:val="5B995664"/>
    <w:rsid w:val="5B9B125A"/>
    <w:rsid w:val="5B9B13DC"/>
    <w:rsid w:val="5B9B5880"/>
    <w:rsid w:val="5BA07952"/>
    <w:rsid w:val="5BBB1A7E"/>
    <w:rsid w:val="5BC20A0D"/>
    <w:rsid w:val="5BC37254"/>
    <w:rsid w:val="5BCD355F"/>
    <w:rsid w:val="5BD94D20"/>
    <w:rsid w:val="5BDB2756"/>
    <w:rsid w:val="5BDE576D"/>
    <w:rsid w:val="5BDE5E3D"/>
    <w:rsid w:val="5BE019E6"/>
    <w:rsid w:val="5BE24B0A"/>
    <w:rsid w:val="5BE30EB5"/>
    <w:rsid w:val="5BEA7864"/>
    <w:rsid w:val="5BED397C"/>
    <w:rsid w:val="5BED775E"/>
    <w:rsid w:val="5BF07A90"/>
    <w:rsid w:val="5BF127C1"/>
    <w:rsid w:val="5BF12EF0"/>
    <w:rsid w:val="5BF5277C"/>
    <w:rsid w:val="5BFA12D2"/>
    <w:rsid w:val="5BFB00CD"/>
    <w:rsid w:val="5BFE196B"/>
    <w:rsid w:val="5C0351D3"/>
    <w:rsid w:val="5C036F81"/>
    <w:rsid w:val="5C050F4B"/>
    <w:rsid w:val="5C05719D"/>
    <w:rsid w:val="5C095DCF"/>
    <w:rsid w:val="5C1318BA"/>
    <w:rsid w:val="5C166A77"/>
    <w:rsid w:val="5C2102D0"/>
    <w:rsid w:val="5C2422F3"/>
    <w:rsid w:val="5C2451F1"/>
    <w:rsid w:val="5C2E04A2"/>
    <w:rsid w:val="5C304591"/>
    <w:rsid w:val="5C321615"/>
    <w:rsid w:val="5C356C4B"/>
    <w:rsid w:val="5C3706D2"/>
    <w:rsid w:val="5C384E7D"/>
    <w:rsid w:val="5C3977B6"/>
    <w:rsid w:val="5C3A119E"/>
    <w:rsid w:val="5C42409E"/>
    <w:rsid w:val="5C427AAA"/>
    <w:rsid w:val="5C4668EC"/>
    <w:rsid w:val="5C4F2412"/>
    <w:rsid w:val="5C525071"/>
    <w:rsid w:val="5C583771"/>
    <w:rsid w:val="5C593AC2"/>
    <w:rsid w:val="5C675762"/>
    <w:rsid w:val="5C685E55"/>
    <w:rsid w:val="5C6A7000"/>
    <w:rsid w:val="5C6E089F"/>
    <w:rsid w:val="5C704E57"/>
    <w:rsid w:val="5C7052AE"/>
    <w:rsid w:val="5C7834CB"/>
    <w:rsid w:val="5C820BB7"/>
    <w:rsid w:val="5C82259C"/>
    <w:rsid w:val="5C8E2CEF"/>
    <w:rsid w:val="5C974299"/>
    <w:rsid w:val="5C981DBF"/>
    <w:rsid w:val="5C98714B"/>
    <w:rsid w:val="5C9B540C"/>
    <w:rsid w:val="5C9C1945"/>
    <w:rsid w:val="5C9D2289"/>
    <w:rsid w:val="5CA22C3E"/>
    <w:rsid w:val="5CA415FB"/>
    <w:rsid w:val="5CA47B95"/>
    <w:rsid w:val="5CA83399"/>
    <w:rsid w:val="5CA943D8"/>
    <w:rsid w:val="5CB52971"/>
    <w:rsid w:val="5CB8708F"/>
    <w:rsid w:val="5CB969E9"/>
    <w:rsid w:val="5CC23BA2"/>
    <w:rsid w:val="5CCB1FD5"/>
    <w:rsid w:val="5CD0702B"/>
    <w:rsid w:val="5CD105CC"/>
    <w:rsid w:val="5CD64696"/>
    <w:rsid w:val="5CD97003"/>
    <w:rsid w:val="5CDD3C76"/>
    <w:rsid w:val="5CDE525D"/>
    <w:rsid w:val="5CDF3213"/>
    <w:rsid w:val="5CE1177F"/>
    <w:rsid w:val="5CE15956"/>
    <w:rsid w:val="5CE172C2"/>
    <w:rsid w:val="5CE23916"/>
    <w:rsid w:val="5CED210B"/>
    <w:rsid w:val="5CED4F23"/>
    <w:rsid w:val="5CF3349A"/>
    <w:rsid w:val="5CF44AE0"/>
    <w:rsid w:val="5CF50FC0"/>
    <w:rsid w:val="5CF54B1C"/>
    <w:rsid w:val="5CF76AE6"/>
    <w:rsid w:val="5CF8460C"/>
    <w:rsid w:val="5CFA0384"/>
    <w:rsid w:val="5D0D6309"/>
    <w:rsid w:val="5D1458EA"/>
    <w:rsid w:val="5D192F00"/>
    <w:rsid w:val="5D235B2D"/>
    <w:rsid w:val="5D2672BC"/>
    <w:rsid w:val="5D2673CB"/>
    <w:rsid w:val="5D27532B"/>
    <w:rsid w:val="5D301260"/>
    <w:rsid w:val="5D325D70"/>
    <w:rsid w:val="5D327B1E"/>
    <w:rsid w:val="5D3B6F2A"/>
    <w:rsid w:val="5D3E051F"/>
    <w:rsid w:val="5D441E39"/>
    <w:rsid w:val="5D4D780A"/>
    <w:rsid w:val="5D4D7F79"/>
    <w:rsid w:val="5D584A99"/>
    <w:rsid w:val="5D5C19F4"/>
    <w:rsid w:val="5D5C4B9B"/>
    <w:rsid w:val="5D5E6B65"/>
    <w:rsid w:val="5D613BCB"/>
    <w:rsid w:val="5D6250B4"/>
    <w:rsid w:val="5D631084"/>
    <w:rsid w:val="5D7D6B34"/>
    <w:rsid w:val="5D7E7207"/>
    <w:rsid w:val="5D7F1D13"/>
    <w:rsid w:val="5D876A04"/>
    <w:rsid w:val="5D884E5F"/>
    <w:rsid w:val="5D890A34"/>
    <w:rsid w:val="5D8B75FB"/>
    <w:rsid w:val="5D8F289A"/>
    <w:rsid w:val="5D8F6E48"/>
    <w:rsid w:val="5D916F3A"/>
    <w:rsid w:val="5D9216EA"/>
    <w:rsid w:val="5D943DC1"/>
    <w:rsid w:val="5D9E6676"/>
    <w:rsid w:val="5DA34FE8"/>
    <w:rsid w:val="5DA87DE0"/>
    <w:rsid w:val="5DAC0B1E"/>
    <w:rsid w:val="5DAF3EB2"/>
    <w:rsid w:val="5DB205B8"/>
    <w:rsid w:val="5DB4354B"/>
    <w:rsid w:val="5DB70023"/>
    <w:rsid w:val="5DBE13B2"/>
    <w:rsid w:val="5DC15346"/>
    <w:rsid w:val="5DC170F4"/>
    <w:rsid w:val="5DC7223B"/>
    <w:rsid w:val="5DCF35BF"/>
    <w:rsid w:val="5DD24E5D"/>
    <w:rsid w:val="5DD93A06"/>
    <w:rsid w:val="5DDC146F"/>
    <w:rsid w:val="5DE15031"/>
    <w:rsid w:val="5DF23751"/>
    <w:rsid w:val="5DF272AD"/>
    <w:rsid w:val="5DF84276"/>
    <w:rsid w:val="5DFD07C0"/>
    <w:rsid w:val="5E041FD8"/>
    <w:rsid w:val="5E061250"/>
    <w:rsid w:val="5E0764B7"/>
    <w:rsid w:val="5E127071"/>
    <w:rsid w:val="5E1611EE"/>
    <w:rsid w:val="5E1704AA"/>
    <w:rsid w:val="5E18474A"/>
    <w:rsid w:val="5E1E3878"/>
    <w:rsid w:val="5E2F35DF"/>
    <w:rsid w:val="5E2F405E"/>
    <w:rsid w:val="5E313656"/>
    <w:rsid w:val="5E345B18"/>
    <w:rsid w:val="5E3D3BE5"/>
    <w:rsid w:val="5E427006"/>
    <w:rsid w:val="5E435D5B"/>
    <w:rsid w:val="5E4A3516"/>
    <w:rsid w:val="5E4C4C10"/>
    <w:rsid w:val="5E4C6BBC"/>
    <w:rsid w:val="5E4F1CDA"/>
    <w:rsid w:val="5E525F9E"/>
    <w:rsid w:val="5E545207"/>
    <w:rsid w:val="5E591274"/>
    <w:rsid w:val="5E5E03BE"/>
    <w:rsid w:val="5E60047B"/>
    <w:rsid w:val="5E6155FE"/>
    <w:rsid w:val="5E6235EE"/>
    <w:rsid w:val="5E6D4B86"/>
    <w:rsid w:val="5E6F4DA2"/>
    <w:rsid w:val="5E710B1A"/>
    <w:rsid w:val="5E72408D"/>
    <w:rsid w:val="5E79352B"/>
    <w:rsid w:val="5E794A45"/>
    <w:rsid w:val="5E7C38CA"/>
    <w:rsid w:val="5E8124A0"/>
    <w:rsid w:val="5E8E26A4"/>
    <w:rsid w:val="5E9726BC"/>
    <w:rsid w:val="5E9C4B20"/>
    <w:rsid w:val="5EA47E55"/>
    <w:rsid w:val="5EAB402C"/>
    <w:rsid w:val="5EAD05E3"/>
    <w:rsid w:val="5EAE7678"/>
    <w:rsid w:val="5EAF6076"/>
    <w:rsid w:val="5EB2314A"/>
    <w:rsid w:val="5EB56C59"/>
    <w:rsid w:val="5EB63635"/>
    <w:rsid w:val="5EC450EE"/>
    <w:rsid w:val="5EC61C02"/>
    <w:rsid w:val="5EC648CD"/>
    <w:rsid w:val="5EC739B8"/>
    <w:rsid w:val="5ECA1FD8"/>
    <w:rsid w:val="5ECB647C"/>
    <w:rsid w:val="5ED5070F"/>
    <w:rsid w:val="5ED54431"/>
    <w:rsid w:val="5ED725C3"/>
    <w:rsid w:val="5ED86C69"/>
    <w:rsid w:val="5ED87877"/>
    <w:rsid w:val="5EDF3D92"/>
    <w:rsid w:val="5EE20946"/>
    <w:rsid w:val="5EFA18BB"/>
    <w:rsid w:val="5EFF1C82"/>
    <w:rsid w:val="5EFF64E1"/>
    <w:rsid w:val="5F014F67"/>
    <w:rsid w:val="5F03515E"/>
    <w:rsid w:val="5F0439DA"/>
    <w:rsid w:val="5F0D1098"/>
    <w:rsid w:val="5F0F19B8"/>
    <w:rsid w:val="5F236821"/>
    <w:rsid w:val="5F2660BA"/>
    <w:rsid w:val="5F27521E"/>
    <w:rsid w:val="5F2F5ACA"/>
    <w:rsid w:val="5F334021"/>
    <w:rsid w:val="5F335DCF"/>
    <w:rsid w:val="5F345E70"/>
    <w:rsid w:val="5F3538F6"/>
    <w:rsid w:val="5F3548B0"/>
    <w:rsid w:val="5F3608F5"/>
    <w:rsid w:val="5F3D00E1"/>
    <w:rsid w:val="5F3D3985"/>
    <w:rsid w:val="5F3F324B"/>
    <w:rsid w:val="5F466F08"/>
    <w:rsid w:val="5F4862C9"/>
    <w:rsid w:val="5F4955F3"/>
    <w:rsid w:val="5F4D68A3"/>
    <w:rsid w:val="5F561124"/>
    <w:rsid w:val="5F5875E4"/>
    <w:rsid w:val="5F5D2E4C"/>
    <w:rsid w:val="5F5E28DD"/>
    <w:rsid w:val="5F6076AF"/>
    <w:rsid w:val="5F693388"/>
    <w:rsid w:val="5F73513A"/>
    <w:rsid w:val="5F795F2D"/>
    <w:rsid w:val="5F7F7F09"/>
    <w:rsid w:val="5F814D8D"/>
    <w:rsid w:val="5F8613F6"/>
    <w:rsid w:val="5F8B1768"/>
    <w:rsid w:val="5F8E5EC3"/>
    <w:rsid w:val="5F922535"/>
    <w:rsid w:val="5F973A30"/>
    <w:rsid w:val="5FA01B9B"/>
    <w:rsid w:val="5FA37637"/>
    <w:rsid w:val="5FA81261"/>
    <w:rsid w:val="5FA865BC"/>
    <w:rsid w:val="5FAF52EE"/>
    <w:rsid w:val="5FB4701C"/>
    <w:rsid w:val="5FB54A36"/>
    <w:rsid w:val="5FB707AE"/>
    <w:rsid w:val="5FBA3DFB"/>
    <w:rsid w:val="5FBC5DC5"/>
    <w:rsid w:val="5FC34143"/>
    <w:rsid w:val="5FCB4992"/>
    <w:rsid w:val="5FE601C9"/>
    <w:rsid w:val="5FEF48C7"/>
    <w:rsid w:val="5FF078FF"/>
    <w:rsid w:val="5FF4555F"/>
    <w:rsid w:val="5FF92B75"/>
    <w:rsid w:val="60025ECE"/>
    <w:rsid w:val="600357A2"/>
    <w:rsid w:val="600E25AB"/>
    <w:rsid w:val="60136F65"/>
    <w:rsid w:val="601F4A3C"/>
    <w:rsid w:val="6025396A"/>
    <w:rsid w:val="602776E2"/>
    <w:rsid w:val="602B3912"/>
    <w:rsid w:val="602C265E"/>
    <w:rsid w:val="603718EF"/>
    <w:rsid w:val="60402552"/>
    <w:rsid w:val="60411AA3"/>
    <w:rsid w:val="60491A92"/>
    <w:rsid w:val="60494C8A"/>
    <w:rsid w:val="604D4C6F"/>
    <w:rsid w:val="60536729"/>
    <w:rsid w:val="6054424F"/>
    <w:rsid w:val="60580360"/>
    <w:rsid w:val="60612F01"/>
    <w:rsid w:val="60624553"/>
    <w:rsid w:val="606359E6"/>
    <w:rsid w:val="60636240"/>
    <w:rsid w:val="60694549"/>
    <w:rsid w:val="606964C9"/>
    <w:rsid w:val="606A5821"/>
    <w:rsid w:val="606E745A"/>
    <w:rsid w:val="6074044E"/>
    <w:rsid w:val="607526B4"/>
    <w:rsid w:val="60777A67"/>
    <w:rsid w:val="60787F3E"/>
    <w:rsid w:val="607928FD"/>
    <w:rsid w:val="6084377A"/>
    <w:rsid w:val="609072EB"/>
    <w:rsid w:val="6094289E"/>
    <w:rsid w:val="609C52EB"/>
    <w:rsid w:val="60A13198"/>
    <w:rsid w:val="60A24FBB"/>
    <w:rsid w:val="60A521A0"/>
    <w:rsid w:val="60AD30F8"/>
    <w:rsid w:val="60B30F76"/>
    <w:rsid w:val="60BB348D"/>
    <w:rsid w:val="60BB4E05"/>
    <w:rsid w:val="60BD2AB5"/>
    <w:rsid w:val="60C33FC4"/>
    <w:rsid w:val="60C72C73"/>
    <w:rsid w:val="60D63B2E"/>
    <w:rsid w:val="60D809DC"/>
    <w:rsid w:val="60DA0BF8"/>
    <w:rsid w:val="60DF1D6B"/>
    <w:rsid w:val="60E277A8"/>
    <w:rsid w:val="60E47381"/>
    <w:rsid w:val="60E65FC9"/>
    <w:rsid w:val="60E750C3"/>
    <w:rsid w:val="60E76E71"/>
    <w:rsid w:val="60EA66DE"/>
    <w:rsid w:val="60F375C4"/>
    <w:rsid w:val="60F65306"/>
    <w:rsid w:val="60FF2791"/>
    <w:rsid w:val="60FF41BB"/>
    <w:rsid w:val="6103108B"/>
    <w:rsid w:val="61047A23"/>
    <w:rsid w:val="61050A04"/>
    <w:rsid w:val="61066AA3"/>
    <w:rsid w:val="61113EEE"/>
    <w:rsid w:val="61177312"/>
    <w:rsid w:val="61227EAA"/>
    <w:rsid w:val="61377DF9"/>
    <w:rsid w:val="613A3445"/>
    <w:rsid w:val="6145155F"/>
    <w:rsid w:val="6149117D"/>
    <w:rsid w:val="614E0C9F"/>
    <w:rsid w:val="61520175"/>
    <w:rsid w:val="615D3432"/>
    <w:rsid w:val="61614E76"/>
    <w:rsid w:val="61616C24"/>
    <w:rsid w:val="61627EF2"/>
    <w:rsid w:val="616404C2"/>
    <w:rsid w:val="61690897"/>
    <w:rsid w:val="61694115"/>
    <w:rsid w:val="61696F28"/>
    <w:rsid w:val="6171498D"/>
    <w:rsid w:val="61714AF2"/>
    <w:rsid w:val="617565F6"/>
    <w:rsid w:val="617B5F04"/>
    <w:rsid w:val="61803709"/>
    <w:rsid w:val="61872199"/>
    <w:rsid w:val="618B5A4F"/>
    <w:rsid w:val="619D0D68"/>
    <w:rsid w:val="619E1508"/>
    <w:rsid w:val="619F774C"/>
    <w:rsid w:val="61A16BC9"/>
    <w:rsid w:val="61A30A46"/>
    <w:rsid w:val="61AD1BA1"/>
    <w:rsid w:val="61AD67D9"/>
    <w:rsid w:val="61BB1C0C"/>
    <w:rsid w:val="61BB78FB"/>
    <w:rsid w:val="61BE00C7"/>
    <w:rsid w:val="61C64CD9"/>
    <w:rsid w:val="61C667E4"/>
    <w:rsid w:val="61D05715"/>
    <w:rsid w:val="61D740D2"/>
    <w:rsid w:val="61DB43ED"/>
    <w:rsid w:val="61DB7CAC"/>
    <w:rsid w:val="61DC1716"/>
    <w:rsid w:val="61E1276F"/>
    <w:rsid w:val="61E84C4F"/>
    <w:rsid w:val="61F24E65"/>
    <w:rsid w:val="61F30525"/>
    <w:rsid w:val="61F310FF"/>
    <w:rsid w:val="61FA760E"/>
    <w:rsid w:val="61FB61B5"/>
    <w:rsid w:val="61FC6B54"/>
    <w:rsid w:val="6208709F"/>
    <w:rsid w:val="620D6DAC"/>
    <w:rsid w:val="62132AC5"/>
    <w:rsid w:val="62165C60"/>
    <w:rsid w:val="62206ADF"/>
    <w:rsid w:val="622112F5"/>
    <w:rsid w:val="62230392"/>
    <w:rsid w:val="62255EA3"/>
    <w:rsid w:val="622A102E"/>
    <w:rsid w:val="622D7B47"/>
    <w:rsid w:val="623916BE"/>
    <w:rsid w:val="623A606B"/>
    <w:rsid w:val="623C31ED"/>
    <w:rsid w:val="623E51B7"/>
    <w:rsid w:val="62402A42"/>
    <w:rsid w:val="62535753"/>
    <w:rsid w:val="6255374D"/>
    <w:rsid w:val="6262113D"/>
    <w:rsid w:val="62685D90"/>
    <w:rsid w:val="62686413"/>
    <w:rsid w:val="626917B7"/>
    <w:rsid w:val="626B289A"/>
    <w:rsid w:val="626C22DB"/>
    <w:rsid w:val="626D15F8"/>
    <w:rsid w:val="627133B7"/>
    <w:rsid w:val="62832BCA"/>
    <w:rsid w:val="62854A7A"/>
    <w:rsid w:val="62854B94"/>
    <w:rsid w:val="6286386E"/>
    <w:rsid w:val="62870D02"/>
    <w:rsid w:val="628D57F7"/>
    <w:rsid w:val="6291178B"/>
    <w:rsid w:val="62937F82"/>
    <w:rsid w:val="629503BF"/>
    <w:rsid w:val="6295776A"/>
    <w:rsid w:val="629B323B"/>
    <w:rsid w:val="629D3A05"/>
    <w:rsid w:val="629E37E6"/>
    <w:rsid w:val="62A10326"/>
    <w:rsid w:val="62A414BE"/>
    <w:rsid w:val="62AF1C11"/>
    <w:rsid w:val="62B00A61"/>
    <w:rsid w:val="62B02E9C"/>
    <w:rsid w:val="62B93684"/>
    <w:rsid w:val="62C21463"/>
    <w:rsid w:val="62C25C0C"/>
    <w:rsid w:val="62CF1196"/>
    <w:rsid w:val="62D17B5D"/>
    <w:rsid w:val="62D87B2E"/>
    <w:rsid w:val="62DD7063"/>
    <w:rsid w:val="62DE6052"/>
    <w:rsid w:val="62DF0794"/>
    <w:rsid w:val="62E15AE5"/>
    <w:rsid w:val="62EA2C49"/>
    <w:rsid w:val="62EC6826"/>
    <w:rsid w:val="62ED7B55"/>
    <w:rsid w:val="62EF03A2"/>
    <w:rsid w:val="62F2066B"/>
    <w:rsid w:val="62F82F7B"/>
    <w:rsid w:val="63054188"/>
    <w:rsid w:val="63077F65"/>
    <w:rsid w:val="6315416A"/>
    <w:rsid w:val="631A352E"/>
    <w:rsid w:val="63232C71"/>
    <w:rsid w:val="63291928"/>
    <w:rsid w:val="632B573B"/>
    <w:rsid w:val="63301343"/>
    <w:rsid w:val="63332842"/>
    <w:rsid w:val="63350368"/>
    <w:rsid w:val="6335141E"/>
    <w:rsid w:val="633C694F"/>
    <w:rsid w:val="633D721D"/>
    <w:rsid w:val="633E4E82"/>
    <w:rsid w:val="633F11E7"/>
    <w:rsid w:val="634D35E4"/>
    <w:rsid w:val="634F4437"/>
    <w:rsid w:val="635025C8"/>
    <w:rsid w:val="63520F1A"/>
    <w:rsid w:val="63552E8A"/>
    <w:rsid w:val="63560C58"/>
    <w:rsid w:val="635B4CC7"/>
    <w:rsid w:val="635C3B47"/>
    <w:rsid w:val="636130E0"/>
    <w:rsid w:val="63666773"/>
    <w:rsid w:val="63697AC4"/>
    <w:rsid w:val="636A6886"/>
    <w:rsid w:val="636E5628"/>
    <w:rsid w:val="636E564F"/>
    <w:rsid w:val="637D075E"/>
    <w:rsid w:val="637E22F8"/>
    <w:rsid w:val="63891F1F"/>
    <w:rsid w:val="638957C1"/>
    <w:rsid w:val="638C0D8B"/>
    <w:rsid w:val="638D1F52"/>
    <w:rsid w:val="63950C34"/>
    <w:rsid w:val="63A45B72"/>
    <w:rsid w:val="63A53508"/>
    <w:rsid w:val="63A86D8C"/>
    <w:rsid w:val="63AA1BCD"/>
    <w:rsid w:val="63AE1B9F"/>
    <w:rsid w:val="63B06793"/>
    <w:rsid w:val="63B079EF"/>
    <w:rsid w:val="63B1353D"/>
    <w:rsid w:val="63B862F6"/>
    <w:rsid w:val="63BF5E84"/>
    <w:rsid w:val="63C139AA"/>
    <w:rsid w:val="63C51931"/>
    <w:rsid w:val="63CA2346"/>
    <w:rsid w:val="63CB7D95"/>
    <w:rsid w:val="63D00091"/>
    <w:rsid w:val="63D00340"/>
    <w:rsid w:val="63D62269"/>
    <w:rsid w:val="63DA4A6C"/>
    <w:rsid w:val="63DB4576"/>
    <w:rsid w:val="63DD7768"/>
    <w:rsid w:val="63DF5772"/>
    <w:rsid w:val="63E034FC"/>
    <w:rsid w:val="63E37DC4"/>
    <w:rsid w:val="63E4722C"/>
    <w:rsid w:val="63E86948"/>
    <w:rsid w:val="63EE7173"/>
    <w:rsid w:val="63F7561D"/>
    <w:rsid w:val="63F75B32"/>
    <w:rsid w:val="63F80AF1"/>
    <w:rsid w:val="63FB5C60"/>
    <w:rsid w:val="64004C34"/>
    <w:rsid w:val="64012D69"/>
    <w:rsid w:val="64025CA4"/>
    <w:rsid w:val="64033FC2"/>
    <w:rsid w:val="64037F24"/>
    <w:rsid w:val="64037F8B"/>
    <w:rsid w:val="64046278"/>
    <w:rsid w:val="640E2967"/>
    <w:rsid w:val="64220C2D"/>
    <w:rsid w:val="64223903"/>
    <w:rsid w:val="642C3EEA"/>
    <w:rsid w:val="642C54C7"/>
    <w:rsid w:val="642E7A37"/>
    <w:rsid w:val="643237A5"/>
    <w:rsid w:val="643855FF"/>
    <w:rsid w:val="643979E4"/>
    <w:rsid w:val="643A21BF"/>
    <w:rsid w:val="643D184D"/>
    <w:rsid w:val="64414AEB"/>
    <w:rsid w:val="64454FF3"/>
    <w:rsid w:val="64484B87"/>
    <w:rsid w:val="644B7576"/>
    <w:rsid w:val="644D4224"/>
    <w:rsid w:val="64607667"/>
    <w:rsid w:val="646144B1"/>
    <w:rsid w:val="64626A30"/>
    <w:rsid w:val="64660F76"/>
    <w:rsid w:val="64682077"/>
    <w:rsid w:val="646F3406"/>
    <w:rsid w:val="647307E7"/>
    <w:rsid w:val="64886EB0"/>
    <w:rsid w:val="648C045C"/>
    <w:rsid w:val="648D7D30"/>
    <w:rsid w:val="649E1F3D"/>
    <w:rsid w:val="64A21A2D"/>
    <w:rsid w:val="64A22A14"/>
    <w:rsid w:val="64A97036"/>
    <w:rsid w:val="64AC28AC"/>
    <w:rsid w:val="64B5779A"/>
    <w:rsid w:val="64B87067"/>
    <w:rsid w:val="64B976B2"/>
    <w:rsid w:val="64BB2AEF"/>
    <w:rsid w:val="64C9520C"/>
    <w:rsid w:val="64CB0CDD"/>
    <w:rsid w:val="64CC0858"/>
    <w:rsid w:val="64CD637E"/>
    <w:rsid w:val="64D704F4"/>
    <w:rsid w:val="64DB4F3F"/>
    <w:rsid w:val="64DC78B8"/>
    <w:rsid w:val="64DD0CB7"/>
    <w:rsid w:val="64DF6B47"/>
    <w:rsid w:val="64E030DF"/>
    <w:rsid w:val="64E1336B"/>
    <w:rsid w:val="64EA5A43"/>
    <w:rsid w:val="64EB4CCD"/>
    <w:rsid w:val="64F54AB1"/>
    <w:rsid w:val="64F664FA"/>
    <w:rsid w:val="64F94F3D"/>
    <w:rsid w:val="64FE4ED3"/>
    <w:rsid w:val="65002528"/>
    <w:rsid w:val="65064C01"/>
    <w:rsid w:val="65065370"/>
    <w:rsid w:val="6509385A"/>
    <w:rsid w:val="65093D0E"/>
    <w:rsid w:val="650F0EC8"/>
    <w:rsid w:val="651135B3"/>
    <w:rsid w:val="651421FF"/>
    <w:rsid w:val="65143FAD"/>
    <w:rsid w:val="651A0578"/>
    <w:rsid w:val="651D5558"/>
    <w:rsid w:val="651E6BDA"/>
    <w:rsid w:val="6521758C"/>
    <w:rsid w:val="6522491C"/>
    <w:rsid w:val="6525440C"/>
    <w:rsid w:val="652B0517"/>
    <w:rsid w:val="652B4D81"/>
    <w:rsid w:val="652B723C"/>
    <w:rsid w:val="652C2DFC"/>
    <w:rsid w:val="652E32C1"/>
    <w:rsid w:val="6531690D"/>
    <w:rsid w:val="6535464F"/>
    <w:rsid w:val="65394642"/>
    <w:rsid w:val="653F294D"/>
    <w:rsid w:val="654C2076"/>
    <w:rsid w:val="654C747E"/>
    <w:rsid w:val="6552134C"/>
    <w:rsid w:val="6554084E"/>
    <w:rsid w:val="655642D4"/>
    <w:rsid w:val="65582843"/>
    <w:rsid w:val="65615E7B"/>
    <w:rsid w:val="656A42D9"/>
    <w:rsid w:val="656F3DC7"/>
    <w:rsid w:val="65732E61"/>
    <w:rsid w:val="657333CA"/>
    <w:rsid w:val="6579736B"/>
    <w:rsid w:val="65813D24"/>
    <w:rsid w:val="65841133"/>
    <w:rsid w:val="658417E5"/>
    <w:rsid w:val="658730AF"/>
    <w:rsid w:val="65876E75"/>
    <w:rsid w:val="65882D0B"/>
    <w:rsid w:val="65892A2A"/>
    <w:rsid w:val="659059BC"/>
    <w:rsid w:val="65943D2E"/>
    <w:rsid w:val="65994698"/>
    <w:rsid w:val="659C46CE"/>
    <w:rsid w:val="659F5F6D"/>
    <w:rsid w:val="65A04CF2"/>
    <w:rsid w:val="65AA24B1"/>
    <w:rsid w:val="65AC131A"/>
    <w:rsid w:val="65AE4402"/>
    <w:rsid w:val="65B110B3"/>
    <w:rsid w:val="65B337C6"/>
    <w:rsid w:val="65B923E3"/>
    <w:rsid w:val="65BC6B1F"/>
    <w:rsid w:val="65BD63F3"/>
    <w:rsid w:val="65C32A3D"/>
    <w:rsid w:val="65C50D1A"/>
    <w:rsid w:val="65D315FF"/>
    <w:rsid w:val="65D5605E"/>
    <w:rsid w:val="65E6594A"/>
    <w:rsid w:val="65E76CC4"/>
    <w:rsid w:val="65EE1A0F"/>
    <w:rsid w:val="65F14EBD"/>
    <w:rsid w:val="65F917A1"/>
    <w:rsid w:val="6607508D"/>
    <w:rsid w:val="66087072"/>
    <w:rsid w:val="660C3AF8"/>
    <w:rsid w:val="660D2ED6"/>
    <w:rsid w:val="660D7B9C"/>
    <w:rsid w:val="660F50CF"/>
    <w:rsid w:val="660F75E6"/>
    <w:rsid w:val="66140709"/>
    <w:rsid w:val="66141D57"/>
    <w:rsid w:val="66187ACD"/>
    <w:rsid w:val="661F70AE"/>
    <w:rsid w:val="662011BF"/>
    <w:rsid w:val="662B1179"/>
    <w:rsid w:val="662D11E6"/>
    <w:rsid w:val="662E7273"/>
    <w:rsid w:val="6635067F"/>
    <w:rsid w:val="66365D84"/>
    <w:rsid w:val="66377E5A"/>
    <w:rsid w:val="6638454D"/>
    <w:rsid w:val="66391F1D"/>
    <w:rsid w:val="663A7A43"/>
    <w:rsid w:val="663C7C5F"/>
    <w:rsid w:val="663D7E90"/>
    <w:rsid w:val="66414032"/>
    <w:rsid w:val="66442670"/>
    <w:rsid w:val="664F0B86"/>
    <w:rsid w:val="66527571"/>
    <w:rsid w:val="6659436D"/>
    <w:rsid w:val="665B7C7F"/>
    <w:rsid w:val="665D3D8F"/>
    <w:rsid w:val="66602BC7"/>
    <w:rsid w:val="66603687"/>
    <w:rsid w:val="66604D90"/>
    <w:rsid w:val="6672542F"/>
    <w:rsid w:val="66754F1F"/>
    <w:rsid w:val="667A42E4"/>
    <w:rsid w:val="667A512E"/>
    <w:rsid w:val="667C4500"/>
    <w:rsid w:val="667E42FD"/>
    <w:rsid w:val="66833819"/>
    <w:rsid w:val="66850D80"/>
    <w:rsid w:val="66876081"/>
    <w:rsid w:val="668A4527"/>
    <w:rsid w:val="668C21C1"/>
    <w:rsid w:val="668E78CD"/>
    <w:rsid w:val="66981404"/>
    <w:rsid w:val="669B5028"/>
    <w:rsid w:val="669C06FE"/>
    <w:rsid w:val="66A7076B"/>
    <w:rsid w:val="66AE6350"/>
    <w:rsid w:val="66AF3F8D"/>
    <w:rsid w:val="66AF51CC"/>
    <w:rsid w:val="66B0296D"/>
    <w:rsid w:val="66B82D8B"/>
    <w:rsid w:val="66CC0FE3"/>
    <w:rsid w:val="66D16967"/>
    <w:rsid w:val="66D33235"/>
    <w:rsid w:val="66DB485A"/>
    <w:rsid w:val="66DC3E2C"/>
    <w:rsid w:val="66E0352A"/>
    <w:rsid w:val="66E225B5"/>
    <w:rsid w:val="66E57B78"/>
    <w:rsid w:val="66E873CE"/>
    <w:rsid w:val="66ED7FC0"/>
    <w:rsid w:val="66EF6D88"/>
    <w:rsid w:val="66F00642"/>
    <w:rsid w:val="66F26570"/>
    <w:rsid w:val="66F6264B"/>
    <w:rsid w:val="66F756B2"/>
    <w:rsid w:val="66FB4C46"/>
    <w:rsid w:val="66FD119D"/>
    <w:rsid w:val="66FE4F14"/>
    <w:rsid w:val="67030A4B"/>
    <w:rsid w:val="6703521B"/>
    <w:rsid w:val="6705639B"/>
    <w:rsid w:val="6712451C"/>
    <w:rsid w:val="67137E9E"/>
    <w:rsid w:val="67175ABB"/>
    <w:rsid w:val="671C6AEB"/>
    <w:rsid w:val="672030DD"/>
    <w:rsid w:val="672707C5"/>
    <w:rsid w:val="672E57FA"/>
    <w:rsid w:val="67300A7E"/>
    <w:rsid w:val="673B7F17"/>
    <w:rsid w:val="67426961"/>
    <w:rsid w:val="674D61DB"/>
    <w:rsid w:val="675863D3"/>
    <w:rsid w:val="67595090"/>
    <w:rsid w:val="675C2E75"/>
    <w:rsid w:val="675C40F8"/>
    <w:rsid w:val="676077D1"/>
    <w:rsid w:val="676147DC"/>
    <w:rsid w:val="676254A4"/>
    <w:rsid w:val="67627252"/>
    <w:rsid w:val="6764746E"/>
    <w:rsid w:val="6764782D"/>
    <w:rsid w:val="67661009"/>
    <w:rsid w:val="67672ABA"/>
    <w:rsid w:val="67676273"/>
    <w:rsid w:val="676978E3"/>
    <w:rsid w:val="676B171D"/>
    <w:rsid w:val="676C5483"/>
    <w:rsid w:val="676E05AF"/>
    <w:rsid w:val="67702502"/>
    <w:rsid w:val="67746F85"/>
    <w:rsid w:val="6778101E"/>
    <w:rsid w:val="677B0314"/>
    <w:rsid w:val="677D22DE"/>
    <w:rsid w:val="677D408C"/>
    <w:rsid w:val="678371C8"/>
    <w:rsid w:val="678418BE"/>
    <w:rsid w:val="67896ED4"/>
    <w:rsid w:val="679061BB"/>
    <w:rsid w:val="67916DB0"/>
    <w:rsid w:val="679526C9"/>
    <w:rsid w:val="679B09B6"/>
    <w:rsid w:val="67A45ABC"/>
    <w:rsid w:val="67A73B2E"/>
    <w:rsid w:val="67AC71F4"/>
    <w:rsid w:val="67B026C9"/>
    <w:rsid w:val="67B54917"/>
    <w:rsid w:val="67B81568"/>
    <w:rsid w:val="67CD5371"/>
    <w:rsid w:val="67D32FC7"/>
    <w:rsid w:val="67D57A24"/>
    <w:rsid w:val="67E73BFB"/>
    <w:rsid w:val="67E97973"/>
    <w:rsid w:val="67EA2859"/>
    <w:rsid w:val="67EC1211"/>
    <w:rsid w:val="67EF78EE"/>
    <w:rsid w:val="67F21EBE"/>
    <w:rsid w:val="67F3434E"/>
    <w:rsid w:val="67F3683E"/>
    <w:rsid w:val="67F7639C"/>
    <w:rsid w:val="67FC60B7"/>
    <w:rsid w:val="67FD51CC"/>
    <w:rsid w:val="68000819"/>
    <w:rsid w:val="681A18DB"/>
    <w:rsid w:val="681C56E8"/>
    <w:rsid w:val="681D060A"/>
    <w:rsid w:val="68201A54"/>
    <w:rsid w:val="68232E85"/>
    <w:rsid w:val="68246BFD"/>
    <w:rsid w:val="6826679A"/>
    <w:rsid w:val="682A2E18"/>
    <w:rsid w:val="682E63BC"/>
    <w:rsid w:val="68365AF2"/>
    <w:rsid w:val="68403AFD"/>
    <w:rsid w:val="684469AB"/>
    <w:rsid w:val="684C5B03"/>
    <w:rsid w:val="68541290"/>
    <w:rsid w:val="68595EE4"/>
    <w:rsid w:val="686113BA"/>
    <w:rsid w:val="6861368C"/>
    <w:rsid w:val="68620649"/>
    <w:rsid w:val="68623B3D"/>
    <w:rsid w:val="68630D3F"/>
    <w:rsid w:val="68633281"/>
    <w:rsid w:val="68690E30"/>
    <w:rsid w:val="6871597E"/>
    <w:rsid w:val="68721DB3"/>
    <w:rsid w:val="68727968"/>
    <w:rsid w:val="68792AA5"/>
    <w:rsid w:val="687A672F"/>
    <w:rsid w:val="687D5A18"/>
    <w:rsid w:val="688471B6"/>
    <w:rsid w:val="688731D3"/>
    <w:rsid w:val="68980099"/>
    <w:rsid w:val="68AE7647"/>
    <w:rsid w:val="68B27FE5"/>
    <w:rsid w:val="68B33CBC"/>
    <w:rsid w:val="68B47F81"/>
    <w:rsid w:val="68C05073"/>
    <w:rsid w:val="68CC0D03"/>
    <w:rsid w:val="68CE6E85"/>
    <w:rsid w:val="68D423D1"/>
    <w:rsid w:val="68D457E7"/>
    <w:rsid w:val="68D66A5E"/>
    <w:rsid w:val="68D67209"/>
    <w:rsid w:val="68E52BC5"/>
    <w:rsid w:val="68E71B98"/>
    <w:rsid w:val="68EB4CAD"/>
    <w:rsid w:val="68ED3493"/>
    <w:rsid w:val="68F05A10"/>
    <w:rsid w:val="68F951EB"/>
    <w:rsid w:val="68FA0D09"/>
    <w:rsid w:val="69020CEC"/>
    <w:rsid w:val="690518E3"/>
    <w:rsid w:val="69074555"/>
    <w:rsid w:val="69090935"/>
    <w:rsid w:val="6913778D"/>
    <w:rsid w:val="69166546"/>
    <w:rsid w:val="692216E4"/>
    <w:rsid w:val="692349A9"/>
    <w:rsid w:val="6927100D"/>
    <w:rsid w:val="692C5ECF"/>
    <w:rsid w:val="6933534A"/>
    <w:rsid w:val="69344C1E"/>
    <w:rsid w:val="6935729D"/>
    <w:rsid w:val="69433CAC"/>
    <w:rsid w:val="69434E61"/>
    <w:rsid w:val="69456CBE"/>
    <w:rsid w:val="694630DF"/>
    <w:rsid w:val="69643755"/>
    <w:rsid w:val="69647910"/>
    <w:rsid w:val="696E6382"/>
    <w:rsid w:val="697236BA"/>
    <w:rsid w:val="69735746"/>
    <w:rsid w:val="69747710"/>
    <w:rsid w:val="697E2410"/>
    <w:rsid w:val="69833F84"/>
    <w:rsid w:val="69852A6B"/>
    <w:rsid w:val="698612A5"/>
    <w:rsid w:val="69872CF3"/>
    <w:rsid w:val="698C2CAC"/>
    <w:rsid w:val="698C4A5A"/>
    <w:rsid w:val="699157A6"/>
    <w:rsid w:val="69A21DBF"/>
    <w:rsid w:val="69A53C17"/>
    <w:rsid w:val="69A82381"/>
    <w:rsid w:val="69AB33AB"/>
    <w:rsid w:val="69AC2A06"/>
    <w:rsid w:val="69AE43A7"/>
    <w:rsid w:val="69AE7BC5"/>
    <w:rsid w:val="69AF0748"/>
    <w:rsid w:val="69B67D29"/>
    <w:rsid w:val="69C8232E"/>
    <w:rsid w:val="69E11CE3"/>
    <w:rsid w:val="69E336DC"/>
    <w:rsid w:val="69E42DF0"/>
    <w:rsid w:val="69E71C2E"/>
    <w:rsid w:val="69EC54F9"/>
    <w:rsid w:val="69F71D0E"/>
    <w:rsid w:val="69F85BB3"/>
    <w:rsid w:val="6A0202FD"/>
    <w:rsid w:val="6A03400A"/>
    <w:rsid w:val="6A0518F8"/>
    <w:rsid w:val="6A107439"/>
    <w:rsid w:val="6A164324"/>
    <w:rsid w:val="6A1A44A6"/>
    <w:rsid w:val="6A1C126B"/>
    <w:rsid w:val="6A244C92"/>
    <w:rsid w:val="6A262C83"/>
    <w:rsid w:val="6A440E91"/>
    <w:rsid w:val="6A4C6CBB"/>
    <w:rsid w:val="6A5C267E"/>
    <w:rsid w:val="6A5D06A9"/>
    <w:rsid w:val="6A5E0111"/>
    <w:rsid w:val="6A6F316D"/>
    <w:rsid w:val="6A731776"/>
    <w:rsid w:val="6A7B20D2"/>
    <w:rsid w:val="6A833EAB"/>
    <w:rsid w:val="6A912DE0"/>
    <w:rsid w:val="6A926D5D"/>
    <w:rsid w:val="6A943F85"/>
    <w:rsid w:val="6A9B5332"/>
    <w:rsid w:val="6A9E2C97"/>
    <w:rsid w:val="6AA933EA"/>
    <w:rsid w:val="6AAC487C"/>
    <w:rsid w:val="6AAD3143"/>
    <w:rsid w:val="6AAD4547"/>
    <w:rsid w:val="6AAF3E38"/>
    <w:rsid w:val="6AB029CA"/>
    <w:rsid w:val="6AB20B4B"/>
    <w:rsid w:val="6AB9187F"/>
    <w:rsid w:val="6ABC311D"/>
    <w:rsid w:val="6ABC4ECB"/>
    <w:rsid w:val="6AC00E5F"/>
    <w:rsid w:val="6AC2152D"/>
    <w:rsid w:val="6AC41F09"/>
    <w:rsid w:val="6AC9176D"/>
    <w:rsid w:val="6AC93427"/>
    <w:rsid w:val="6ACD532A"/>
    <w:rsid w:val="6AD36262"/>
    <w:rsid w:val="6AD466B8"/>
    <w:rsid w:val="6AD54350"/>
    <w:rsid w:val="6AD9782B"/>
    <w:rsid w:val="6ADC37BF"/>
    <w:rsid w:val="6AE54422"/>
    <w:rsid w:val="6AF00972"/>
    <w:rsid w:val="6AF721AA"/>
    <w:rsid w:val="6AF742A9"/>
    <w:rsid w:val="6AF96F3D"/>
    <w:rsid w:val="6AFB5005"/>
    <w:rsid w:val="6B043F03"/>
    <w:rsid w:val="6B0510F0"/>
    <w:rsid w:val="6B071B1C"/>
    <w:rsid w:val="6B080100"/>
    <w:rsid w:val="6B080110"/>
    <w:rsid w:val="6B1017A5"/>
    <w:rsid w:val="6B1B6095"/>
    <w:rsid w:val="6B1C57E8"/>
    <w:rsid w:val="6B222A27"/>
    <w:rsid w:val="6B2230F7"/>
    <w:rsid w:val="6B286DDC"/>
    <w:rsid w:val="6B2D56CC"/>
    <w:rsid w:val="6B2E35BA"/>
    <w:rsid w:val="6B3233DF"/>
    <w:rsid w:val="6B371AA7"/>
    <w:rsid w:val="6B376C47"/>
    <w:rsid w:val="6B3A2BB1"/>
    <w:rsid w:val="6B3A6E3B"/>
    <w:rsid w:val="6B3B04E6"/>
    <w:rsid w:val="6B3D34FE"/>
    <w:rsid w:val="6B453112"/>
    <w:rsid w:val="6B481316"/>
    <w:rsid w:val="6B4C0889"/>
    <w:rsid w:val="6B4E448C"/>
    <w:rsid w:val="6B557938"/>
    <w:rsid w:val="6B560E7C"/>
    <w:rsid w:val="6B5A3C35"/>
    <w:rsid w:val="6B66741E"/>
    <w:rsid w:val="6B6F018F"/>
    <w:rsid w:val="6B7003D8"/>
    <w:rsid w:val="6B737C7F"/>
    <w:rsid w:val="6B7F48CF"/>
    <w:rsid w:val="6B87372B"/>
    <w:rsid w:val="6B900117"/>
    <w:rsid w:val="6B906122"/>
    <w:rsid w:val="6B96396E"/>
    <w:rsid w:val="6BA442DD"/>
    <w:rsid w:val="6BA51E03"/>
    <w:rsid w:val="6BA72B30"/>
    <w:rsid w:val="6BA86101"/>
    <w:rsid w:val="6BA87DF1"/>
    <w:rsid w:val="6BB57E47"/>
    <w:rsid w:val="6BB77B3F"/>
    <w:rsid w:val="6BBD714D"/>
    <w:rsid w:val="6BC03782"/>
    <w:rsid w:val="6BC229B5"/>
    <w:rsid w:val="6BC4672D"/>
    <w:rsid w:val="6BCB40EA"/>
    <w:rsid w:val="6BCC61AB"/>
    <w:rsid w:val="6BD149A6"/>
    <w:rsid w:val="6BD44EF8"/>
    <w:rsid w:val="6BD57763"/>
    <w:rsid w:val="6BD75E7E"/>
    <w:rsid w:val="6BDC2D4F"/>
    <w:rsid w:val="6BDF1392"/>
    <w:rsid w:val="6BE50451"/>
    <w:rsid w:val="6BE749C8"/>
    <w:rsid w:val="6BE97F42"/>
    <w:rsid w:val="6BEB3756"/>
    <w:rsid w:val="6C040115"/>
    <w:rsid w:val="6C092392"/>
    <w:rsid w:val="6C0C3F53"/>
    <w:rsid w:val="6C0D4ACE"/>
    <w:rsid w:val="6C117498"/>
    <w:rsid w:val="6C137923"/>
    <w:rsid w:val="6C1929E0"/>
    <w:rsid w:val="6C1A634D"/>
    <w:rsid w:val="6C1F5711"/>
    <w:rsid w:val="6C225202"/>
    <w:rsid w:val="6C283645"/>
    <w:rsid w:val="6C292BE1"/>
    <w:rsid w:val="6C2A5301"/>
    <w:rsid w:val="6C346A47"/>
    <w:rsid w:val="6C3617A8"/>
    <w:rsid w:val="6C385DFD"/>
    <w:rsid w:val="6C393583"/>
    <w:rsid w:val="6C3B762A"/>
    <w:rsid w:val="6C3D203B"/>
    <w:rsid w:val="6C3F0FBE"/>
    <w:rsid w:val="6C4038DA"/>
    <w:rsid w:val="6C430EC6"/>
    <w:rsid w:val="6C460B8D"/>
    <w:rsid w:val="6C4C4B88"/>
    <w:rsid w:val="6C5238F7"/>
    <w:rsid w:val="6C5630FD"/>
    <w:rsid w:val="6C60203D"/>
    <w:rsid w:val="6C604856"/>
    <w:rsid w:val="6C613F7C"/>
    <w:rsid w:val="6C6217A7"/>
    <w:rsid w:val="6C6C7B60"/>
    <w:rsid w:val="6C6E48EB"/>
    <w:rsid w:val="6C6E6699"/>
    <w:rsid w:val="6C740C4D"/>
    <w:rsid w:val="6C747D90"/>
    <w:rsid w:val="6C77379F"/>
    <w:rsid w:val="6C860A2C"/>
    <w:rsid w:val="6C8758C5"/>
    <w:rsid w:val="6C88775B"/>
    <w:rsid w:val="6C8D2FC3"/>
    <w:rsid w:val="6C9205D9"/>
    <w:rsid w:val="6C983716"/>
    <w:rsid w:val="6CA02C98"/>
    <w:rsid w:val="6CA127B4"/>
    <w:rsid w:val="6CA27B74"/>
    <w:rsid w:val="6CA34594"/>
    <w:rsid w:val="6CA67BE1"/>
    <w:rsid w:val="6CAE382B"/>
    <w:rsid w:val="6CB55D42"/>
    <w:rsid w:val="6CB8671C"/>
    <w:rsid w:val="6CB90EA6"/>
    <w:rsid w:val="6CBA18DE"/>
    <w:rsid w:val="6CBA7A7E"/>
    <w:rsid w:val="6CBA7B30"/>
    <w:rsid w:val="6CC369E5"/>
    <w:rsid w:val="6CCB5481"/>
    <w:rsid w:val="6CCE5B95"/>
    <w:rsid w:val="6CD01102"/>
    <w:rsid w:val="6CD9714D"/>
    <w:rsid w:val="6CDB5E4B"/>
    <w:rsid w:val="6CDF75D7"/>
    <w:rsid w:val="6CEC2C56"/>
    <w:rsid w:val="6CEF716C"/>
    <w:rsid w:val="6CF20041"/>
    <w:rsid w:val="6CF43042"/>
    <w:rsid w:val="6CFA4FE4"/>
    <w:rsid w:val="6CFD1C68"/>
    <w:rsid w:val="6D091F16"/>
    <w:rsid w:val="6D0B7065"/>
    <w:rsid w:val="6D0D4104"/>
    <w:rsid w:val="6D0E1810"/>
    <w:rsid w:val="6D1347EA"/>
    <w:rsid w:val="6D194017"/>
    <w:rsid w:val="6D1B2C9B"/>
    <w:rsid w:val="6D1E770A"/>
    <w:rsid w:val="6D2471EB"/>
    <w:rsid w:val="6D280F79"/>
    <w:rsid w:val="6D287521"/>
    <w:rsid w:val="6D321474"/>
    <w:rsid w:val="6D36133C"/>
    <w:rsid w:val="6D382E4B"/>
    <w:rsid w:val="6D3A50DF"/>
    <w:rsid w:val="6D4A2C62"/>
    <w:rsid w:val="6D4F2026"/>
    <w:rsid w:val="6D503BE3"/>
    <w:rsid w:val="6D5164B6"/>
    <w:rsid w:val="6D521D83"/>
    <w:rsid w:val="6D5F318C"/>
    <w:rsid w:val="6D614FFE"/>
    <w:rsid w:val="6D633683"/>
    <w:rsid w:val="6D6840E5"/>
    <w:rsid w:val="6D6A21E0"/>
    <w:rsid w:val="6D6A3304"/>
    <w:rsid w:val="6D6F4477"/>
    <w:rsid w:val="6D7427C5"/>
    <w:rsid w:val="6D8223FC"/>
    <w:rsid w:val="6D840FFA"/>
    <w:rsid w:val="6D8E6FF3"/>
    <w:rsid w:val="6D910EB2"/>
    <w:rsid w:val="6D9143C6"/>
    <w:rsid w:val="6D940381"/>
    <w:rsid w:val="6D963072"/>
    <w:rsid w:val="6DA33AB1"/>
    <w:rsid w:val="6DA34120"/>
    <w:rsid w:val="6DA61D89"/>
    <w:rsid w:val="6DA6670F"/>
    <w:rsid w:val="6DA71E62"/>
    <w:rsid w:val="6DA97B06"/>
    <w:rsid w:val="6DAB1855"/>
    <w:rsid w:val="6DB4632D"/>
    <w:rsid w:val="6DC2442C"/>
    <w:rsid w:val="6DC72505"/>
    <w:rsid w:val="6DCC01D6"/>
    <w:rsid w:val="6DD71464"/>
    <w:rsid w:val="6DD841D1"/>
    <w:rsid w:val="6DD864C0"/>
    <w:rsid w:val="6DDD69F5"/>
    <w:rsid w:val="6DE1112A"/>
    <w:rsid w:val="6DE22990"/>
    <w:rsid w:val="6DE62234"/>
    <w:rsid w:val="6DEE0F49"/>
    <w:rsid w:val="6DEE1DA5"/>
    <w:rsid w:val="6DEE5CE3"/>
    <w:rsid w:val="6DF131D9"/>
    <w:rsid w:val="6DF31E46"/>
    <w:rsid w:val="6DF362F1"/>
    <w:rsid w:val="6DF606F4"/>
    <w:rsid w:val="6DF76589"/>
    <w:rsid w:val="6DFC0A94"/>
    <w:rsid w:val="6E015A42"/>
    <w:rsid w:val="6E054DDB"/>
    <w:rsid w:val="6E0A419F"/>
    <w:rsid w:val="6E0E5A3E"/>
    <w:rsid w:val="6E0E7E73"/>
    <w:rsid w:val="6E163B54"/>
    <w:rsid w:val="6E1F3AB9"/>
    <w:rsid w:val="6E22598D"/>
    <w:rsid w:val="6E241705"/>
    <w:rsid w:val="6E291B51"/>
    <w:rsid w:val="6E2B5B70"/>
    <w:rsid w:val="6E2E2225"/>
    <w:rsid w:val="6E2E4332"/>
    <w:rsid w:val="6E3260E0"/>
    <w:rsid w:val="6E391146"/>
    <w:rsid w:val="6E3B156A"/>
    <w:rsid w:val="6E3D1D31"/>
    <w:rsid w:val="6E423939"/>
    <w:rsid w:val="6E46026B"/>
    <w:rsid w:val="6E486397"/>
    <w:rsid w:val="6E544C35"/>
    <w:rsid w:val="6E5B2C4D"/>
    <w:rsid w:val="6E641B01"/>
    <w:rsid w:val="6E645FA5"/>
    <w:rsid w:val="6E65267E"/>
    <w:rsid w:val="6E6B0A27"/>
    <w:rsid w:val="6E6F1069"/>
    <w:rsid w:val="6E711FBB"/>
    <w:rsid w:val="6E7206C2"/>
    <w:rsid w:val="6E775CD9"/>
    <w:rsid w:val="6E82467D"/>
    <w:rsid w:val="6E826E3B"/>
    <w:rsid w:val="6E847687"/>
    <w:rsid w:val="6E8A2F09"/>
    <w:rsid w:val="6E917D94"/>
    <w:rsid w:val="6E9217B4"/>
    <w:rsid w:val="6E95615F"/>
    <w:rsid w:val="6E9879FD"/>
    <w:rsid w:val="6E9F6FDD"/>
    <w:rsid w:val="6EB240BE"/>
    <w:rsid w:val="6EB4221B"/>
    <w:rsid w:val="6EB567E4"/>
    <w:rsid w:val="6EB97C9A"/>
    <w:rsid w:val="6EBA3EC2"/>
    <w:rsid w:val="6EBC6CAB"/>
    <w:rsid w:val="6EBE0D6F"/>
    <w:rsid w:val="6EBF3EC0"/>
    <w:rsid w:val="6EC425A0"/>
    <w:rsid w:val="6EC72090"/>
    <w:rsid w:val="6ED23818"/>
    <w:rsid w:val="6ED547AD"/>
    <w:rsid w:val="6ED8429D"/>
    <w:rsid w:val="6EDB4C12"/>
    <w:rsid w:val="6EE02226"/>
    <w:rsid w:val="6EE90259"/>
    <w:rsid w:val="6EED5F9B"/>
    <w:rsid w:val="6EEF3C2A"/>
    <w:rsid w:val="6EF00976"/>
    <w:rsid w:val="6F042523"/>
    <w:rsid w:val="6F05027C"/>
    <w:rsid w:val="6F0C365F"/>
    <w:rsid w:val="6F1055D4"/>
    <w:rsid w:val="6F115A77"/>
    <w:rsid w:val="6F156EF1"/>
    <w:rsid w:val="6F17487F"/>
    <w:rsid w:val="6F174DC6"/>
    <w:rsid w:val="6F1E1894"/>
    <w:rsid w:val="6F244C95"/>
    <w:rsid w:val="6F265009"/>
    <w:rsid w:val="6F2712BB"/>
    <w:rsid w:val="6F2A4AF9"/>
    <w:rsid w:val="6F2E4369"/>
    <w:rsid w:val="6F341033"/>
    <w:rsid w:val="6F34735B"/>
    <w:rsid w:val="6F35524C"/>
    <w:rsid w:val="6F362D72"/>
    <w:rsid w:val="6F372C75"/>
    <w:rsid w:val="6F3C6EA4"/>
    <w:rsid w:val="6F484F7F"/>
    <w:rsid w:val="6F4E6A14"/>
    <w:rsid w:val="6F543D73"/>
    <w:rsid w:val="6F563B40"/>
    <w:rsid w:val="6F5C0A2B"/>
    <w:rsid w:val="6F6135D9"/>
    <w:rsid w:val="6F693749"/>
    <w:rsid w:val="6F6A3147"/>
    <w:rsid w:val="6F7458D1"/>
    <w:rsid w:val="6F7E59CD"/>
    <w:rsid w:val="6F8416CF"/>
    <w:rsid w:val="6F857F81"/>
    <w:rsid w:val="6F9D7BE5"/>
    <w:rsid w:val="6F9E7295"/>
    <w:rsid w:val="6F9F2AB4"/>
    <w:rsid w:val="6FAD1286"/>
    <w:rsid w:val="6FB22D40"/>
    <w:rsid w:val="6FB42615"/>
    <w:rsid w:val="6FB645DF"/>
    <w:rsid w:val="6FB77864"/>
    <w:rsid w:val="6FB865A9"/>
    <w:rsid w:val="6FC07FB0"/>
    <w:rsid w:val="6FC104BF"/>
    <w:rsid w:val="6FC54822"/>
    <w:rsid w:val="6FC7528D"/>
    <w:rsid w:val="6FCA6E54"/>
    <w:rsid w:val="6FCC75D9"/>
    <w:rsid w:val="6FD269A1"/>
    <w:rsid w:val="6FD825E5"/>
    <w:rsid w:val="6FDD0023"/>
    <w:rsid w:val="6FE56C72"/>
    <w:rsid w:val="6FE74798"/>
    <w:rsid w:val="6FEA072C"/>
    <w:rsid w:val="6FFD31EC"/>
    <w:rsid w:val="6FFF2C85"/>
    <w:rsid w:val="70115BD2"/>
    <w:rsid w:val="70191889"/>
    <w:rsid w:val="70236185"/>
    <w:rsid w:val="702E23C7"/>
    <w:rsid w:val="702F7EED"/>
    <w:rsid w:val="70311EB7"/>
    <w:rsid w:val="70315562"/>
    <w:rsid w:val="703620CB"/>
    <w:rsid w:val="703823E9"/>
    <w:rsid w:val="703D260A"/>
    <w:rsid w:val="703F5569"/>
    <w:rsid w:val="70422316"/>
    <w:rsid w:val="704240C4"/>
    <w:rsid w:val="70497201"/>
    <w:rsid w:val="704C6DBB"/>
    <w:rsid w:val="704D10EC"/>
    <w:rsid w:val="70511328"/>
    <w:rsid w:val="705161EE"/>
    <w:rsid w:val="705376C8"/>
    <w:rsid w:val="705A19BC"/>
    <w:rsid w:val="705A27F4"/>
    <w:rsid w:val="705C4791"/>
    <w:rsid w:val="705D2CAC"/>
    <w:rsid w:val="705F4C76"/>
    <w:rsid w:val="7060062E"/>
    <w:rsid w:val="706338B4"/>
    <w:rsid w:val="70666005"/>
    <w:rsid w:val="70691651"/>
    <w:rsid w:val="707221D1"/>
    <w:rsid w:val="70807928"/>
    <w:rsid w:val="70943FBF"/>
    <w:rsid w:val="709F1517"/>
    <w:rsid w:val="70A00DEB"/>
    <w:rsid w:val="70A17D74"/>
    <w:rsid w:val="70A61135"/>
    <w:rsid w:val="70B477CF"/>
    <w:rsid w:val="70B623BC"/>
    <w:rsid w:val="70B65F8C"/>
    <w:rsid w:val="70B66341"/>
    <w:rsid w:val="70B81788"/>
    <w:rsid w:val="70BE62B2"/>
    <w:rsid w:val="70C40F7D"/>
    <w:rsid w:val="70C456BC"/>
    <w:rsid w:val="70CB269D"/>
    <w:rsid w:val="70CE7706"/>
    <w:rsid w:val="70CF4A6A"/>
    <w:rsid w:val="70D56CE6"/>
    <w:rsid w:val="70D7170B"/>
    <w:rsid w:val="70E233A7"/>
    <w:rsid w:val="70E92792"/>
    <w:rsid w:val="70EB1D07"/>
    <w:rsid w:val="70ED0FFE"/>
    <w:rsid w:val="70ED4030"/>
    <w:rsid w:val="70F30660"/>
    <w:rsid w:val="70FF26CB"/>
    <w:rsid w:val="710225C5"/>
    <w:rsid w:val="71047056"/>
    <w:rsid w:val="71080E6A"/>
    <w:rsid w:val="7113780F"/>
    <w:rsid w:val="711517D9"/>
    <w:rsid w:val="711E035C"/>
    <w:rsid w:val="711E3CE1"/>
    <w:rsid w:val="7126228E"/>
    <w:rsid w:val="712B2053"/>
    <w:rsid w:val="713438AD"/>
    <w:rsid w:val="713A123F"/>
    <w:rsid w:val="713A4D9B"/>
    <w:rsid w:val="714930AA"/>
    <w:rsid w:val="714C1194"/>
    <w:rsid w:val="714C1A59"/>
    <w:rsid w:val="714C59B7"/>
    <w:rsid w:val="714D0F73"/>
    <w:rsid w:val="715220E5"/>
    <w:rsid w:val="71551717"/>
    <w:rsid w:val="71557E27"/>
    <w:rsid w:val="71597917"/>
    <w:rsid w:val="715F6169"/>
    <w:rsid w:val="71600CA6"/>
    <w:rsid w:val="71620A34"/>
    <w:rsid w:val="7163703D"/>
    <w:rsid w:val="716B7CE8"/>
    <w:rsid w:val="716D6F1F"/>
    <w:rsid w:val="71716B68"/>
    <w:rsid w:val="717304A3"/>
    <w:rsid w:val="71736B33"/>
    <w:rsid w:val="7175660B"/>
    <w:rsid w:val="717750A4"/>
    <w:rsid w:val="7185551F"/>
    <w:rsid w:val="71856665"/>
    <w:rsid w:val="718A7A50"/>
    <w:rsid w:val="718F456B"/>
    <w:rsid w:val="718F6E95"/>
    <w:rsid w:val="719E4941"/>
    <w:rsid w:val="71A70EA6"/>
    <w:rsid w:val="71A83AF7"/>
    <w:rsid w:val="71A843FB"/>
    <w:rsid w:val="71A931D2"/>
    <w:rsid w:val="71AD13D4"/>
    <w:rsid w:val="71AF1140"/>
    <w:rsid w:val="71B132B0"/>
    <w:rsid w:val="71B71FA3"/>
    <w:rsid w:val="71BB39A4"/>
    <w:rsid w:val="71BB412E"/>
    <w:rsid w:val="71BD3A7A"/>
    <w:rsid w:val="71C20766"/>
    <w:rsid w:val="71C32FA0"/>
    <w:rsid w:val="71C56D5B"/>
    <w:rsid w:val="71C64881"/>
    <w:rsid w:val="71C77AE4"/>
    <w:rsid w:val="71D33AC1"/>
    <w:rsid w:val="71D376CA"/>
    <w:rsid w:val="71D47A7F"/>
    <w:rsid w:val="71D85B59"/>
    <w:rsid w:val="71DA06AB"/>
    <w:rsid w:val="71E103E2"/>
    <w:rsid w:val="71E4203D"/>
    <w:rsid w:val="71E82A49"/>
    <w:rsid w:val="71E926CD"/>
    <w:rsid w:val="71ED62B2"/>
    <w:rsid w:val="71F078D3"/>
    <w:rsid w:val="71F509A5"/>
    <w:rsid w:val="71F65C89"/>
    <w:rsid w:val="71FB09CF"/>
    <w:rsid w:val="72083B33"/>
    <w:rsid w:val="720B57FE"/>
    <w:rsid w:val="720B62BF"/>
    <w:rsid w:val="720D3D20"/>
    <w:rsid w:val="720E0702"/>
    <w:rsid w:val="72203F91"/>
    <w:rsid w:val="72216562"/>
    <w:rsid w:val="72275556"/>
    <w:rsid w:val="72277008"/>
    <w:rsid w:val="7229261B"/>
    <w:rsid w:val="722C01C9"/>
    <w:rsid w:val="722E1FB2"/>
    <w:rsid w:val="72304722"/>
    <w:rsid w:val="72404633"/>
    <w:rsid w:val="7242215A"/>
    <w:rsid w:val="724834E8"/>
    <w:rsid w:val="724E3E15"/>
    <w:rsid w:val="724F5E6C"/>
    <w:rsid w:val="725D1AA0"/>
    <w:rsid w:val="72657495"/>
    <w:rsid w:val="72692740"/>
    <w:rsid w:val="72693B8A"/>
    <w:rsid w:val="726A345E"/>
    <w:rsid w:val="726C6C28"/>
    <w:rsid w:val="726E117A"/>
    <w:rsid w:val="72750781"/>
    <w:rsid w:val="72764326"/>
    <w:rsid w:val="72781F16"/>
    <w:rsid w:val="728032BA"/>
    <w:rsid w:val="72834C3B"/>
    <w:rsid w:val="728C6641"/>
    <w:rsid w:val="728D4FDC"/>
    <w:rsid w:val="72914E8F"/>
    <w:rsid w:val="72927A84"/>
    <w:rsid w:val="72944988"/>
    <w:rsid w:val="729A209E"/>
    <w:rsid w:val="729D3834"/>
    <w:rsid w:val="729E390D"/>
    <w:rsid w:val="729F135A"/>
    <w:rsid w:val="72A41241"/>
    <w:rsid w:val="72A830C6"/>
    <w:rsid w:val="72AA78B4"/>
    <w:rsid w:val="72B8241C"/>
    <w:rsid w:val="72B875F5"/>
    <w:rsid w:val="72BA6194"/>
    <w:rsid w:val="72BC3359"/>
    <w:rsid w:val="72BD23A9"/>
    <w:rsid w:val="72C40186"/>
    <w:rsid w:val="72C730FE"/>
    <w:rsid w:val="72CA03A6"/>
    <w:rsid w:val="72D8187A"/>
    <w:rsid w:val="72E34342"/>
    <w:rsid w:val="72E613A6"/>
    <w:rsid w:val="72E8337C"/>
    <w:rsid w:val="72E90827"/>
    <w:rsid w:val="72F434FA"/>
    <w:rsid w:val="72FA2A34"/>
    <w:rsid w:val="72FD181C"/>
    <w:rsid w:val="73010AB9"/>
    <w:rsid w:val="730B2421"/>
    <w:rsid w:val="730B2A5D"/>
    <w:rsid w:val="730D1C62"/>
    <w:rsid w:val="73102258"/>
    <w:rsid w:val="731356C2"/>
    <w:rsid w:val="73151916"/>
    <w:rsid w:val="73165394"/>
    <w:rsid w:val="73184198"/>
    <w:rsid w:val="73227003"/>
    <w:rsid w:val="73262E6D"/>
    <w:rsid w:val="732D52DF"/>
    <w:rsid w:val="73310545"/>
    <w:rsid w:val="73320B39"/>
    <w:rsid w:val="73373C05"/>
    <w:rsid w:val="73394622"/>
    <w:rsid w:val="733F63CB"/>
    <w:rsid w:val="733F6699"/>
    <w:rsid w:val="734168B5"/>
    <w:rsid w:val="73490DFC"/>
    <w:rsid w:val="734A5387"/>
    <w:rsid w:val="734F6541"/>
    <w:rsid w:val="73555688"/>
    <w:rsid w:val="7367613B"/>
    <w:rsid w:val="73683E42"/>
    <w:rsid w:val="736A5E0C"/>
    <w:rsid w:val="736C1BDF"/>
    <w:rsid w:val="736E2B3F"/>
    <w:rsid w:val="7370719A"/>
    <w:rsid w:val="73750E39"/>
    <w:rsid w:val="73754FD7"/>
    <w:rsid w:val="7377413B"/>
    <w:rsid w:val="73783636"/>
    <w:rsid w:val="737C7606"/>
    <w:rsid w:val="737F5CF0"/>
    <w:rsid w:val="738E4CE0"/>
    <w:rsid w:val="739A5FC5"/>
    <w:rsid w:val="73A26CD8"/>
    <w:rsid w:val="73B01345"/>
    <w:rsid w:val="73B34E42"/>
    <w:rsid w:val="73B83040"/>
    <w:rsid w:val="73BA1DA6"/>
    <w:rsid w:val="73BF2DAF"/>
    <w:rsid w:val="73C17A92"/>
    <w:rsid w:val="73CA5289"/>
    <w:rsid w:val="73D41FF9"/>
    <w:rsid w:val="73E35202"/>
    <w:rsid w:val="73E829D8"/>
    <w:rsid w:val="73E86D31"/>
    <w:rsid w:val="73F62B37"/>
    <w:rsid w:val="740645C4"/>
    <w:rsid w:val="74094E3D"/>
    <w:rsid w:val="740D2C3B"/>
    <w:rsid w:val="7410198C"/>
    <w:rsid w:val="741300E6"/>
    <w:rsid w:val="7416389E"/>
    <w:rsid w:val="741F54A2"/>
    <w:rsid w:val="742331AE"/>
    <w:rsid w:val="742A10F7"/>
    <w:rsid w:val="742F2BB2"/>
    <w:rsid w:val="7434641A"/>
    <w:rsid w:val="743553DE"/>
    <w:rsid w:val="743B3304"/>
    <w:rsid w:val="743D0A2B"/>
    <w:rsid w:val="743F7C25"/>
    <w:rsid w:val="744A3547"/>
    <w:rsid w:val="74551EB3"/>
    <w:rsid w:val="745A0FA0"/>
    <w:rsid w:val="746C7640"/>
    <w:rsid w:val="747672ED"/>
    <w:rsid w:val="74797F6C"/>
    <w:rsid w:val="747B06C5"/>
    <w:rsid w:val="748007A2"/>
    <w:rsid w:val="748702F8"/>
    <w:rsid w:val="7487654A"/>
    <w:rsid w:val="74876A28"/>
    <w:rsid w:val="74884175"/>
    <w:rsid w:val="749132B1"/>
    <w:rsid w:val="749D15EC"/>
    <w:rsid w:val="74AC6BC6"/>
    <w:rsid w:val="74B84955"/>
    <w:rsid w:val="74BD1F6B"/>
    <w:rsid w:val="74C82C83"/>
    <w:rsid w:val="74CA3B4C"/>
    <w:rsid w:val="74D13C69"/>
    <w:rsid w:val="74D15A17"/>
    <w:rsid w:val="74D472B5"/>
    <w:rsid w:val="74E05C5A"/>
    <w:rsid w:val="74E314C0"/>
    <w:rsid w:val="74EC2851"/>
    <w:rsid w:val="74F160B9"/>
    <w:rsid w:val="74F236DC"/>
    <w:rsid w:val="74FE1D9F"/>
    <w:rsid w:val="75012C23"/>
    <w:rsid w:val="750162FC"/>
    <w:rsid w:val="75022074"/>
    <w:rsid w:val="751A5826"/>
    <w:rsid w:val="751C1388"/>
    <w:rsid w:val="751E51E9"/>
    <w:rsid w:val="752129D4"/>
    <w:rsid w:val="75285A00"/>
    <w:rsid w:val="75287E4E"/>
    <w:rsid w:val="752B5127"/>
    <w:rsid w:val="752C6AB2"/>
    <w:rsid w:val="752E2530"/>
    <w:rsid w:val="75322959"/>
    <w:rsid w:val="7534397E"/>
    <w:rsid w:val="753540AD"/>
    <w:rsid w:val="75492994"/>
    <w:rsid w:val="75494AE8"/>
    <w:rsid w:val="754D7793"/>
    <w:rsid w:val="75542870"/>
    <w:rsid w:val="755C23E6"/>
    <w:rsid w:val="75622B13"/>
    <w:rsid w:val="75630CAA"/>
    <w:rsid w:val="756A2C6E"/>
    <w:rsid w:val="756C5695"/>
    <w:rsid w:val="7571007B"/>
    <w:rsid w:val="75720FA8"/>
    <w:rsid w:val="75735A2A"/>
    <w:rsid w:val="75774810"/>
    <w:rsid w:val="758053D8"/>
    <w:rsid w:val="7582155F"/>
    <w:rsid w:val="75826D11"/>
    <w:rsid w:val="75836B45"/>
    <w:rsid w:val="75845947"/>
    <w:rsid w:val="75850468"/>
    <w:rsid w:val="75866BE9"/>
    <w:rsid w:val="75936516"/>
    <w:rsid w:val="75986535"/>
    <w:rsid w:val="759B6003"/>
    <w:rsid w:val="759C32BC"/>
    <w:rsid w:val="759C7F87"/>
    <w:rsid w:val="759D78E1"/>
    <w:rsid w:val="75A04F3B"/>
    <w:rsid w:val="75A26BC4"/>
    <w:rsid w:val="75A57465"/>
    <w:rsid w:val="75AE59C7"/>
    <w:rsid w:val="75B01AD0"/>
    <w:rsid w:val="75B413FD"/>
    <w:rsid w:val="75B61842"/>
    <w:rsid w:val="75BC78AF"/>
    <w:rsid w:val="75BD0C5A"/>
    <w:rsid w:val="75C537CD"/>
    <w:rsid w:val="75C604F3"/>
    <w:rsid w:val="75CB7BF0"/>
    <w:rsid w:val="75D22390"/>
    <w:rsid w:val="75D62BEE"/>
    <w:rsid w:val="75D74EF8"/>
    <w:rsid w:val="75DA14E0"/>
    <w:rsid w:val="75E20E90"/>
    <w:rsid w:val="75E27AE1"/>
    <w:rsid w:val="75E83018"/>
    <w:rsid w:val="75FE27F5"/>
    <w:rsid w:val="75FE283B"/>
    <w:rsid w:val="76045978"/>
    <w:rsid w:val="76066358"/>
    <w:rsid w:val="760719A1"/>
    <w:rsid w:val="760A306F"/>
    <w:rsid w:val="760A52CC"/>
    <w:rsid w:val="760C4ED0"/>
    <w:rsid w:val="760D23F9"/>
    <w:rsid w:val="760D3186"/>
    <w:rsid w:val="760E6BFC"/>
    <w:rsid w:val="761422CC"/>
    <w:rsid w:val="761855A7"/>
    <w:rsid w:val="761A7575"/>
    <w:rsid w:val="7621477C"/>
    <w:rsid w:val="76224F0C"/>
    <w:rsid w:val="762543CB"/>
    <w:rsid w:val="76261C26"/>
    <w:rsid w:val="76261D92"/>
    <w:rsid w:val="762A4F88"/>
    <w:rsid w:val="762F2954"/>
    <w:rsid w:val="76342701"/>
    <w:rsid w:val="76384F46"/>
    <w:rsid w:val="763E532E"/>
    <w:rsid w:val="76402E54"/>
    <w:rsid w:val="7645046A"/>
    <w:rsid w:val="764D5571"/>
    <w:rsid w:val="764E1B03"/>
    <w:rsid w:val="765E2B78"/>
    <w:rsid w:val="766236EA"/>
    <w:rsid w:val="7663421D"/>
    <w:rsid w:val="766703E1"/>
    <w:rsid w:val="766928A3"/>
    <w:rsid w:val="76760CCA"/>
    <w:rsid w:val="76780840"/>
    <w:rsid w:val="7678122F"/>
    <w:rsid w:val="767C19B2"/>
    <w:rsid w:val="767E1BCE"/>
    <w:rsid w:val="7682346D"/>
    <w:rsid w:val="7682521B"/>
    <w:rsid w:val="7683069C"/>
    <w:rsid w:val="7683197E"/>
    <w:rsid w:val="76891A32"/>
    <w:rsid w:val="76A27DD7"/>
    <w:rsid w:val="76A51C41"/>
    <w:rsid w:val="76AA29C3"/>
    <w:rsid w:val="76AD15F9"/>
    <w:rsid w:val="76BA547C"/>
    <w:rsid w:val="76BE4F30"/>
    <w:rsid w:val="76C1799B"/>
    <w:rsid w:val="76C44215"/>
    <w:rsid w:val="76C70E7F"/>
    <w:rsid w:val="76CD451D"/>
    <w:rsid w:val="76D22E2E"/>
    <w:rsid w:val="76D23D6B"/>
    <w:rsid w:val="76D31F1A"/>
    <w:rsid w:val="76DF08BF"/>
    <w:rsid w:val="76E16AC1"/>
    <w:rsid w:val="76EA1012"/>
    <w:rsid w:val="76EE2591"/>
    <w:rsid w:val="76EF7D2C"/>
    <w:rsid w:val="76F0798D"/>
    <w:rsid w:val="76F53C3E"/>
    <w:rsid w:val="76F73CBD"/>
    <w:rsid w:val="77004391"/>
    <w:rsid w:val="770318FD"/>
    <w:rsid w:val="77104B35"/>
    <w:rsid w:val="7711659E"/>
    <w:rsid w:val="771340C5"/>
    <w:rsid w:val="77146E97"/>
    <w:rsid w:val="771766AF"/>
    <w:rsid w:val="771A18D8"/>
    <w:rsid w:val="771D4568"/>
    <w:rsid w:val="771D558A"/>
    <w:rsid w:val="7722255A"/>
    <w:rsid w:val="77287154"/>
    <w:rsid w:val="772A140E"/>
    <w:rsid w:val="773E26D2"/>
    <w:rsid w:val="77403575"/>
    <w:rsid w:val="774676CF"/>
    <w:rsid w:val="77472EC2"/>
    <w:rsid w:val="7748368E"/>
    <w:rsid w:val="774A6156"/>
    <w:rsid w:val="774D765A"/>
    <w:rsid w:val="774F6700"/>
    <w:rsid w:val="77533F2B"/>
    <w:rsid w:val="77543014"/>
    <w:rsid w:val="775517FF"/>
    <w:rsid w:val="775D3592"/>
    <w:rsid w:val="77630C78"/>
    <w:rsid w:val="777248D8"/>
    <w:rsid w:val="77747F17"/>
    <w:rsid w:val="777860D8"/>
    <w:rsid w:val="77901BB9"/>
    <w:rsid w:val="77903967"/>
    <w:rsid w:val="7792252C"/>
    <w:rsid w:val="77991C3E"/>
    <w:rsid w:val="779A6594"/>
    <w:rsid w:val="779A7137"/>
    <w:rsid w:val="779D6084"/>
    <w:rsid w:val="77A83CB3"/>
    <w:rsid w:val="77AD4519"/>
    <w:rsid w:val="77AE7402"/>
    <w:rsid w:val="77B238DE"/>
    <w:rsid w:val="77B31048"/>
    <w:rsid w:val="77B533CE"/>
    <w:rsid w:val="77B70EF4"/>
    <w:rsid w:val="77BB0EE6"/>
    <w:rsid w:val="77BF5BB1"/>
    <w:rsid w:val="77C050CF"/>
    <w:rsid w:val="77C32A88"/>
    <w:rsid w:val="77C87BF6"/>
    <w:rsid w:val="77E37F3B"/>
    <w:rsid w:val="77E7523F"/>
    <w:rsid w:val="77E837A3"/>
    <w:rsid w:val="77F26063"/>
    <w:rsid w:val="77F42148"/>
    <w:rsid w:val="78055E5D"/>
    <w:rsid w:val="780B4A40"/>
    <w:rsid w:val="781B72AA"/>
    <w:rsid w:val="781C14B2"/>
    <w:rsid w:val="781C67C3"/>
    <w:rsid w:val="781D5DA5"/>
    <w:rsid w:val="78374F2B"/>
    <w:rsid w:val="783C2021"/>
    <w:rsid w:val="783F079D"/>
    <w:rsid w:val="78511348"/>
    <w:rsid w:val="78533C42"/>
    <w:rsid w:val="78544995"/>
    <w:rsid w:val="78595654"/>
    <w:rsid w:val="785F235F"/>
    <w:rsid w:val="786A679E"/>
    <w:rsid w:val="787C3AB9"/>
    <w:rsid w:val="787E207D"/>
    <w:rsid w:val="787E7C64"/>
    <w:rsid w:val="78827754"/>
    <w:rsid w:val="78841D97"/>
    <w:rsid w:val="7885149F"/>
    <w:rsid w:val="78886D34"/>
    <w:rsid w:val="78900078"/>
    <w:rsid w:val="78A56AB5"/>
    <w:rsid w:val="78AE3973"/>
    <w:rsid w:val="78B90C9C"/>
    <w:rsid w:val="78C620B9"/>
    <w:rsid w:val="78C966FA"/>
    <w:rsid w:val="78CB1B99"/>
    <w:rsid w:val="78CD32B5"/>
    <w:rsid w:val="78CE2454"/>
    <w:rsid w:val="78D635FC"/>
    <w:rsid w:val="78DC5A8E"/>
    <w:rsid w:val="78E23F4E"/>
    <w:rsid w:val="78E91F32"/>
    <w:rsid w:val="78F12B57"/>
    <w:rsid w:val="78F87A16"/>
    <w:rsid w:val="790463BB"/>
    <w:rsid w:val="79093888"/>
    <w:rsid w:val="790A315A"/>
    <w:rsid w:val="790D6D3D"/>
    <w:rsid w:val="790E7239"/>
    <w:rsid w:val="79110AD8"/>
    <w:rsid w:val="79156E0F"/>
    <w:rsid w:val="791648AD"/>
    <w:rsid w:val="7917715F"/>
    <w:rsid w:val="79177175"/>
    <w:rsid w:val="791B6F2A"/>
    <w:rsid w:val="791F1D70"/>
    <w:rsid w:val="79217712"/>
    <w:rsid w:val="79250840"/>
    <w:rsid w:val="792C61C2"/>
    <w:rsid w:val="792E6243"/>
    <w:rsid w:val="79330A4E"/>
    <w:rsid w:val="7937681E"/>
    <w:rsid w:val="793F5645"/>
    <w:rsid w:val="79440AEE"/>
    <w:rsid w:val="794A1A4C"/>
    <w:rsid w:val="794E5888"/>
    <w:rsid w:val="795310F0"/>
    <w:rsid w:val="795A080C"/>
    <w:rsid w:val="796C31B8"/>
    <w:rsid w:val="797231A4"/>
    <w:rsid w:val="79766B8D"/>
    <w:rsid w:val="797967FE"/>
    <w:rsid w:val="797F1EE5"/>
    <w:rsid w:val="79802D9F"/>
    <w:rsid w:val="798464EA"/>
    <w:rsid w:val="79872276"/>
    <w:rsid w:val="79890FF4"/>
    <w:rsid w:val="7989257D"/>
    <w:rsid w:val="79922D97"/>
    <w:rsid w:val="79927E6B"/>
    <w:rsid w:val="799626F6"/>
    <w:rsid w:val="799A6D1F"/>
    <w:rsid w:val="79A454A8"/>
    <w:rsid w:val="79A46034"/>
    <w:rsid w:val="79AA26DF"/>
    <w:rsid w:val="79B70EF8"/>
    <w:rsid w:val="79C15542"/>
    <w:rsid w:val="79C2668F"/>
    <w:rsid w:val="79C62272"/>
    <w:rsid w:val="79C75326"/>
    <w:rsid w:val="79C93160"/>
    <w:rsid w:val="79C9375B"/>
    <w:rsid w:val="79CA0341"/>
    <w:rsid w:val="79D55FA9"/>
    <w:rsid w:val="79EB497D"/>
    <w:rsid w:val="79F6754E"/>
    <w:rsid w:val="79FB0261"/>
    <w:rsid w:val="79FB2DAF"/>
    <w:rsid w:val="7A087BDF"/>
    <w:rsid w:val="7A0C565C"/>
    <w:rsid w:val="7A0D5743"/>
    <w:rsid w:val="7A164D8B"/>
    <w:rsid w:val="7A1C2352"/>
    <w:rsid w:val="7A1C61A9"/>
    <w:rsid w:val="7A2B7977"/>
    <w:rsid w:val="7A356A48"/>
    <w:rsid w:val="7A3D7DFA"/>
    <w:rsid w:val="7A41719B"/>
    <w:rsid w:val="7A434CC1"/>
    <w:rsid w:val="7A435682"/>
    <w:rsid w:val="7A484CAA"/>
    <w:rsid w:val="7A4A24F3"/>
    <w:rsid w:val="7A4B137B"/>
    <w:rsid w:val="7A5001CD"/>
    <w:rsid w:val="7A50583C"/>
    <w:rsid w:val="7A581352"/>
    <w:rsid w:val="7A5B2006"/>
    <w:rsid w:val="7A5E7D4D"/>
    <w:rsid w:val="7A5F3524"/>
    <w:rsid w:val="7A621EDB"/>
    <w:rsid w:val="7A62317A"/>
    <w:rsid w:val="7A6510DB"/>
    <w:rsid w:val="7A65732D"/>
    <w:rsid w:val="7A6D1D3E"/>
    <w:rsid w:val="7A6F26A9"/>
    <w:rsid w:val="7A7362FE"/>
    <w:rsid w:val="7A752C86"/>
    <w:rsid w:val="7A773AA0"/>
    <w:rsid w:val="7A813A3B"/>
    <w:rsid w:val="7A817172"/>
    <w:rsid w:val="7A831561"/>
    <w:rsid w:val="7A850200"/>
    <w:rsid w:val="7A8814C8"/>
    <w:rsid w:val="7A885FEA"/>
    <w:rsid w:val="7A890F22"/>
    <w:rsid w:val="7A916DEC"/>
    <w:rsid w:val="7A943A2A"/>
    <w:rsid w:val="7A94551C"/>
    <w:rsid w:val="7A955A03"/>
    <w:rsid w:val="7A9D6BAD"/>
    <w:rsid w:val="7A9F2CF5"/>
    <w:rsid w:val="7AA23342"/>
    <w:rsid w:val="7AA53BCD"/>
    <w:rsid w:val="7AA60701"/>
    <w:rsid w:val="7AAC0AB8"/>
    <w:rsid w:val="7AAD65DE"/>
    <w:rsid w:val="7AAE5C60"/>
    <w:rsid w:val="7AB36300"/>
    <w:rsid w:val="7AB60EE3"/>
    <w:rsid w:val="7AB712F6"/>
    <w:rsid w:val="7ABC69F9"/>
    <w:rsid w:val="7ABE4C8F"/>
    <w:rsid w:val="7AC0465B"/>
    <w:rsid w:val="7AC322A6"/>
    <w:rsid w:val="7AC926EB"/>
    <w:rsid w:val="7ACB1AA9"/>
    <w:rsid w:val="7ACE2AB8"/>
    <w:rsid w:val="7AD032E5"/>
    <w:rsid w:val="7AD128A9"/>
    <w:rsid w:val="7AD2187C"/>
    <w:rsid w:val="7AD419A8"/>
    <w:rsid w:val="7AD56F4B"/>
    <w:rsid w:val="7ADC456B"/>
    <w:rsid w:val="7AE26B3F"/>
    <w:rsid w:val="7AE364EA"/>
    <w:rsid w:val="7AE42945"/>
    <w:rsid w:val="7AE45DA6"/>
    <w:rsid w:val="7AEA0DF1"/>
    <w:rsid w:val="7AEA7832"/>
    <w:rsid w:val="7AEF309B"/>
    <w:rsid w:val="7AF67F85"/>
    <w:rsid w:val="7AF75AAB"/>
    <w:rsid w:val="7AF95CC7"/>
    <w:rsid w:val="7AFC3CC5"/>
    <w:rsid w:val="7B002BB2"/>
    <w:rsid w:val="7B05488D"/>
    <w:rsid w:val="7B095F0A"/>
    <w:rsid w:val="7B0A06CB"/>
    <w:rsid w:val="7B0D17BE"/>
    <w:rsid w:val="7B0D35AA"/>
    <w:rsid w:val="7B136D89"/>
    <w:rsid w:val="7B1448AF"/>
    <w:rsid w:val="7B18614D"/>
    <w:rsid w:val="7B187EFC"/>
    <w:rsid w:val="7B1C1F73"/>
    <w:rsid w:val="7B1F0B72"/>
    <w:rsid w:val="7B284E41"/>
    <w:rsid w:val="7B306AFA"/>
    <w:rsid w:val="7B337A1A"/>
    <w:rsid w:val="7B354232"/>
    <w:rsid w:val="7B424F78"/>
    <w:rsid w:val="7B430CF1"/>
    <w:rsid w:val="7B4754DF"/>
    <w:rsid w:val="7B4C229B"/>
    <w:rsid w:val="7B4E3BEA"/>
    <w:rsid w:val="7B4F1153"/>
    <w:rsid w:val="7B532E03"/>
    <w:rsid w:val="7B5B428C"/>
    <w:rsid w:val="7B5B603A"/>
    <w:rsid w:val="7B626231"/>
    <w:rsid w:val="7B65510B"/>
    <w:rsid w:val="7B656EB9"/>
    <w:rsid w:val="7B6F568B"/>
    <w:rsid w:val="7B704EE2"/>
    <w:rsid w:val="7B71585E"/>
    <w:rsid w:val="7B8261EA"/>
    <w:rsid w:val="7B827A6B"/>
    <w:rsid w:val="7B8706E0"/>
    <w:rsid w:val="7B897BA3"/>
    <w:rsid w:val="7B931C78"/>
    <w:rsid w:val="7B98728E"/>
    <w:rsid w:val="7B9E4FF6"/>
    <w:rsid w:val="7B9F3C35"/>
    <w:rsid w:val="7BA07EF1"/>
    <w:rsid w:val="7BA45C33"/>
    <w:rsid w:val="7BA75723"/>
    <w:rsid w:val="7BAA2A01"/>
    <w:rsid w:val="7BAD0F8C"/>
    <w:rsid w:val="7BB51BEE"/>
    <w:rsid w:val="7BB526B3"/>
    <w:rsid w:val="7BC51B89"/>
    <w:rsid w:val="7BC855F0"/>
    <w:rsid w:val="7BC912FA"/>
    <w:rsid w:val="7BCA0DA1"/>
    <w:rsid w:val="7BCC39B7"/>
    <w:rsid w:val="7BD10038"/>
    <w:rsid w:val="7BD302C6"/>
    <w:rsid w:val="7BD71211"/>
    <w:rsid w:val="7BDD1061"/>
    <w:rsid w:val="7BDF1301"/>
    <w:rsid w:val="7BE06574"/>
    <w:rsid w:val="7BE50268"/>
    <w:rsid w:val="7BF07FCB"/>
    <w:rsid w:val="7BFF730D"/>
    <w:rsid w:val="7C01327F"/>
    <w:rsid w:val="7C014FB3"/>
    <w:rsid w:val="7C0244F2"/>
    <w:rsid w:val="7C146B42"/>
    <w:rsid w:val="7C181EB2"/>
    <w:rsid w:val="7C211BE0"/>
    <w:rsid w:val="7C237632"/>
    <w:rsid w:val="7C262AEC"/>
    <w:rsid w:val="7C2A2F43"/>
    <w:rsid w:val="7C2C5002"/>
    <w:rsid w:val="7C2E374F"/>
    <w:rsid w:val="7C304F8E"/>
    <w:rsid w:val="7C324FED"/>
    <w:rsid w:val="7C336FB7"/>
    <w:rsid w:val="7C37432E"/>
    <w:rsid w:val="7C39281F"/>
    <w:rsid w:val="7C433AEA"/>
    <w:rsid w:val="7C4371FA"/>
    <w:rsid w:val="7C4C370C"/>
    <w:rsid w:val="7C4E5B9F"/>
    <w:rsid w:val="7C4F089D"/>
    <w:rsid w:val="7C502A98"/>
    <w:rsid w:val="7C5238E1"/>
    <w:rsid w:val="7C5533D1"/>
    <w:rsid w:val="7C5611B7"/>
    <w:rsid w:val="7C5D7E4F"/>
    <w:rsid w:val="7C605B0C"/>
    <w:rsid w:val="7C630C65"/>
    <w:rsid w:val="7C6D071B"/>
    <w:rsid w:val="7C6E0E51"/>
    <w:rsid w:val="7C740D99"/>
    <w:rsid w:val="7C75137E"/>
    <w:rsid w:val="7C760599"/>
    <w:rsid w:val="7C790555"/>
    <w:rsid w:val="7C7C5114"/>
    <w:rsid w:val="7C7D3129"/>
    <w:rsid w:val="7C8274E7"/>
    <w:rsid w:val="7C833A9B"/>
    <w:rsid w:val="7C85027C"/>
    <w:rsid w:val="7C8C2CA7"/>
    <w:rsid w:val="7C8D4919"/>
    <w:rsid w:val="7C935AB5"/>
    <w:rsid w:val="7C941E39"/>
    <w:rsid w:val="7C99506C"/>
    <w:rsid w:val="7CA462C8"/>
    <w:rsid w:val="7CB4634A"/>
    <w:rsid w:val="7CBD30B5"/>
    <w:rsid w:val="7CC1091F"/>
    <w:rsid w:val="7CC62D8B"/>
    <w:rsid w:val="7CCA4662"/>
    <w:rsid w:val="7CCA6E07"/>
    <w:rsid w:val="7CCE40CD"/>
    <w:rsid w:val="7CCF762A"/>
    <w:rsid w:val="7CDD2818"/>
    <w:rsid w:val="7CE04A49"/>
    <w:rsid w:val="7CE54755"/>
    <w:rsid w:val="7CF24DE2"/>
    <w:rsid w:val="7CF404F4"/>
    <w:rsid w:val="7CF60710"/>
    <w:rsid w:val="7D00333D"/>
    <w:rsid w:val="7D007AE0"/>
    <w:rsid w:val="7D040449"/>
    <w:rsid w:val="7D0A5491"/>
    <w:rsid w:val="7D0B583E"/>
    <w:rsid w:val="7D0C3A90"/>
    <w:rsid w:val="7D0E2993"/>
    <w:rsid w:val="7D1B3CD3"/>
    <w:rsid w:val="7D231188"/>
    <w:rsid w:val="7D357EBC"/>
    <w:rsid w:val="7D366731"/>
    <w:rsid w:val="7D37311B"/>
    <w:rsid w:val="7D382AD7"/>
    <w:rsid w:val="7D435848"/>
    <w:rsid w:val="7D627B54"/>
    <w:rsid w:val="7D633A67"/>
    <w:rsid w:val="7D692C90"/>
    <w:rsid w:val="7D6A07D3"/>
    <w:rsid w:val="7D6F29AF"/>
    <w:rsid w:val="7D705CBB"/>
    <w:rsid w:val="7D76369D"/>
    <w:rsid w:val="7D787FB7"/>
    <w:rsid w:val="7D7D2BE0"/>
    <w:rsid w:val="7D7E3B4B"/>
    <w:rsid w:val="7D8103DB"/>
    <w:rsid w:val="7D817656"/>
    <w:rsid w:val="7D845D1C"/>
    <w:rsid w:val="7D8862B7"/>
    <w:rsid w:val="7D8C2E23"/>
    <w:rsid w:val="7D8C71F3"/>
    <w:rsid w:val="7D9121E7"/>
    <w:rsid w:val="7D915CAE"/>
    <w:rsid w:val="7D935E67"/>
    <w:rsid w:val="7D9505BC"/>
    <w:rsid w:val="7D99109C"/>
    <w:rsid w:val="7D9B184A"/>
    <w:rsid w:val="7D9F519D"/>
    <w:rsid w:val="7DA3023D"/>
    <w:rsid w:val="7DA43CC8"/>
    <w:rsid w:val="7DA95783"/>
    <w:rsid w:val="7DAE0FEB"/>
    <w:rsid w:val="7DAF3CE1"/>
    <w:rsid w:val="7DB23F93"/>
    <w:rsid w:val="7DB61C4E"/>
    <w:rsid w:val="7DB71C83"/>
    <w:rsid w:val="7DB84577"/>
    <w:rsid w:val="7DBB48FF"/>
    <w:rsid w:val="7DBF5565"/>
    <w:rsid w:val="7DC9372F"/>
    <w:rsid w:val="7DD303DA"/>
    <w:rsid w:val="7DD9273F"/>
    <w:rsid w:val="7DDF49B4"/>
    <w:rsid w:val="7DE20C95"/>
    <w:rsid w:val="7DE40F78"/>
    <w:rsid w:val="7DE871B4"/>
    <w:rsid w:val="7DEA0341"/>
    <w:rsid w:val="7DEB37E9"/>
    <w:rsid w:val="7DF82266"/>
    <w:rsid w:val="7E0751A3"/>
    <w:rsid w:val="7E0F33E1"/>
    <w:rsid w:val="7E130E4E"/>
    <w:rsid w:val="7E197282"/>
    <w:rsid w:val="7E1A042F"/>
    <w:rsid w:val="7E1A5C35"/>
    <w:rsid w:val="7E1D3A7B"/>
    <w:rsid w:val="7E235535"/>
    <w:rsid w:val="7E2766A8"/>
    <w:rsid w:val="7E297621"/>
    <w:rsid w:val="7E2C4707"/>
    <w:rsid w:val="7E35325C"/>
    <w:rsid w:val="7E393919"/>
    <w:rsid w:val="7E395B7B"/>
    <w:rsid w:val="7E397153"/>
    <w:rsid w:val="7E3F7DA6"/>
    <w:rsid w:val="7E417769"/>
    <w:rsid w:val="7E4A6504"/>
    <w:rsid w:val="7E4B24AF"/>
    <w:rsid w:val="7E4D4360"/>
    <w:rsid w:val="7E4E1E86"/>
    <w:rsid w:val="7E676E21"/>
    <w:rsid w:val="7E6E2528"/>
    <w:rsid w:val="7E77176D"/>
    <w:rsid w:val="7E786F03"/>
    <w:rsid w:val="7E7E09BD"/>
    <w:rsid w:val="7E7F1AD5"/>
    <w:rsid w:val="7E845D81"/>
    <w:rsid w:val="7E8813E9"/>
    <w:rsid w:val="7E8C3242"/>
    <w:rsid w:val="7E9E696A"/>
    <w:rsid w:val="7EA96C28"/>
    <w:rsid w:val="7EB97C47"/>
    <w:rsid w:val="7EBF64A4"/>
    <w:rsid w:val="7EC00FD6"/>
    <w:rsid w:val="7EC2008F"/>
    <w:rsid w:val="7EC27667"/>
    <w:rsid w:val="7EC62364"/>
    <w:rsid w:val="7EC63616"/>
    <w:rsid w:val="7EC916D5"/>
    <w:rsid w:val="7ECB606F"/>
    <w:rsid w:val="7ECD724F"/>
    <w:rsid w:val="7ECF2AA6"/>
    <w:rsid w:val="7ED00AED"/>
    <w:rsid w:val="7ED20D09"/>
    <w:rsid w:val="7EE02088"/>
    <w:rsid w:val="7EE2719E"/>
    <w:rsid w:val="7EE328E6"/>
    <w:rsid w:val="7EEC187C"/>
    <w:rsid w:val="7EEC6DDC"/>
    <w:rsid w:val="7EF06039"/>
    <w:rsid w:val="7EF649F8"/>
    <w:rsid w:val="7EF71012"/>
    <w:rsid w:val="7EF77AD5"/>
    <w:rsid w:val="7EF864D1"/>
    <w:rsid w:val="7F0215EE"/>
    <w:rsid w:val="7F0C5FC9"/>
    <w:rsid w:val="7F0D7F93"/>
    <w:rsid w:val="7F1050B8"/>
    <w:rsid w:val="7F1175B5"/>
    <w:rsid w:val="7F121106"/>
    <w:rsid w:val="7F1217DE"/>
    <w:rsid w:val="7F1255AA"/>
    <w:rsid w:val="7F133960"/>
    <w:rsid w:val="7F166E48"/>
    <w:rsid w:val="7F230A24"/>
    <w:rsid w:val="7F261F6C"/>
    <w:rsid w:val="7F2D7CEE"/>
    <w:rsid w:val="7F2F74D9"/>
    <w:rsid w:val="7F34107C"/>
    <w:rsid w:val="7F3B788F"/>
    <w:rsid w:val="7F4734A5"/>
    <w:rsid w:val="7F4B329E"/>
    <w:rsid w:val="7F4B424A"/>
    <w:rsid w:val="7F5160D2"/>
    <w:rsid w:val="7F525008"/>
    <w:rsid w:val="7F5A2B9E"/>
    <w:rsid w:val="7F60063E"/>
    <w:rsid w:val="7F686F78"/>
    <w:rsid w:val="7F691204"/>
    <w:rsid w:val="7F723A7C"/>
    <w:rsid w:val="7F737DF6"/>
    <w:rsid w:val="7F7A3700"/>
    <w:rsid w:val="7F7D6EC7"/>
    <w:rsid w:val="7F9014F2"/>
    <w:rsid w:val="7F9020BE"/>
    <w:rsid w:val="7F911291"/>
    <w:rsid w:val="7F9E0C0F"/>
    <w:rsid w:val="7FA13326"/>
    <w:rsid w:val="7FB4040F"/>
    <w:rsid w:val="7FB45DAD"/>
    <w:rsid w:val="7FB623D9"/>
    <w:rsid w:val="7FC30197"/>
    <w:rsid w:val="7FC56178"/>
    <w:rsid w:val="7FC625E9"/>
    <w:rsid w:val="7FC91371"/>
    <w:rsid w:val="7FCE57F4"/>
    <w:rsid w:val="7FCF065E"/>
    <w:rsid w:val="7FD50AB1"/>
    <w:rsid w:val="7FD5285F"/>
    <w:rsid w:val="7FD64829"/>
    <w:rsid w:val="7FDE0B57"/>
    <w:rsid w:val="7FDE6BDA"/>
    <w:rsid w:val="7FE02050"/>
    <w:rsid w:val="7FE2578F"/>
    <w:rsid w:val="7FEB2083"/>
    <w:rsid w:val="7FF13411"/>
    <w:rsid w:val="7FF408E5"/>
    <w:rsid w:val="7FF5769F"/>
    <w:rsid w:val="7FF60A27"/>
    <w:rsid w:val="7FF672E6"/>
    <w:rsid w:val="7FFC23BA"/>
    <w:rsid w:val="7FFD3B64"/>
    <w:rsid w:val="7FFF5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uiPriority w:val="0"/>
    <w:pPr>
      <w:keepNext/>
      <w:keepLines/>
      <w:adjustRightInd w:val="0"/>
      <w:snapToGrid w:val="0"/>
      <w:spacing w:before="156" w:beforeLines="0" w:beforeAutospacing="0" w:line="360" w:lineRule="auto"/>
      <w:outlineLvl w:val="1"/>
    </w:pPr>
    <w:rPr>
      <w:rFonts w:ascii="Times New Roman" w:hAnsi="Times New Roman"/>
      <w:b/>
      <w:sz w:val="24"/>
    </w:rPr>
  </w:style>
  <w:style w:type="paragraph" w:styleId="4">
    <w:name w:val="heading 3"/>
    <w:basedOn w:val="1"/>
    <w:next w:val="1"/>
    <w:autoRedefine/>
    <w:qFormat/>
    <w:uiPriority w:val="0"/>
    <w:pPr>
      <w:keepNext/>
      <w:keepLines/>
      <w:spacing w:line="360" w:lineRule="auto"/>
      <w:ind w:left="852"/>
      <w:outlineLvl w:val="2"/>
    </w:pPr>
    <w:rPr>
      <w:rFonts w:ascii="Times New Roman" w:hAnsi="Times New Roman" w:eastAsia="黑体"/>
      <w:b/>
      <w:kern w:val="0"/>
      <w:sz w:val="24"/>
      <w:szCs w:val="24"/>
    </w:rPr>
  </w:style>
  <w:style w:type="paragraph" w:styleId="5">
    <w:name w:val="heading 4"/>
    <w:basedOn w:val="1"/>
    <w:next w:val="1"/>
    <w:autoRedefine/>
    <w:qFormat/>
    <w:uiPriority w:val="0"/>
    <w:pPr>
      <w:keepNext/>
      <w:keepLines/>
      <w:spacing w:beforeLines="0" w:beforeAutospacing="0" w:afterLines="0" w:afterAutospacing="0" w:line="360" w:lineRule="auto"/>
      <w:ind w:firstLine="0" w:firstLineChars="0"/>
      <w:outlineLvl w:val="3"/>
    </w:pPr>
    <w:rPr>
      <w:rFonts w:ascii="Times New Roman" w:hAnsi="Times New Roman" w:eastAsia="宋体"/>
      <w:b/>
      <w:sz w:val="24"/>
    </w:rPr>
  </w:style>
  <w:style w:type="character" w:default="1" w:styleId="29">
    <w:name w:val="Default Paragraph Font"/>
    <w:autoRedefine/>
    <w:semiHidden/>
    <w:qFormat/>
    <w:uiPriority w:val="0"/>
  </w:style>
  <w:style w:type="table" w:default="1" w:styleId="27">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caption"/>
    <w:basedOn w:val="1"/>
    <w:next w:val="1"/>
    <w:autoRedefine/>
    <w:qFormat/>
    <w:uiPriority w:val="0"/>
    <w:rPr>
      <w:rFonts w:ascii="Arial" w:hAnsi="Arial" w:eastAsia="黑体" w:cs="Arial"/>
      <w:sz w:val="20"/>
      <w:szCs w:val="20"/>
    </w:rPr>
  </w:style>
  <w:style w:type="paragraph" w:styleId="8">
    <w:name w:val="toa heading"/>
    <w:basedOn w:val="1"/>
    <w:next w:val="1"/>
    <w:autoRedefine/>
    <w:unhideWhenUsed/>
    <w:qFormat/>
    <w:uiPriority w:val="99"/>
    <w:pPr>
      <w:spacing w:before="120"/>
    </w:pPr>
    <w:rPr>
      <w:rFonts w:ascii="Cambria" w:hAnsi="Cambria" w:eastAsia="宋体" w:cs="Times New Roman"/>
      <w:sz w:val="24"/>
    </w:rPr>
  </w:style>
  <w:style w:type="paragraph" w:styleId="9">
    <w:name w:val="annotation text"/>
    <w:basedOn w:val="1"/>
    <w:autoRedefine/>
    <w:qFormat/>
    <w:uiPriority w:val="0"/>
    <w:pPr>
      <w:jc w:val="left"/>
    </w:pPr>
  </w:style>
  <w:style w:type="paragraph" w:styleId="10">
    <w:name w:val="Salutation"/>
    <w:basedOn w:val="1"/>
    <w:next w:val="1"/>
    <w:autoRedefine/>
    <w:qFormat/>
    <w:uiPriority w:val="0"/>
  </w:style>
  <w:style w:type="paragraph" w:styleId="11">
    <w:name w:val="Body Text"/>
    <w:basedOn w:val="1"/>
    <w:next w:val="12"/>
    <w:autoRedefine/>
    <w:qFormat/>
    <w:uiPriority w:val="0"/>
    <w:pPr>
      <w:spacing w:after="120"/>
    </w:pPr>
  </w:style>
  <w:style w:type="paragraph" w:customStyle="1" w:styleId="12">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3">
    <w:name w:val="Body Text Indent"/>
    <w:basedOn w:val="1"/>
    <w:next w:val="14"/>
    <w:autoRedefine/>
    <w:qFormat/>
    <w:uiPriority w:val="0"/>
    <w:pPr>
      <w:widowControl/>
      <w:spacing w:after="120"/>
      <w:ind w:left="420" w:leftChars="200"/>
      <w:jc w:val="left"/>
    </w:pPr>
    <w:rPr>
      <w:kern w:val="0"/>
      <w:sz w:val="24"/>
    </w:rPr>
  </w:style>
  <w:style w:type="paragraph" w:styleId="14">
    <w:name w:val="header"/>
    <w:basedOn w:val="1"/>
    <w:next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Block Text"/>
    <w:basedOn w:val="1"/>
    <w:autoRedefine/>
    <w:qFormat/>
    <w:uiPriority w:val="0"/>
    <w:pPr>
      <w:spacing w:after="120"/>
      <w:ind w:left="1440" w:leftChars="700" w:right="1440" w:rightChars="700"/>
    </w:pPr>
  </w:style>
  <w:style w:type="paragraph" w:styleId="16">
    <w:name w:val="Plain Text"/>
    <w:basedOn w:val="1"/>
    <w:next w:val="1"/>
    <w:autoRedefine/>
    <w:qFormat/>
    <w:uiPriority w:val="0"/>
    <w:rPr>
      <w:rFonts w:ascii="宋体" w:hAnsi="Courier New"/>
    </w:rPr>
  </w:style>
  <w:style w:type="paragraph" w:styleId="17">
    <w:name w:val="Date"/>
    <w:basedOn w:val="1"/>
    <w:next w:val="1"/>
    <w:autoRedefine/>
    <w:qFormat/>
    <w:uiPriority w:val="0"/>
    <w:rPr>
      <w:sz w:val="24"/>
      <w:szCs w:val="20"/>
    </w:rPr>
  </w:style>
  <w:style w:type="paragraph" w:styleId="18">
    <w:name w:val="Body Text Indent 2"/>
    <w:basedOn w:val="1"/>
    <w:autoRedefine/>
    <w:qFormat/>
    <w:uiPriority w:val="0"/>
    <w:pPr>
      <w:spacing w:after="120" w:afterLines="0" w:line="480" w:lineRule="auto"/>
      <w:ind w:leftChars="200"/>
    </w:pPr>
    <w:rPr>
      <w:sz w:val="24"/>
    </w:rPr>
  </w:style>
  <w:style w:type="paragraph" w:styleId="19">
    <w:name w:val="footer"/>
    <w:basedOn w:val="1"/>
    <w:autoRedefine/>
    <w:qFormat/>
    <w:uiPriority w:val="99"/>
    <w:pPr>
      <w:tabs>
        <w:tab w:val="center" w:pos="4153"/>
        <w:tab w:val="right" w:pos="8306"/>
      </w:tabs>
      <w:snapToGrid w:val="0"/>
      <w:jc w:val="left"/>
    </w:pPr>
    <w:rPr>
      <w:kern w:val="0"/>
      <w:sz w:val="18"/>
      <w:szCs w:val="20"/>
    </w:rPr>
  </w:style>
  <w:style w:type="paragraph" w:styleId="20">
    <w:name w:val="toc 1"/>
    <w:basedOn w:val="1"/>
    <w:next w:val="1"/>
    <w:autoRedefine/>
    <w:qFormat/>
    <w:uiPriority w:val="0"/>
  </w:style>
  <w:style w:type="paragraph" w:styleId="21">
    <w:name w:val="index heading"/>
    <w:basedOn w:val="1"/>
    <w:next w:val="22"/>
    <w:autoRedefine/>
    <w:qFormat/>
    <w:uiPriority w:val="0"/>
    <w:rPr>
      <w:rFonts w:ascii="Arial" w:hAnsi="Arial"/>
      <w:b/>
    </w:rPr>
  </w:style>
  <w:style w:type="paragraph" w:styleId="22">
    <w:name w:val="index 1"/>
    <w:basedOn w:val="1"/>
    <w:next w:val="1"/>
    <w:autoRedefine/>
    <w:semiHidden/>
    <w:qFormat/>
    <w:uiPriority w:val="0"/>
    <w:pPr>
      <w:adjustRightInd w:val="0"/>
      <w:snapToGrid w:val="0"/>
      <w:ind w:firstLine="823" w:firstLineChars="358"/>
      <w:jc w:val="left"/>
    </w:pPr>
    <w:rPr>
      <w:rFonts w:ascii="宋体" w:hAnsi="宋体"/>
      <w:spacing w:val="10"/>
    </w:rPr>
  </w:style>
  <w:style w:type="paragraph" w:styleId="23">
    <w:name w:val="Body Text Indent 3"/>
    <w:basedOn w:val="1"/>
    <w:autoRedefine/>
    <w:qFormat/>
    <w:uiPriority w:val="0"/>
    <w:pPr>
      <w:spacing w:after="120" w:afterLines="0"/>
      <w:ind w:left="420" w:leftChars="200"/>
    </w:pPr>
    <w:rPr>
      <w:sz w:val="16"/>
      <w:szCs w:val="16"/>
    </w:rPr>
  </w:style>
  <w:style w:type="paragraph" w:styleId="24">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5">
    <w:name w:val="Body Text First Indent"/>
    <w:basedOn w:val="11"/>
    <w:next w:val="1"/>
    <w:autoRedefine/>
    <w:qFormat/>
    <w:uiPriority w:val="0"/>
    <w:pPr>
      <w:ind w:firstLine="420" w:firstLineChars="100"/>
    </w:pPr>
    <w:rPr>
      <w:sz w:val="24"/>
    </w:rPr>
  </w:style>
  <w:style w:type="paragraph" w:styleId="26">
    <w:name w:val="Body Text First Indent 2"/>
    <w:basedOn w:val="1"/>
    <w:next w:val="25"/>
    <w:autoRedefine/>
    <w:qFormat/>
    <w:uiPriority w:val="0"/>
    <w:pPr>
      <w:widowControl w:val="0"/>
      <w:ind w:firstLine="420" w:firstLineChars="200"/>
      <w:jc w:val="both"/>
    </w:pPr>
    <w:rPr>
      <w:kern w:val="2"/>
      <w:sz w:val="21"/>
    </w:r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qFormat/>
    <w:uiPriority w:val="0"/>
    <w:rPr>
      <w:b/>
    </w:rPr>
  </w:style>
  <w:style w:type="character" w:styleId="31">
    <w:name w:val="page number"/>
    <w:basedOn w:val="29"/>
    <w:autoRedefine/>
    <w:qFormat/>
    <w:uiPriority w:val="0"/>
  </w:style>
  <w:style w:type="character" w:styleId="32">
    <w:name w:val="FollowedHyperlink"/>
    <w:basedOn w:val="29"/>
    <w:autoRedefine/>
    <w:qFormat/>
    <w:uiPriority w:val="0"/>
    <w:rPr>
      <w:color w:val="555555"/>
      <w:u w:val="none"/>
    </w:rPr>
  </w:style>
  <w:style w:type="character" w:styleId="33">
    <w:name w:val="Emphasis"/>
    <w:autoRedefine/>
    <w:qFormat/>
    <w:uiPriority w:val="20"/>
  </w:style>
  <w:style w:type="character" w:styleId="34">
    <w:name w:val="HTML Definition"/>
    <w:basedOn w:val="29"/>
    <w:autoRedefine/>
    <w:qFormat/>
    <w:uiPriority w:val="0"/>
  </w:style>
  <w:style w:type="character" w:styleId="35">
    <w:name w:val="HTML Variable"/>
    <w:basedOn w:val="29"/>
    <w:autoRedefine/>
    <w:qFormat/>
    <w:uiPriority w:val="0"/>
  </w:style>
  <w:style w:type="character" w:styleId="36">
    <w:name w:val="Hyperlink"/>
    <w:basedOn w:val="29"/>
    <w:autoRedefine/>
    <w:qFormat/>
    <w:uiPriority w:val="0"/>
    <w:rPr>
      <w:color w:val="000000"/>
      <w:u w:val="none"/>
    </w:rPr>
  </w:style>
  <w:style w:type="character" w:styleId="37">
    <w:name w:val="HTML Code"/>
    <w:basedOn w:val="29"/>
    <w:autoRedefine/>
    <w:qFormat/>
    <w:uiPriority w:val="0"/>
    <w:rPr>
      <w:rFonts w:ascii="Courier New" w:hAnsi="Courier New"/>
      <w:sz w:val="20"/>
    </w:rPr>
  </w:style>
  <w:style w:type="character" w:styleId="38">
    <w:name w:val="annotation reference"/>
    <w:basedOn w:val="29"/>
    <w:autoRedefine/>
    <w:qFormat/>
    <w:uiPriority w:val="0"/>
    <w:rPr>
      <w:sz w:val="21"/>
    </w:rPr>
  </w:style>
  <w:style w:type="character" w:styleId="39">
    <w:name w:val="HTML Cite"/>
    <w:basedOn w:val="29"/>
    <w:autoRedefine/>
    <w:qFormat/>
    <w:uiPriority w:val="0"/>
  </w:style>
  <w:style w:type="paragraph" w:customStyle="1" w:styleId="40">
    <w:name w:val="样式 黑色 行距: 最小值 26 磅"/>
    <w:basedOn w:val="1"/>
    <w:autoRedefine/>
    <w:qFormat/>
    <w:uiPriority w:val="0"/>
    <w:pPr>
      <w:spacing w:line="240" w:lineRule="auto"/>
      <w:ind w:firstLine="200" w:firstLineChars="200"/>
      <w:jc w:val="left"/>
    </w:pPr>
    <w:rPr>
      <w:rFonts w:eastAsia="楷体_GB2312" w:cs="宋体"/>
      <w:color w:val="000000"/>
      <w:spacing w:val="6"/>
      <w:sz w:val="28"/>
      <w:szCs w:val="20"/>
    </w:rPr>
  </w:style>
  <w:style w:type="paragraph" w:customStyle="1" w:styleId="41">
    <w:name w:val="样式 标题 1 + 四号 段前: 0 磅 段后: 0 磅 行距: 1.5 倍行距"/>
    <w:basedOn w:val="42"/>
    <w:next w:val="43"/>
    <w:autoRedefine/>
    <w:qFormat/>
    <w:uiPriority w:val="0"/>
    <w:pPr>
      <w:spacing w:line="360" w:lineRule="auto"/>
      <w:jc w:val="center"/>
    </w:pPr>
  </w:style>
  <w:style w:type="paragraph" w:customStyle="1" w:styleId="42">
    <w:name w:val="1正文"/>
    <w:basedOn w:val="1"/>
    <w:autoRedefine/>
    <w:qFormat/>
    <w:uiPriority w:val="0"/>
    <w:pPr>
      <w:spacing w:line="500" w:lineRule="exact"/>
      <w:ind w:firstLine="588" w:firstLineChars="196"/>
    </w:pPr>
    <w:rPr>
      <w:rFonts w:eastAsia="楷体_GB2312"/>
      <w:sz w:val="30"/>
      <w:szCs w:val="30"/>
    </w:rPr>
  </w:style>
  <w:style w:type="paragraph" w:customStyle="1" w:styleId="43">
    <w:name w:val="文本正文"/>
    <w:basedOn w:val="1"/>
    <w:autoRedefine/>
    <w:qFormat/>
    <w:uiPriority w:val="0"/>
    <w:pPr>
      <w:snapToGrid w:val="0"/>
      <w:spacing w:line="360" w:lineRule="auto"/>
      <w:ind w:firstLine="510"/>
      <w:jc w:val="left"/>
    </w:pPr>
    <w:rPr>
      <w:spacing w:val="4"/>
      <w:kern w:val="24"/>
      <w:szCs w:val="24"/>
      <w:lang w:val="zh-CN"/>
    </w:rPr>
  </w:style>
  <w:style w:type="paragraph" w:customStyle="1" w:styleId="44">
    <w:name w:val="报告表正文"/>
    <w:basedOn w:val="1"/>
    <w:autoRedefine/>
    <w:qFormat/>
    <w:uiPriority w:val="0"/>
    <w:pPr>
      <w:adjustRightInd w:val="0"/>
      <w:spacing w:line="312" w:lineRule="auto"/>
      <w:ind w:left="113" w:right="113" w:firstLine="482"/>
      <w:jc w:val="left"/>
      <w:textAlignment w:val="baseline"/>
    </w:pPr>
    <w:rPr>
      <w:kern w:val="0"/>
      <w:sz w:val="24"/>
    </w:rPr>
  </w:style>
  <w:style w:type="paragraph" w:customStyle="1" w:styleId="45">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6">
    <w:name w:val="表格"/>
    <w:basedOn w:val="6"/>
    <w:next w:val="6"/>
    <w:autoRedefine/>
    <w:qFormat/>
    <w:uiPriority w:val="0"/>
    <w:pPr>
      <w:adjustRightInd w:val="0"/>
      <w:snapToGrid w:val="0"/>
      <w:spacing w:beforeLines="10" w:afterLines="10" w:line="259" w:lineRule="auto"/>
      <w:jc w:val="center"/>
    </w:pPr>
    <w:rPr>
      <w:rFonts w:ascii="宋体"/>
      <w:kern w:val="0"/>
      <w:szCs w:val="20"/>
    </w:rPr>
  </w:style>
  <w:style w:type="paragraph" w:customStyle="1" w:styleId="47">
    <w:name w:val="图标题"/>
    <w:basedOn w:val="1"/>
    <w:autoRedefine/>
    <w:qFormat/>
    <w:uiPriority w:val="0"/>
    <w:pPr>
      <w:tabs>
        <w:tab w:val="left" w:pos="1035"/>
      </w:tabs>
      <w:spacing w:afterLines="100"/>
      <w:jc w:val="center"/>
    </w:pPr>
    <w:rPr>
      <w:sz w:val="24"/>
    </w:rPr>
  </w:style>
  <w:style w:type="paragraph" w:customStyle="1" w:styleId="48">
    <w:name w:val="表格及表头"/>
    <w:basedOn w:val="1"/>
    <w:next w:val="1"/>
    <w:autoRedefine/>
    <w:qFormat/>
    <w:uiPriority w:val="0"/>
    <w:pPr>
      <w:spacing w:line="240" w:lineRule="auto"/>
      <w:ind w:firstLine="0" w:firstLineChars="0"/>
      <w:jc w:val="both"/>
    </w:pPr>
    <w:rPr>
      <w:rFonts w:ascii="Times New Roman" w:hAnsi="Times New Roman"/>
      <w:sz w:val="21"/>
      <w:szCs w:val="21"/>
    </w:rPr>
  </w:style>
  <w:style w:type="paragraph" w:customStyle="1" w:styleId="49">
    <w:name w:val="p17"/>
    <w:basedOn w:val="1"/>
    <w:autoRedefine/>
    <w:qFormat/>
    <w:uiPriority w:val="0"/>
    <w:pPr>
      <w:widowControl/>
      <w:spacing w:after="120" w:afterLines="0"/>
    </w:pPr>
    <w:rPr>
      <w:kern w:val="0"/>
      <w:sz w:val="30"/>
      <w:szCs w:val="30"/>
    </w:rPr>
  </w:style>
  <w:style w:type="paragraph" w:customStyle="1" w:styleId="50">
    <w:name w:val="文本内容"/>
    <w:basedOn w:val="1"/>
    <w:autoRedefine/>
    <w:qFormat/>
    <w:uiPriority w:val="0"/>
    <w:pPr>
      <w:adjustRightInd w:val="0"/>
      <w:snapToGrid w:val="0"/>
      <w:spacing w:line="360" w:lineRule="auto"/>
      <w:ind w:firstLine="546" w:firstLineChars="200"/>
    </w:pPr>
    <w:rPr>
      <w:rFonts w:ascii="Calibri" w:hAnsi="Calibri"/>
      <w:sz w:val="28"/>
    </w:rPr>
  </w:style>
  <w:style w:type="character" w:customStyle="1" w:styleId="51">
    <w:name w:val="ggzbt011"/>
    <w:basedOn w:val="29"/>
    <w:autoRedefine/>
    <w:qFormat/>
    <w:uiPriority w:val="0"/>
  </w:style>
  <w:style w:type="paragraph" w:customStyle="1" w:styleId="52">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53">
    <w:name w:val="dz1"/>
    <w:autoRedefine/>
    <w:qFormat/>
    <w:uiPriority w:val="0"/>
    <w:rPr>
      <w:rFonts w:hint="default" w:ascii="Geneva" w:hAnsi="Geneva"/>
      <w:sz w:val="20"/>
      <w:szCs w:val="20"/>
    </w:rPr>
  </w:style>
  <w:style w:type="paragraph" w:customStyle="1" w:styleId="54">
    <w:name w:val="制表格"/>
    <w:basedOn w:val="1"/>
    <w:qFormat/>
    <w:uiPriority w:val="0"/>
    <w:pPr>
      <w:jc w:val="center"/>
    </w:pPr>
    <w:rPr>
      <w:rFonts w:ascii="Times New Roman" w:hAnsi="Times New Roman"/>
      <w:snapToGrid w:val="0"/>
      <w:kern w:val="0"/>
      <w:szCs w:val="28"/>
    </w:rPr>
  </w:style>
  <w:style w:type="paragraph" w:customStyle="1" w:styleId="55">
    <w:name w:val="环科院正文"/>
    <w:basedOn w:val="1"/>
    <w:autoRedefine/>
    <w:qFormat/>
    <w:uiPriority w:val="0"/>
    <w:pPr>
      <w:tabs>
        <w:tab w:val="left" w:pos="5760"/>
      </w:tabs>
      <w:spacing w:line="360" w:lineRule="auto"/>
      <w:ind w:firstLine="480" w:firstLineChars="200"/>
    </w:pPr>
    <w:rPr>
      <w:rFonts w:hAnsi="宋体"/>
      <w:bCs/>
      <w:sz w:val="24"/>
      <w:szCs w:val="20"/>
    </w:rPr>
  </w:style>
  <w:style w:type="paragraph" w:customStyle="1" w:styleId="56">
    <w:name w:val="11"/>
    <w:basedOn w:val="11"/>
    <w:next w:val="15"/>
    <w:qFormat/>
    <w:uiPriority w:val="0"/>
    <w:pPr>
      <w:autoSpaceDE w:val="0"/>
      <w:autoSpaceDN w:val="0"/>
      <w:adjustRightInd w:val="0"/>
      <w:spacing w:after="0" w:line="360" w:lineRule="auto"/>
      <w:ind w:firstLine="1320" w:firstLineChars="550"/>
      <w:textAlignment w:val="baseline"/>
    </w:pPr>
    <w:rPr>
      <w:sz w:val="24"/>
    </w:rPr>
  </w:style>
  <w:style w:type="paragraph" w:customStyle="1" w:styleId="57">
    <w:name w:val="样式 小四 行距: 1.5 倍行距"/>
    <w:autoRedefine/>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58">
    <w:name w:val="WPSOffice手动目录 1"/>
    <w:autoRedefine/>
    <w:qFormat/>
    <w:uiPriority w:val="0"/>
    <w:pPr>
      <w:ind w:leftChars="0"/>
    </w:pPr>
    <w:rPr>
      <w:rFonts w:ascii="Times New Roman" w:hAnsi="Times New Roman" w:eastAsia="宋体" w:cs="Times New Roman"/>
      <w:sz w:val="20"/>
      <w:szCs w:val="20"/>
    </w:rPr>
  </w:style>
  <w:style w:type="paragraph" w:customStyle="1" w:styleId="59">
    <w:name w:val="表头（书）"/>
    <w:basedOn w:val="1"/>
    <w:next w:val="46"/>
    <w:qFormat/>
    <w:uiPriority w:val="0"/>
    <w:pPr>
      <w:numPr>
        <w:ilvl w:val="4"/>
        <w:numId w:val="1"/>
      </w:numPr>
      <w:spacing w:line="240" w:lineRule="auto"/>
      <w:ind w:left="1008" w:hanging="1008" w:firstLineChars="0"/>
      <w:jc w:val="center"/>
    </w:pPr>
    <w:rPr>
      <w:rFonts w:ascii="Times New Roman" w:hAnsi="Times New Roman" w:eastAsia="宋体"/>
      <w:b/>
      <w:bCs/>
    </w:rPr>
  </w:style>
  <w:style w:type="paragraph" w:customStyle="1" w:styleId="60">
    <w:name w:val="No Spacing"/>
    <w:autoRedefine/>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61">
    <w:name w:val="p0"/>
    <w:basedOn w:val="1"/>
    <w:qFormat/>
    <w:uiPriority w:val="0"/>
    <w:pPr>
      <w:widowControl/>
    </w:pPr>
    <w:rPr>
      <w:rFonts w:eastAsia="Arial Unicode MS"/>
      <w:kern w:val="0"/>
      <w:szCs w:val="21"/>
    </w:rPr>
  </w:style>
  <w:style w:type="paragraph" w:customStyle="1" w:styleId="62">
    <w:name w:val="赵"/>
    <w:basedOn w:val="1"/>
    <w:autoRedefine/>
    <w:qFormat/>
    <w:uiPriority w:val="0"/>
    <w:pPr>
      <w:spacing w:line="360" w:lineRule="auto"/>
      <w:ind w:firstLine="200" w:firstLineChars="200"/>
    </w:pPr>
    <w:rPr>
      <w:color w:val="000000"/>
      <w:kern w:val="0"/>
      <w:sz w:val="24"/>
      <w:szCs w:val="24"/>
    </w:rPr>
  </w:style>
  <w:style w:type="paragraph" w:customStyle="1" w:styleId="63">
    <w:name w:val="表题"/>
    <w:autoRedefine/>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64">
    <w:name w:val="填表5中"/>
    <w:basedOn w:val="1"/>
    <w:next w:val="1"/>
    <w:qFormat/>
    <w:uiPriority w:val="0"/>
    <w:pPr>
      <w:spacing w:line="300" w:lineRule="exact"/>
      <w:jc w:val="center"/>
    </w:pPr>
    <w:rPr>
      <w:rFonts w:ascii="宋体"/>
      <w:sz w:val="24"/>
      <w:szCs w:val="21"/>
    </w:rPr>
  </w:style>
  <w:style w:type="character" w:customStyle="1" w:styleId="65">
    <w:name w:val="fw2"/>
    <w:basedOn w:val="29"/>
    <w:autoRedefine/>
    <w:qFormat/>
    <w:uiPriority w:val="0"/>
  </w:style>
  <w:style w:type="paragraph" w:customStyle="1" w:styleId="66">
    <w:name w:val="_Style 2"/>
    <w:autoRedefine/>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67">
    <w:name w:val="1文章"/>
    <w:basedOn w:val="1"/>
    <w:qFormat/>
    <w:uiPriority w:val="0"/>
    <w:pPr>
      <w:spacing w:line="360" w:lineRule="auto"/>
      <w:ind w:firstLine="573"/>
    </w:pPr>
    <w:rPr>
      <w:rFonts w:eastAsia="楷体_GB2312"/>
      <w:sz w:val="28"/>
      <w:szCs w:val="20"/>
    </w:rPr>
  </w:style>
  <w:style w:type="paragraph" w:customStyle="1" w:styleId="68">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9">
    <w:name w:val="List Paragraph"/>
    <w:basedOn w:val="1"/>
    <w:qFormat/>
    <w:uiPriority w:val="0"/>
    <w:pPr>
      <w:ind w:firstLine="420" w:firstLineChars="200"/>
    </w:pPr>
    <w:rPr>
      <w:szCs w:val="22"/>
    </w:rPr>
  </w:style>
  <w:style w:type="paragraph" w:customStyle="1" w:styleId="70">
    <w:name w:val="报告表格"/>
    <w:basedOn w:val="1"/>
    <w:autoRedefine/>
    <w:qFormat/>
    <w:uiPriority w:val="0"/>
    <w:pPr>
      <w:autoSpaceDE w:val="0"/>
      <w:autoSpaceDN w:val="0"/>
      <w:adjustRightInd w:val="0"/>
      <w:spacing w:before="40" w:beforeLines="0" w:after="40" w:afterLines="0"/>
      <w:jc w:val="center"/>
    </w:pPr>
    <w:rPr>
      <w:rFonts w:ascii="Times New Roman" w:hAnsi="Times New Roman"/>
      <w:kern w:val="0"/>
    </w:rPr>
  </w:style>
  <w:style w:type="paragraph" w:customStyle="1" w:styleId="71">
    <w:name w:val="正文01"/>
    <w:basedOn w:val="3"/>
    <w:autoRedefine/>
    <w:qFormat/>
    <w:uiPriority w:val="0"/>
    <w:pPr>
      <w:keepNext w:val="0"/>
      <w:keepLines w:val="0"/>
      <w:numPr>
        <w:ilvl w:val="0"/>
        <w:numId w:val="0"/>
      </w:numPr>
      <w:adjustRightInd/>
      <w:snapToGrid/>
      <w:spacing w:before="60" w:beforeLines="0" w:beforeAutospacing="0" w:line="460" w:lineRule="exact"/>
      <w:ind w:firstLine="200" w:firstLineChars="200"/>
      <w:outlineLvl w:val="9"/>
    </w:pPr>
    <w:rPr>
      <w:rFonts w:ascii="Times New Roman" w:hAnsi="Times New Roman"/>
      <w:b w:val="0"/>
    </w:rPr>
  </w:style>
  <w:style w:type="paragraph" w:customStyle="1" w:styleId="72">
    <w:name w:val="表格 32"/>
    <w:basedOn w:val="1"/>
    <w:qFormat/>
    <w:uiPriority w:val="0"/>
    <w:pPr>
      <w:autoSpaceDE w:val="0"/>
      <w:autoSpaceDN w:val="0"/>
      <w:adjustRightInd w:val="0"/>
      <w:ind w:firstLine="0"/>
      <w:jc w:val="center"/>
      <w:textAlignment w:val="baseline"/>
    </w:pPr>
    <w:rPr>
      <w:rFonts w:ascii="宋体" w:hAnsi="Impact"/>
      <w:kern w:val="24"/>
    </w:rPr>
  </w:style>
  <w:style w:type="paragraph" w:customStyle="1" w:styleId="73">
    <w:name w:val="reader-word-layer reader-word-s6-8"/>
    <w:basedOn w:val="1"/>
    <w:autoRedefine/>
    <w:qFormat/>
    <w:uiPriority w:val="0"/>
    <w:pPr>
      <w:widowControl/>
      <w:spacing w:before="100" w:beforeLines="0" w:beforeAutospacing="1" w:after="100" w:afterLines="0" w:afterAutospacing="1"/>
      <w:jc w:val="left"/>
    </w:pPr>
    <w:rPr>
      <w:rFonts w:cs="宋体"/>
      <w:kern w:val="0"/>
      <w:sz w:val="24"/>
    </w:rPr>
  </w:style>
  <w:style w:type="paragraph" w:customStyle="1" w:styleId="74">
    <w:name w:val="正文样式1"/>
    <w:basedOn w:val="1"/>
    <w:autoRedefine/>
    <w:qFormat/>
    <w:uiPriority w:val="0"/>
    <w:pPr>
      <w:adjustRightInd w:val="0"/>
      <w:spacing w:line="288" w:lineRule="auto"/>
      <w:ind w:firstLine="360" w:firstLineChars="150"/>
      <w:textAlignment w:val="baseline"/>
    </w:pPr>
    <w:rPr>
      <w:kern w:val="0"/>
      <w:sz w:val="24"/>
      <w:szCs w:val="20"/>
    </w:rPr>
  </w:style>
  <w:style w:type="character" w:customStyle="1" w:styleId="75">
    <w:name w:val="正文文本 Char1"/>
    <w:qFormat/>
    <w:uiPriority w:val="0"/>
    <w:rPr>
      <w:rFonts w:eastAsia="宋体"/>
      <w:kern w:val="2"/>
      <w:sz w:val="28"/>
      <w:szCs w:val="24"/>
      <w:lang w:val="en-US" w:eastAsia="zh-CN" w:bidi="ar-SA"/>
    </w:rPr>
  </w:style>
  <w:style w:type="paragraph" w:customStyle="1" w:styleId="76">
    <w:name w:val="文本22"/>
    <w:basedOn w:val="1"/>
    <w:autoRedefine/>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77">
    <w:name w:val="样式 cucd-0 + (西文) Arial (中文) 仿宋_GB2312"/>
    <w:basedOn w:val="1"/>
    <w:autoRedefine/>
    <w:qFormat/>
    <w:uiPriority w:val="0"/>
    <w:pPr>
      <w:widowControl/>
      <w:spacing w:line="360" w:lineRule="auto"/>
      <w:ind w:firstLine="480" w:firstLineChars="200"/>
      <w:jc w:val="left"/>
    </w:pPr>
    <w:rPr>
      <w:rFonts w:ascii="Arial" w:hAnsi="Arial" w:eastAsia="仿宋_GB2312"/>
      <w:kern w:val="2"/>
      <w:sz w:val="28"/>
      <w:szCs w:val="21"/>
      <w:lang w:val="en-US" w:eastAsia="zh-CN" w:bidi="ar-SA"/>
    </w:rPr>
  </w:style>
  <w:style w:type="paragraph" w:customStyle="1" w:styleId="78">
    <w:name w:val="缩进2正文"/>
    <w:basedOn w:val="79"/>
    <w:autoRedefine/>
    <w:qFormat/>
    <w:uiPriority w:val="0"/>
    <w:pPr>
      <w:tabs>
        <w:tab w:val="left" w:pos="4860"/>
      </w:tabs>
      <w:ind w:firstLine="560"/>
      <w:jc w:val="both"/>
    </w:pPr>
    <w:rPr>
      <w:sz w:val="28"/>
      <w:szCs w:val="28"/>
    </w:rPr>
  </w:style>
  <w:style w:type="paragraph" w:customStyle="1" w:styleId="79">
    <w:name w:val="报告正文"/>
    <w:basedOn w:val="1"/>
    <w:autoRedefine/>
    <w:qFormat/>
    <w:uiPriority w:val="0"/>
    <w:pPr>
      <w:spacing w:line="360" w:lineRule="auto"/>
      <w:ind w:firstLine="200" w:firstLineChars="200"/>
      <w:jc w:val="left"/>
    </w:pPr>
    <w:rPr>
      <w:sz w:val="24"/>
      <w:szCs w:val="24"/>
    </w:rPr>
  </w:style>
  <w:style w:type="paragraph" w:customStyle="1" w:styleId="80">
    <w:name w:val="列出段落1"/>
    <w:basedOn w:val="1"/>
    <w:autoRedefine/>
    <w:qFormat/>
    <w:uiPriority w:val="34"/>
    <w:pPr>
      <w:ind w:firstLine="420" w:firstLineChars="200"/>
    </w:pPr>
    <w:rPr>
      <w:rFonts w:ascii="Times New Roman" w:hAnsi="Times New Roman"/>
      <w:szCs w:val="20"/>
    </w:rPr>
  </w:style>
  <w:style w:type="paragraph" w:customStyle="1" w:styleId="81">
    <w:name w:val=" Char"/>
    <w:basedOn w:val="1"/>
    <w:autoRedefine/>
    <w:qFormat/>
    <w:uiPriority w:val="0"/>
    <w:pPr>
      <w:snapToGrid w:val="0"/>
      <w:spacing w:line="360" w:lineRule="auto"/>
      <w:ind w:firstLine="529" w:firstLineChars="200"/>
    </w:pPr>
  </w:style>
  <w:style w:type="paragraph" w:customStyle="1" w:styleId="82">
    <w:name w:val="Table Paragraph"/>
    <w:basedOn w:val="1"/>
    <w:autoRedefine/>
    <w:unhideWhenUsed/>
    <w:qFormat/>
    <w:uiPriority w:val="1"/>
    <w:pPr>
      <w:spacing w:beforeLines="0" w:afterLines="0"/>
    </w:pPr>
    <w:rPr>
      <w:rFonts w:hint="default"/>
      <w:sz w:val="24"/>
    </w:rPr>
  </w:style>
  <w:style w:type="paragraph" w:customStyle="1" w:styleId="83">
    <w:name w:val="样式1"/>
    <w:basedOn w:val="5"/>
    <w:autoRedefine/>
    <w:qFormat/>
    <w:uiPriority w:val="0"/>
    <w:pPr>
      <w:spacing w:before="160" w:after="170" w:line="372" w:lineRule="auto"/>
    </w:pPr>
    <w:rPr>
      <w:rFonts w:ascii="Times New Roman" w:hAnsi="Times New Roman" w:eastAsia="仿宋_GB2312"/>
    </w:rPr>
  </w:style>
  <w:style w:type="paragraph" w:customStyle="1" w:styleId="84">
    <w:name w:val="样式 (西文) Times New Roman 小四 行距: 1.5 倍行距 首行缩进:  2 字符"/>
    <w:basedOn w:val="1"/>
    <w:autoRedefine/>
    <w:qFormat/>
    <w:uiPriority w:val="0"/>
    <w:pPr>
      <w:spacing w:line="360" w:lineRule="auto"/>
      <w:ind w:firstLine="480" w:firstLineChars="200"/>
    </w:pPr>
    <w:rPr>
      <w:rFonts w:ascii="Times New Roman" w:hAnsi="Times New Roman" w:cs="宋体"/>
      <w:sz w:val="24"/>
      <w:szCs w:val="20"/>
    </w:rPr>
  </w:style>
  <w:style w:type="paragraph" w:customStyle="1" w:styleId="85">
    <w:name w:val="表格小五"/>
    <w:basedOn w:val="1"/>
    <w:autoRedefine/>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86">
    <w:name w:val="表格内容"/>
    <w:basedOn w:val="1"/>
    <w:autoRedefine/>
    <w:qFormat/>
    <w:uiPriority w:val="0"/>
    <w:pPr>
      <w:adjustRightInd w:val="0"/>
      <w:snapToGrid w:val="0"/>
      <w:jc w:val="center"/>
    </w:pPr>
    <w:rPr>
      <w:rFonts w:eastAsia="Times New Roman"/>
      <w:szCs w:val="21"/>
    </w:rPr>
  </w:style>
  <w:style w:type="paragraph" w:customStyle="1" w:styleId="87">
    <w:name w:val="1正文段落"/>
    <w:basedOn w:val="1"/>
    <w:autoRedefine/>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paragraph" w:customStyle="1" w:styleId="88">
    <w:name w:val="表格文字"/>
    <w:basedOn w:val="89"/>
    <w:next w:val="11"/>
    <w:autoRedefine/>
    <w:qFormat/>
    <w:uiPriority w:val="0"/>
    <w:pPr>
      <w:spacing w:after="0" w:line="320" w:lineRule="exact"/>
      <w:jc w:val="center"/>
    </w:pPr>
    <w:rPr>
      <w:rFonts w:ascii="宋体"/>
      <w:szCs w:val="24"/>
    </w:rPr>
  </w:style>
  <w:style w:type="paragraph" w:customStyle="1" w:styleId="89">
    <w:name w:val="方案正文"/>
    <w:basedOn w:val="1"/>
    <w:autoRedefine/>
    <w:qFormat/>
    <w:uiPriority w:val="0"/>
    <w:rPr>
      <w:kern w:val="0"/>
      <w:sz w:val="24"/>
      <w:szCs w:val="20"/>
    </w:rPr>
  </w:style>
  <w:style w:type="paragraph" w:customStyle="1" w:styleId="90">
    <w:name w:val="1、正文文本"/>
    <w:next w:val="1"/>
    <w:autoRedefine/>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91">
    <w:name w:val="表头"/>
    <w:basedOn w:val="1"/>
    <w:next w:val="1"/>
    <w:autoRedefine/>
    <w:qFormat/>
    <w:uiPriority w:val="0"/>
    <w:pPr>
      <w:spacing w:line="360" w:lineRule="auto"/>
      <w:ind w:firstLine="2169" w:firstLineChars="1029"/>
    </w:pPr>
    <w:rPr>
      <w:rFonts w:ascii="宋体" w:hAnsi="宋体"/>
      <w:b/>
      <w:kern w:val="0"/>
      <w:szCs w:val="21"/>
    </w:rPr>
  </w:style>
  <w:style w:type="character" w:customStyle="1" w:styleId="92">
    <w:name w:val="font01"/>
    <w:basedOn w:val="29"/>
    <w:autoRedefine/>
    <w:qFormat/>
    <w:uiPriority w:val="0"/>
    <w:rPr>
      <w:rFonts w:hint="eastAsia" w:ascii="宋体" w:hAnsi="宋体" w:eastAsia="宋体" w:cs="宋体"/>
      <w:color w:val="000000"/>
      <w:sz w:val="21"/>
      <w:szCs w:val="21"/>
      <w:u w:val="none"/>
    </w:rPr>
  </w:style>
  <w:style w:type="character" w:customStyle="1" w:styleId="93">
    <w:name w:val="font21"/>
    <w:basedOn w:val="29"/>
    <w:autoRedefine/>
    <w:qFormat/>
    <w:uiPriority w:val="0"/>
    <w:rPr>
      <w:rFonts w:hint="default" w:ascii="Times New Roman" w:hAnsi="Times New Roman" w:cs="Times New Roman"/>
      <w:color w:val="000000"/>
      <w:sz w:val="21"/>
      <w:szCs w:val="21"/>
      <w:u w:val="none"/>
    </w:rPr>
  </w:style>
  <w:style w:type="character" w:customStyle="1" w:styleId="94">
    <w:name w:val="font41"/>
    <w:basedOn w:val="29"/>
    <w:qFormat/>
    <w:uiPriority w:val="0"/>
    <w:rPr>
      <w:rFonts w:hint="default" w:ascii="Times New Roman" w:hAnsi="Times New Roman" w:cs="Times New Roman"/>
      <w:b/>
      <w:bCs/>
      <w:color w:val="000000"/>
      <w:sz w:val="21"/>
      <w:szCs w:val="21"/>
      <w:u w:val="none"/>
    </w:rPr>
  </w:style>
  <w:style w:type="character" w:customStyle="1" w:styleId="95">
    <w:name w:val="font31"/>
    <w:basedOn w:val="29"/>
    <w:autoRedefine/>
    <w:qFormat/>
    <w:uiPriority w:val="0"/>
    <w:rPr>
      <w:rFonts w:hint="default" w:ascii="Times New Roman" w:hAnsi="Times New Roman" w:cs="Times New Roman"/>
      <w:color w:val="000000"/>
      <w:sz w:val="21"/>
      <w:szCs w:val="21"/>
      <w:u w:val="none"/>
    </w:rPr>
  </w:style>
  <w:style w:type="character" w:customStyle="1" w:styleId="96">
    <w:name w:val="font51"/>
    <w:basedOn w:val="29"/>
    <w:autoRedefine/>
    <w:qFormat/>
    <w:uiPriority w:val="0"/>
    <w:rPr>
      <w:rFonts w:hint="default" w:ascii="Times New Roman" w:hAnsi="Times New Roman" w:cs="Times New Roman"/>
      <w:color w:val="000000"/>
      <w:sz w:val="21"/>
      <w:szCs w:val="21"/>
      <w:u w:val="none"/>
      <w:vertAlign w:val="subscript"/>
    </w:rPr>
  </w:style>
  <w:style w:type="character" w:customStyle="1" w:styleId="97">
    <w:name w:val="正文文本_"/>
    <w:link w:val="98"/>
    <w:autoRedefine/>
    <w:qFormat/>
    <w:locked/>
    <w:uiPriority w:val="99"/>
    <w:rPr>
      <w:rFonts w:ascii="MingLiU" w:hAnsi="MingLiU" w:eastAsia="MingLiU"/>
      <w:spacing w:val="10"/>
      <w:kern w:val="0"/>
      <w:szCs w:val="21"/>
    </w:rPr>
  </w:style>
  <w:style w:type="paragraph" w:customStyle="1" w:styleId="98">
    <w:name w:val="正文文本3"/>
    <w:basedOn w:val="1"/>
    <w:link w:val="97"/>
    <w:autoRedefine/>
    <w:qFormat/>
    <w:uiPriority w:val="99"/>
    <w:pPr>
      <w:shd w:val="clear" w:color="auto" w:fill="FFFFFF"/>
      <w:adjustRightInd/>
      <w:spacing w:before="240" w:line="466" w:lineRule="exact"/>
      <w:ind w:hanging="480"/>
      <w:jc w:val="distribute"/>
      <w:textAlignment w:val="auto"/>
    </w:pPr>
    <w:rPr>
      <w:rFonts w:ascii="MingLiU" w:hAnsi="MingLiU" w:eastAsia="MingLiU"/>
      <w:spacing w:val="10"/>
      <w:kern w:val="0"/>
      <w:szCs w:val="21"/>
    </w:rPr>
  </w:style>
  <w:style w:type="paragraph" w:customStyle="1" w:styleId="99">
    <w:name w:val="wlm表头"/>
    <w:basedOn w:val="1"/>
    <w:autoRedefine/>
    <w:qFormat/>
    <w:uiPriority w:val="0"/>
    <w:pPr>
      <w:jc w:val="center"/>
    </w:pPr>
    <w:rPr>
      <w:b/>
      <w:szCs w:val="21"/>
    </w:rPr>
  </w:style>
  <w:style w:type="paragraph" w:customStyle="1" w:styleId="100">
    <w:name w:val="wlm表格"/>
    <w:basedOn w:val="1"/>
    <w:autoRedefine/>
    <w:qFormat/>
    <w:uiPriority w:val="0"/>
    <w:pPr>
      <w:snapToGrid w:val="0"/>
      <w:spacing w:line="240" w:lineRule="auto"/>
      <w:ind w:firstLine="0" w:firstLineChars="0"/>
      <w:jc w:val="center"/>
    </w:pPr>
    <w:rPr>
      <w:rFonts w:ascii="Times New Roman" w:hAnsi="Times New Roman" w:eastAsia="宋体"/>
      <w:snapToGrid w:val="0"/>
      <w:spacing w:val="2"/>
      <w:sz w:val="21"/>
      <w:szCs w:val="21"/>
    </w:rPr>
  </w:style>
  <w:style w:type="paragraph" w:customStyle="1" w:styleId="101">
    <w:name w:val="正文四号"/>
    <w:basedOn w:val="1"/>
    <w:autoRedefine/>
    <w:qFormat/>
    <w:uiPriority w:val="0"/>
    <w:pPr>
      <w:spacing w:line="600" w:lineRule="exact"/>
      <w:ind w:firstLine="200" w:firstLineChars="200"/>
    </w:pPr>
    <w:rPr>
      <w:rFonts w:ascii="Calibri" w:hAnsi="Calibri" w:eastAsia="仿宋_GB2312" w:cs="Times New Roman"/>
      <w:kern w:val="2"/>
      <w:sz w:val="28"/>
      <w:szCs w:val="28"/>
      <w:lang w:eastAsia="zh-CN"/>
    </w:rPr>
  </w:style>
  <w:style w:type="paragraph" w:customStyle="1" w:styleId="102">
    <w:name w:val="表头、图尾"/>
    <w:basedOn w:val="1"/>
    <w:autoRedefine/>
    <w:qFormat/>
    <w:uiPriority w:val="0"/>
    <w:pPr>
      <w:spacing w:beforeLines="50" w:afterLines="20" w:line="240" w:lineRule="auto"/>
      <w:ind w:firstLine="0" w:firstLineChars="0"/>
      <w:jc w:val="center"/>
      <w:outlineLvl w:val="1"/>
    </w:pPr>
    <w:rPr>
      <w:b/>
    </w:rPr>
  </w:style>
  <w:style w:type="character" w:customStyle="1" w:styleId="103">
    <w:name w:val="NormalCharacter"/>
    <w:autoRedefine/>
    <w:qFormat/>
    <w:uiPriority w:val="0"/>
  </w:style>
  <w:style w:type="paragraph" w:customStyle="1" w:styleId="104">
    <w:name w:val="cucd-0"/>
    <w:autoRedefine/>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paragraph" w:customStyle="1" w:styleId="105">
    <w:name w:val="表格标题"/>
    <w:basedOn w:val="1"/>
    <w:qFormat/>
    <w:uiPriority w:val="0"/>
    <w:pPr>
      <w:spacing w:line="540" w:lineRule="exact"/>
      <w:jc w:val="center"/>
    </w:pPr>
    <w:rPr>
      <w:rFonts w:ascii="宋体" w:hAnsi="宋体"/>
      <w:bCs/>
      <w:sz w:val="24"/>
    </w:rPr>
  </w:style>
  <w:style w:type="character" w:customStyle="1" w:styleId="106">
    <w:name w:val="viewthreadtxt"/>
    <w:basedOn w:val="29"/>
    <w:qFormat/>
    <w:uiPriority w:val="0"/>
  </w:style>
  <w:style w:type="paragraph" w:customStyle="1" w:styleId="107">
    <w:name w:val=" Char Char Char Char"/>
    <w:basedOn w:val="1"/>
    <w:qFormat/>
    <w:uiPriority w:val="0"/>
    <w:pPr>
      <w:snapToGrid w:val="0"/>
      <w:spacing w:line="360" w:lineRule="auto"/>
      <w:ind w:firstLine="200" w:firstLineChars="200"/>
    </w:pPr>
    <w:rPr>
      <w:szCs w:val="20"/>
    </w:rPr>
  </w:style>
  <w:style w:type="character" w:customStyle="1" w:styleId="108">
    <w:name w:val="font11"/>
    <w:basedOn w:val="29"/>
    <w:qFormat/>
    <w:uiPriority w:val="0"/>
    <w:rPr>
      <w:rFonts w:hint="eastAsia" w:ascii="宋体" w:hAnsi="宋体" w:eastAsia="宋体" w:cs="宋体"/>
      <w:color w:val="000000"/>
      <w:sz w:val="21"/>
      <w:szCs w:val="21"/>
      <w:u w:val="none"/>
    </w:rPr>
  </w:style>
  <w:style w:type="paragraph" w:customStyle="1" w:styleId="109">
    <w:name w:val="文本"/>
    <w:basedOn w:val="1"/>
    <w:qFormat/>
    <w:uiPriority w:val="0"/>
    <w:pPr>
      <w:ind w:firstLine="480" w:firstLineChars="200"/>
    </w:pPr>
  </w:style>
  <w:style w:type="character" w:customStyle="1" w:styleId="110">
    <w:name w:val="font61"/>
    <w:basedOn w:val="29"/>
    <w:qFormat/>
    <w:uiPriority w:val="0"/>
    <w:rPr>
      <w:rFonts w:hint="default" w:ascii="Times New Roman" w:hAnsi="Times New Roman" w:cs="Times New Roman"/>
      <w:color w:val="000000"/>
      <w:sz w:val="21"/>
      <w:szCs w:val="21"/>
      <w:u w:val="none"/>
      <w:vertAlign w:val="subscript"/>
    </w:rPr>
  </w:style>
  <w:style w:type="character" w:customStyle="1" w:styleId="111">
    <w:name w:val="全部 Char Char"/>
    <w:link w:val="112"/>
    <w:qFormat/>
    <w:uiPriority w:val="0"/>
    <w:rPr>
      <w:rFonts w:ascii="宋体" w:hAnsi="宋体"/>
      <w:color w:val="000000"/>
      <w:sz w:val="24"/>
    </w:rPr>
  </w:style>
  <w:style w:type="paragraph" w:customStyle="1" w:styleId="112">
    <w:name w:val="全部"/>
    <w:basedOn w:val="1"/>
    <w:link w:val="111"/>
    <w:qFormat/>
    <w:uiPriority w:val="0"/>
    <w:pPr>
      <w:spacing w:before="156" w:beforeLines="50" w:after="156" w:afterLines="50" w:line="360" w:lineRule="auto"/>
      <w:ind w:firstLine="480" w:firstLineChars="200"/>
    </w:pPr>
    <w:rPr>
      <w:rFonts w:ascii="宋体" w:hAnsi="宋体"/>
      <w:color w:val="000000"/>
      <w:sz w:val="24"/>
    </w:rPr>
  </w:style>
  <w:style w:type="character" w:customStyle="1" w:styleId="113">
    <w:name w:val="样式 样式 小四 段前: 7.8 磅 段后: 7.8 磅 行距: 1.5 倍行距 + 首行缩进:  2 字符 Char Char"/>
    <w:link w:val="114"/>
    <w:qFormat/>
    <w:uiPriority w:val="0"/>
    <w:rPr>
      <w:spacing w:val="20"/>
      <w:sz w:val="24"/>
    </w:rPr>
  </w:style>
  <w:style w:type="paragraph" w:customStyle="1" w:styleId="114">
    <w:name w:val="样式 样式 小四 段前: 7.8 磅 段后: 7.8 磅 行距: 1.5 倍行距 + 首行缩进:  2 字符"/>
    <w:basedOn w:val="1"/>
    <w:link w:val="113"/>
    <w:qFormat/>
    <w:uiPriority w:val="0"/>
    <w:pPr>
      <w:spacing w:before="156" w:after="156" w:line="360" w:lineRule="auto"/>
      <w:ind w:firstLine="560" w:firstLineChars="200"/>
    </w:pPr>
    <w:rPr>
      <w:spacing w:val="20"/>
      <w:sz w:val="24"/>
    </w:rPr>
  </w:style>
  <w:style w:type="paragraph" w:customStyle="1" w:styleId="115">
    <w:name w:val="样式 样式 左 首行缩进:  2 字符 + 首行缩进:  2 字符"/>
    <w:basedOn w:val="1"/>
    <w:qFormat/>
    <w:uiPriority w:val="0"/>
    <w:pPr>
      <w:adjustRightInd w:val="0"/>
      <w:snapToGrid w:val="0"/>
      <w:ind w:left="1134" w:firstLine="480"/>
      <w:jc w:val="left"/>
    </w:pPr>
    <w:rPr>
      <w:rFonts w:cs="宋体"/>
      <w:color w:val="000000"/>
      <w:szCs w:val="20"/>
    </w:rPr>
  </w:style>
  <w:style w:type="character" w:customStyle="1" w:styleId="116">
    <w:name w:val="govicon"/>
    <w:basedOn w:val="29"/>
    <w:qFormat/>
    <w:uiPriority w:val="0"/>
  </w:style>
  <w:style w:type="paragraph" w:customStyle="1" w:styleId="117">
    <w:name w:val="表格内正文"/>
    <w:basedOn w:val="1"/>
    <w:qFormat/>
    <w:uiPriority w:val="0"/>
    <w:pPr>
      <w:snapToGrid w:val="0"/>
      <w:spacing w:line="360" w:lineRule="auto"/>
      <w:ind w:firstLine="720" w:firstLineChars="200"/>
    </w:pPr>
    <w:rPr>
      <w:rFonts w:ascii="Times New Roman" w:hAnsi="Times New Roman" w:eastAsia="仿宋_GB2312"/>
      <w:sz w:val="24"/>
    </w:rPr>
  </w:style>
  <w:style w:type="table" w:customStyle="1" w:styleId="11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7.wmf"/><Relationship Id="rId21" Type="http://schemas.openxmlformats.org/officeDocument/2006/relationships/oleObject" Target="embeddings/oleObject6.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5.emf"/><Relationship Id="rId17" Type="http://schemas.openxmlformats.org/officeDocument/2006/relationships/oleObject" Target="embeddings/oleObject4.bin"/><Relationship Id="rId16" Type="http://schemas.openxmlformats.org/officeDocument/2006/relationships/image" Target="media/image4.emf"/><Relationship Id="rId15" Type="http://schemas.openxmlformats.org/officeDocument/2006/relationships/oleObject" Target="embeddings/oleObject3.bin"/><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Info spid="_x0000_s1056"/>
    <customShpInfo spid="_x0000_s1057"/>
    <customShpInfo spid="_x0000_s1062" textRotate="1"/>
    <customShpInfo spid="_x0000_s1044"/>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160</Pages>
  <Words>877</Words>
  <Characters>983</Characters>
  <Lines>0</Lines>
  <Paragraphs>0</Paragraphs>
  <TotalTime>64</TotalTime>
  <ScaleCrop>false</ScaleCrop>
  <LinksUpToDate>false</LinksUpToDate>
  <CharactersWithSpaces>1038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听潮</cp:lastModifiedBy>
  <dcterms:modified xsi:type="dcterms:W3CDTF">2024-12-10T06:54:31Z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23B329E1470B4879B99AD02B45D21A16_13</vt:lpwstr>
  </property>
</Properties>
</file>